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300"/>
              <w:left w:type="dxa" w:w="400"/>
              <w:bottom w:type="dxa" w:w="300"/>
              <w:right w:type="dxa" w:w="400"/>
            </w:tcMar>
          </w:tcPr>
          <w:p>
            <w:pPr>
              <w:spacing w:after="80" w:before="80"/>
              <w:jc w:val="center"/>
            </w:pPr>
            <w:r>
              <w:rPr>
                <w:rFonts w:ascii="Georgia" w:cs="Georgia" w:eastAsia="Georgia" w:hAnsi="Georgia"/>
                <w:b/>
                <w:bCs/>
                <w:color w:val="FFD700"/>
                <w:sz w:val="40"/>
                <w:szCs w:val="40"/>
              </w:rPr>
              <w:t xml:space="preserve">TALENT READY IT PROGRAM</w:t>
            </w:r>
          </w:p>
          <w:p>
            <w:pPr>
              <w:spacing w:after="40" w:before="40"/>
              <w:jc w:val="center"/>
            </w:pPr>
            <w:r>
              <w:rPr>
                <w:rFonts w:ascii="Arial" w:cs="Arial" w:eastAsia="Arial" w:hAnsi="Arial"/>
                <w:color w:val="FFFFFF"/>
                <w:sz w:val="24"/>
                <w:szCs w:val="24"/>
              </w:rPr>
              <w:t xml:space="preserve">Largo High School  ·  Prince George's Community College</w:t>
            </w:r>
          </w:p>
          <w:p>
            <w:pPr>
              <w:spacing w:after="40" w:before="40"/>
              <w:jc w:val="center"/>
            </w:pPr>
            <w:r>
              <w:rPr>
                <w:rFonts w:ascii="Arial" w:cs="Arial" w:eastAsia="Arial" w:hAnsi="Arial"/>
                <w:i/>
                <w:iCs/>
                <w:color w:val="AACCEE"/>
                <w:sz w:val="22"/>
                <w:szCs w:val="22"/>
              </w:rPr>
              <w:t xml:space="preserve">Maryland Blueprint for Maryland's Future  |  Pillars 3 &amp; 4</w:t>
            </w:r>
          </w:p>
        </w:tc>
      </w:tr>
      <w:tr>
        <w:tc>
          <w:tcPr>
            <w:tcBorders>
              <w:top w:val="none" w:color="FFFFFF" w:sz="0"/>
              <w:left w:val="none" w:color="FFFFFF" w:sz="0"/>
              <w:bottom w:val="none" w:color="FFFFFF" w:sz="0"/>
              <w:right w:val="none" w:color="FFFFFF" w:sz="0"/>
            </w:tcBorders>
            <w:shd w:fill="FFD700" w:val="clear"/>
            <w:tcMar>
              <w:top w:type="dxa" w:w="180"/>
              <w:left w:type="dxa" w:w="400"/>
              <w:bottom w:type="dxa" w:w="180"/>
              <w:right w:type="dxa" w:w="400"/>
            </w:tcMar>
          </w:tcPr>
          <w:p>
            <w:pPr>
              <w:spacing w:after="40" w:before="40"/>
              <w:jc w:val="center"/>
            </w:pPr>
            <w:r>
              <w:rPr>
                <w:rFonts w:ascii="Georgia" w:cs="Georgia" w:eastAsia="Georgia" w:hAnsi="Georgia"/>
                <w:b/>
                <w:bCs/>
                <w:color w:val="003366"/>
                <w:sz w:val="34"/>
                <w:szCs w:val="34"/>
              </w:rPr>
              <w:t xml:space="preserve">END-OF-YEAR EDUCATOR EVIDENCE PORTFOLIO</w:t>
            </w:r>
          </w:p>
          <w:p>
            <w:pPr>
              <w:spacing w:after="40" w:before="40"/>
              <w:jc w:val="center"/>
            </w:pPr>
            <w:r>
              <w:rPr>
                <w:rFonts w:ascii="Arial" w:cs="Arial" w:eastAsia="Arial" w:hAnsi="Arial"/>
                <w:color w:val="003366"/>
                <w:sz w:val="22"/>
                <w:szCs w:val="22"/>
              </w:rPr>
              <w:t xml:space="preserve">Parent &amp; Student Outreach Documentation  ·  Communication Log  ·  Academic Outcomes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tcPr>
          <w:p>
            <w:r>
              <w:rPr>
                <w:rFonts w:ascii="Arial" w:cs="Arial" w:eastAsia="Arial" w:hAnsi="Arial"/>
                <w:b/>
                <w:bCs/>
                <w:color w:val="666666"/>
                <w:sz w:val="18"/>
                <w:szCs w:val="18"/>
              </w:rPr>
              <w:t xml:space="preserve">Educator</w:t>
            </w:r>
          </w:p>
          <w:p>
            <w:r>
              <w:rPr>
                <w:rFonts w:ascii="Arial" w:cs="Arial" w:eastAsia="Arial" w:hAnsi="Arial"/>
                <w:b/>
                <w:bCs/>
                <w:color w:val="003366"/>
                <w:sz w:val="24"/>
                <w:szCs w:val="24"/>
              </w:rPr>
              <w:t xml:space="preserve">Carlton A. James</w:t>
            </w:r>
          </w:p>
          <w:p>
            <w:r>
              <w:rPr>
                <w:rFonts w:ascii="Arial" w:cs="Arial" w:eastAsia="Arial" w:hAnsi="Arial"/>
                <w:color w:val="444444"/>
                <w:sz w:val="20"/>
                <w:szCs w:val="20"/>
              </w:rPr>
              <w:t xml:space="preserve">Talent Ready Facilitator &amp; ElevateED Administrator</w:t>
            </w:r>
          </w:p>
          <w:p>
            <w:r>
              <w:rPr>
                <w:rFonts w:ascii="Arial" w:cs="Arial" w:eastAsia="Arial" w:hAnsi="Arial"/>
                <w:color w:val="444444"/>
                <w:sz w:val="20"/>
                <w:szCs w:val="20"/>
              </w:rPr>
              <w:t xml:space="preserve">FERPA Compliance Officer — Talent Ready IT Program</w:t>
            </w:r>
          </w:p>
        </w:tc>
        <w:tc>
          <w:tcPr>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tcPr>
          <w:p>
            <w:r>
              <w:rPr>
                <w:rFonts w:ascii="Arial" w:cs="Arial" w:eastAsia="Arial" w:hAnsi="Arial"/>
                <w:b/>
                <w:bCs/>
                <w:color w:val="666666"/>
                <w:sz w:val="18"/>
                <w:szCs w:val="18"/>
              </w:rPr>
              <w:t xml:space="preserve">Evaluation Period</w:t>
            </w:r>
          </w:p>
          <w:p>
            <w:r>
              <w:rPr>
                <w:rFonts w:ascii="Arial" w:cs="Arial" w:eastAsia="Arial" w:hAnsi="Arial"/>
                <w:b/>
                <w:bCs/>
                <w:color w:val="003366"/>
                <w:sz w:val="24"/>
                <w:szCs w:val="24"/>
              </w:rPr>
              <w:t xml:space="preserve">August 25, 2025 – June 16, 2026</w:t>
            </w:r>
          </w:p>
          <w:p>
            <w:r>
              <w:rPr>
                <w:rFonts w:ascii="Arial" w:cs="Arial" w:eastAsia="Arial" w:hAnsi="Arial"/>
                <w:color w:val="444444"/>
                <w:sz w:val="20"/>
                <w:szCs w:val="20"/>
              </w:rPr>
              <w:t xml:space="preserve">Academic Year 2025–2026</w:t>
            </w:r>
          </w:p>
          <w:p>
            <w:r>
              <w:rPr>
                <w:rFonts w:ascii="Arial" w:cs="Arial" w:eastAsia="Arial" w:hAnsi="Arial"/>
                <w:color w:val="444444"/>
                <w:sz w:val="20"/>
                <w:szCs w:val="20"/>
              </w:rPr>
              <w:t xml:space="preserve">Edoctrina SGM #131049  ·  EOY Conference Form #1031706</w:t>
            </w:r>
          </w:p>
        </w:tc>
      </w:tr>
      <w:tr>
        <w:tc>
          <w:tcPr>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tcPr>
          <w:p>
            <w:r>
              <w:rPr>
                <w:rFonts w:ascii="Arial" w:cs="Arial" w:eastAsia="Arial" w:hAnsi="Arial"/>
                <w:b/>
                <w:bCs/>
                <w:color w:val="666666"/>
                <w:sz w:val="18"/>
                <w:szCs w:val="18"/>
              </w:rPr>
              <w:t xml:space="preserve">Program Partners</w:t>
            </w:r>
          </w:p>
          <w:p>
            <w:r>
              <w:rPr>
                <w:rFonts w:ascii="Arial" w:cs="Arial" w:eastAsia="Arial" w:hAnsi="Arial"/>
                <w:b/>
                <w:bCs/>
                <w:color w:val="003366"/>
                <w:sz w:val="22"/>
                <w:szCs w:val="22"/>
              </w:rPr>
              <w:t xml:space="preserve">Largo High School  ·  PGCPS</w:t>
            </w:r>
          </w:p>
          <w:p>
            <w:r>
              <w:rPr>
                <w:rFonts w:ascii="Arial" w:cs="Arial" w:eastAsia="Arial" w:hAnsi="Arial"/>
                <w:color w:val="444444"/>
                <w:sz w:val="20"/>
                <w:szCs w:val="20"/>
              </w:rPr>
              <w:t xml:space="preserve">Prince George's Community College (PGCC)</w:t>
            </w:r>
          </w:p>
        </w:tc>
        <w:tc>
          <w:tcPr>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tcPr>
          <w:p>
            <w:r>
              <w:rPr>
                <w:rFonts w:ascii="Arial" w:cs="Arial" w:eastAsia="Arial" w:hAnsi="Arial"/>
                <w:b/>
                <w:bCs/>
                <w:color w:val="666666"/>
                <w:sz w:val="18"/>
                <w:szCs w:val="18"/>
              </w:rPr>
              <w:t xml:space="preserve">Cohorts Served</w:t>
            </w:r>
          </w:p>
          <w:p>
            <w:r>
              <w:rPr>
                <w:rFonts w:ascii="Arial" w:cs="Arial" w:eastAsia="Arial" w:hAnsi="Arial"/>
                <w:b/>
                <w:bCs/>
                <w:color w:val="003366"/>
                <w:sz w:val="22"/>
                <w:szCs w:val="22"/>
              </w:rPr>
              <w:t xml:space="preserve">4 Active Cohorts  |  57 Students</w:t>
            </w:r>
          </w:p>
          <w:p>
            <w:r>
              <w:rPr>
                <w:rFonts w:ascii="Arial" w:cs="Arial" w:eastAsia="Arial" w:hAnsi="Arial"/>
                <w:color w:val="444444"/>
                <w:sz w:val="20"/>
                <w:szCs w:val="20"/>
              </w:rPr>
              <w:t xml:space="preserve">Classes of 2026 (12th) · 2027 (11th) · 2028 (10th) · 2029 (9th)</w:t>
            </w:r>
          </w:p>
        </w:tc>
      </w:tr>
    </w:tbl>
    <w:p>
      <w:pPr>
        <w:spacing w:after="60" w:before="60"/>
      </w:pPr>
      <w:r>
        <w:t xml:space="preserve"/>
      </w:r>
    </w:p>
    <w:p>
      <w:pPr>
        <w:pageBreakBefore/>
      </w:pPr>
    </w:p>
    <w:p>
      <w:pPr>
        <w:pStyle w:val="Heading1"/>
      </w:pPr>
      <w:r>
        <w:t xml:space="preserve">Section 1: Executive Summary — AY 2025–2026</w:t>
      </w:r>
    </w:p>
    <w:p>
      <w:pPr>
        <w:pBdr>
          <w:bottom w:val="single" w:color="003366" w:sz="12" w:space="1"/>
        </w:pBdr>
        <w:spacing w:after="120" w:before="120"/>
      </w:pPr>
      <w:r>
        <w:t xml:space="preserve"/>
      </w:r>
    </w:p>
    <w:p>
      <w:pPr>
        <w:spacing w:after="80" w:before="80"/>
        <w:jc w:val="left"/>
      </w:pPr>
      <w:r>
        <w:rPr>
          <w:rFonts w:ascii="Arial" w:cs="Arial" w:eastAsia="Arial" w:hAnsi="Arial"/>
          <w:sz w:val="22"/>
          <w:szCs w:val="22"/>
        </w:rPr>
        <w:t xml:space="preserve">This Evidence Portfolio documents the comprehensive outreach, communication, and instructional support activities conducted by Carlton A. James, Talent Ready Facilitator, during Academic Year 2025–2026 in support of the Talent Ready IT Program at Largo High School in partnership with Prince George's Community College (PGCC). All activities align with the Maryland Blueprint for Maryland's Future, Pillars 3 (College and Career Readiness) and 4 (More Resources for Students who Need It Most), and comply fully with FERPA (20 U.S.C. § 1232g).</w:t>
      </w:r>
    </w:p>
    <w:p>
      <w:pPr>
        <w:spacing w:after="60" w:before="60"/>
      </w:pPr>
      <w:r>
        <w:t xml:space="preserve"/>
      </w:r>
    </w:p>
    <w:p>
      <w:pPr>
        <w:pStyle w:val="Heading2"/>
      </w:pPr>
      <w:r>
        <w:t xml:space="preserve">Key Highlights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center"/>
            </w:pPr>
            <w:r>
              <w:rPr>
                <w:rFonts w:ascii="Georgia" w:cs="Georgia" w:eastAsia="Georgia" w:hAnsi="Georgia"/>
                <w:b/>
                <w:bCs/>
                <w:color w:val="FFD700"/>
                <w:sz w:val="56"/>
                <w:szCs w:val="56"/>
              </w:rPr>
              <w:t xml:space="preserve">100%</w:t>
            </w:r>
          </w:p>
          <w:p>
            <w:pPr>
              <w:jc w:val="center"/>
            </w:pPr>
            <w:r>
              <w:rPr>
                <w:rFonts w:ascii="Arial" w:cs="Arial" w:eastAsia="Arial" w:hAnsi="Arial"/>
                <w:color w:val="FFFFFF"/>
                <w:sz w:val="20"/>
                <w:szCs w:val="20"/>
              </w:rPr>
              <w:t xml:space="preserve">Cohort 2028</w:t>
            </w:r>
          </w:p>
          <w:p>
            <w:pPr>
              <w:jc w:val="center"/>
            </w:pPr>
            <w:r>
              <w:rPr>
                <w:rFonts w:ascii="Arial" w:cs="Arial" w:eastAsia="Arial" w:hAnsi="Arial"/>
                <w:color w:val="AACCEE"/>
                <w:sz w:val="18"/>
                <w:szCs w:val="18"/>
              </w:rPr>
              <w:t xml:space="preserve">Passing Rate</w:t>
            </w:r>
          </w:p>
        </w:tc>
        <w:tc>
          <w:tcPr>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center"/>
            </w:pPr>
            <w:r>
              <w:rPr>
                <w:rFonts w:ascii="Georgia" w:cs="Georgia" w:eastAsia="Georgia" w:hAnsi="Georgia"/>
                <w:b/>
                <w:bCs/>
                <w:color w:val="FFD700"/>
                <w:sz w:val="56"/>
                <w:szCs w:val="56"/>
              </w:rPr>
              <w:t xml:space="preserve">100%</w:t>
            </w:r>
          </w:p>
          <w:p>
            <w:pPr>
              <w:jc w:val="center"/>
            </w:pPr>
            <w:r>
              <w:rPr>
                <w:rFonts w:ascii="Arial" w:cs="Arial" w:eastAsia="Arial" w:hAnsi="Arial"/>
                <w:color w:val="FFFFFF"/>
                <w:sz w:val="20"/>
                <w:szCs w:val="20"/>
              </w:rPr>
              <w:t xml:space="preserve">Parent Conference</w:t>
            </w:r>
          </w:p>
          <w:p>
            <w:pPr>
              <w:jc w:val="center"/>
            </w:pPr>
            <w:r>
              <w:rPr>
                <w:rFonts w:ascii="Arial" w:cs="Arial" w:eastAsia="Arial" w:hAnsi="Arial"/>
                <w:color w:val="AACCEE"/>
                <w:sz w:val="18"/>
                <w:szCs w:val="18"/>
              </w:rPr>
              <w:t xml:space="preserve">Attendance Rate</w:t>
            </w:r>
          </w:p>
        </w:tc>
        <w:tc>
          <w:tcPr>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center"/>
            </w:pPr>
            <w:r>
              <w:rPr>
                <w:rFonts w:ascii="Georgia" w:cs="Georgia" w:eastAsia="Georgia" w:hAnsi="Georgia"/>
                <w:b/>
                <w:bCs/>
                <w:color w:val="FFD700"/>
                <w:sz w:val="52"/>
                <w:szCs w:val="52"/>
              </w:rPr>
              <w:t xml:space="preserve">2,052+</w:t>
            </w:r>
          </w:p>
          <w:p>
            <w:pPr>
              <w:jc w:val="center"/>
            </w:pPr>
            <w:r>
              <w:rPr>
                <w:rFonts w:ascii="Arial" w:cs="Arial" w:eastAsia="Arial" w:hAnsi="Arial"/>
                <w:color w:val="FFFFFF"/>
                <w:sz w:val="20"/>
                <w:szCs w:val="20"/>
              </w:rPr>
              <w:t xml:space="preserve">Parent Email</w:t>
            </w:r>
          </w:p>
          <w:p>
            <w:pPr>
              <w:jc w:val="center"/>
            </w:pPr>
            <w:r>
              <w:rPr>
                <w:rFonts w:ascii="Arial" w:cs="Arial" w:eastAsia="Arial" w:hAnsi="Arial"/>
                <w:color w:val="AACCEE"/>
                <w:sz w:val="18"/>
                <w:szCs w:val="18"/>
              </w:rPr>
              <w:t xml:space="preserve">Deliveries (AY)</w:t>
            </w:r>
          </w:p>
        </w:tc>
        <w:tc>
          <w:tcPr>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center"/>
            </w:pPr>
            <w:r>
              <w:rPr>
                <w:rFonts w:ascii="Georgia" w:cs="Georgia" w:eastAsia="Georgia" w:hAnsi="Georgia"/>
                <w:b/>
                <w:bCs/>
                <w:color w:val="FFD700"/>
                <w:sz w:val="56"/>
                <w:szCs w:val="56"/>
              </w:rPr>
              <w:t xml:space="preserve">57</w:t>
            </w:r>
          </w:p>
          <w:p>
            <w:pPr>
              <w:jc w:val="center"/>
            </w:pPr>
            <w:r>
              <w:rPr>
                <w:rFonts w:ascii="Arial" w:cs="Arial" w:eastAsia="Arial" w:hAnsi="Arial"/>
                <w:color w:val="FFFFFF"/>
                <w:sz w:val="20"/>
                <w:szCs w:val="20"/>
              </w:rPr>
              <w:t xml:space="preserve">Students Supported</w:t>
            </w:r>
          </w:p>
          <w:p>
            <w:pPr>
              <w:jc w:val="center"/>
            </w:pPr>
            <w:r>
              <w:rPr>
                <w:rFonts w:ascii="Arial" w:cs="Arial" w:eastAsia="Arial" w:hAnsi="Arial"/>
                <w:color w:val="AACCEE"/>
                <w:sz w:val="18"/>
                <w:szCs w:val="18"/>
              </w:rPr>
              <w:t xml:space="preserve">Across 4 Cohorts</w:t>
            </w:r>
          </w:p>
        </w:tc>
      </w:tr>
    </w:tbl>
    <w:p>
      <w:pPr>
        <w:spacing w:after="60" w:before="60"/>
      </w:pPr>
      <w:r>
        <w:t xml:space="preserve"/>
      </w:r>
    </w:p>
    <w:p>
      <w:pPr>
        <w:pStyle w:val="Heading2"/>
      </w:pPr>
      <w:r>
        <w:t xml:space="preserve">SGM Evidence Statement</w:t>
      </w:r>
    </w:p>
    <w:p>
      <w:pPr>
        <w:spacing w:after="80" w:before="80"/>
        <w:jc w:val="left"/>
      </w:pPr>
      <w:r>
        <w:rPr>
          <w:rFonts w:ascii="Arial" w:cs="Arial" w:eastAsia="Arial" w:hAnsi="Arial"/>
          <w:sz w:val="22"/>
          <w:szCs w:val="22"/>
        </w:rPr>
        <w:t xml:space="preserve">The following evidence was compiled to support the End-of-Year (EOY) Conference for SGM Student Growth Measure #131049 (Edoctrina). Mr. James targeted his 10th-grade Cohort 2028 students, who were enrolled in COM-1010 (Speech Communication) and INT-1700 (Understanding Operating Systems) at PGCC. At the outset of the year, the students and families were challenged by the academic rigor inherent in college-level coursework. Through a systematic outreach strategy — including weekly parent newsletters, a personalized syllabus-based study application developed in partnership with families, Coursera AI Foundations enrollment, Google IT Support certification study groups, and individualized parent conferences — Mr. James achieved a 100% passing rate across all targeted 10th-grade students.</w:t>
      </w:r>
    </w:p>
    <w:p>
      <w:pPr>
        <w:spacing w:after="60" w:before="60"/>
      </w:pPr>
      <w:r>
        <w:t xml:space="preserve"/>
      </w:r>
    </w:p>
    <w:p>
      <w:pPr>
        <w:spacing w:after="80" w:before="80"/>
        <w:jc w:val="left"/>
      </w:pPr>
      <w:r>
        <w:rPr>
          <w:rFonts w:ascii="Arial" w:cs="Arial" w:eastAsia="Arial" w:hAnsi="Arial"/>
          <w:sz w:val="22"/>
          <w:szCs w:val="22"/>
        </w:rPr>
        <w:t xml:space="preserve">The SGM Collaborative Conversations component (rated Level 4) documents how Mr. James actively engaged parents by sending a clear digital guide for building a personalized application based on each course's syllabus. Parents submitted input, students received customized flash cards and questionnaires, and the app was updated to reflect parent feedback. The app gave students insight into upcoming lesson content before each class session. This collaborative model directly contributed to measurable academic growth documented in the grade outcomes contained in Section 4 of this portfolio.</w:t>
      </w:r>
    </w:p>
    <w:p>
      <w:pPr>
        <w:pageBreakBefore/>
      </w:pPr>
    </w:p>
    <w:p>
      <w:pPr>
        <w:pStyle w:val="Heading1"/>
      </w:pPr>
      <w:r>
        <w:t xml:space="preserve">Section 2: Parent &amp; Student Outreach Strategy</w:t>
      </w:r>
    </w:p>
    <w:p>
      <w:pPr>
        <w:pBdr>
          <w:bottom w:val="single" w:color="003366" w:sz="12" w:space="1"/>
        </w:pBdr>
        <w:spacing w:after="120" w:before="120"/>
      </w:pPr>
      <w:r>
        <w:t xml:space="preserve"/>
      </w:r>
    </w:p>
    <w:p>
      <w:pPr>
        <w:spacing w:after="80" w:before="80"/>
        <w:jc w:val="left"/>
      </w:pPr>
      <w:r>
        <w:rPr>
          <w:rFonts w:ascii="Arial" w:cs="Arial" w:eastAsia="Arial" w:hAnsi="Arial"/>
          <w:sz w:val="22"/>
          <w:szCs w:val="22"/>
        </w:rPr>
        <w:t xml:space="preserve">Mr. James implemented a multi-modal, year-long outreach strategy beginning August 25, 2025, to ensure all 57 students and their families remained informed, engaged, and academically supported throughout the dual-enrollment program year. This strategy operated across four communication channels and was embedded with FERPA-compliant, student-specific grade data.</w:t>
      </w:r>
    </w:p>
    <w:p>
      <w:pPr>
        <w:spacing w:after="60" w:before="60"/>
      </w:pPr>
      <w:r>
        <w:t xml:space="preserve"/>
      </w:r>
    </w:p>
    <w:p>
      <w:pPr>
        <w:pStyle w:val="Heading2"/>
      </w:pPr>
      <w:r>
        <w:t xml:space="preserve">2.1  Communication Channels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760"/>
        <w:gridCol w:w="3000"/>
      </w:tblGrid>
      <w:tr>
        <w:trPr>
          <w:tblHeader/>
        </w:trPr>
        <w:tc>
          <w:tcPr>
            <w:tcW w:type="dxa" w:w="20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Channel</w:t>
            </w:r>
          </w:p>
        </w:tc>
        <w:tc>
          <w:tcPr>
            <w:tcW w:type="dxa" w:w="16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Frequency</w:t>
            </w:r>
          </w:p>
        </w:tc>
        <w:tc>
          <w:tcPr>
            <w:tcW w:type="dxa" w:w="276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Audience</w:t>
            </w:r>
          </w:p>
        </w:tc>
        <w:tc>
          <w:tcPr>
            <w:tcW w:type="dxa" w:w="30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Platform / Method</w:t>
            </w:r>
          </w:p>
        </w:tc>
      </w:tr>
      <w:tr>
        <w:tc>
          <w:tcPr>
            <w:tcW w:type="dxa" w:w="2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Weekly Mass Parent Email</w:t>
            </w:r>
          </w:p>
        </w:tc>
        <w:tc>
          <w:tcPr>
            <w:tcW w:type="dxa" w:w="16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Every Thursday 2:00 PM</w:t>
            </w:r>
          </w:p>
        </w:tc>
        <w:tc>
          <w:tcPr>
            <w:tcW w:type="dxa" w:w="2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All 57 Families (4 Cohorts)</w:t>
            </w:r>
          </w:p>
        </w:tc>
        <w:tc>
          <w:tcPr>
            <w:tcW w:type="dxa" w:w="3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PGCPS Outlook / Microsoft 365</w:t>
            </w:r>
          </w:p>
        </w:tc>
      </w:tr>
      <w:tr>
        <w:tc>
          <w:tcPr>
            <w:tcW w:type="dxa" w:w="2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Targeted Individual Email</w:t>
            </w:r>
          </w:p>
        </w:tc>
        <w:tc>
          <w:tcPr>
            <w:tcW w:type="dxa" w:w="16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As-needed (alert triggers)</w:t>
            </w:r>
          </w:p>
        </w:tc>
        <w:tc>
          <w:tcPr>
            <w:tcW w:type="dxa" w:w="2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At-risk &amp; milestone families</w:t>
            </w:r>
          </w:p>
        </w:tc>
        <w:tc>
          <w:tcPr>
            <w:tcW w:type="dxa" w:w="3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PGCPS Outlook — student-specific FERPA-filtered PDF</w:t>
            </w:r>
          </w:p>
        </w:tc>
      </w:tr>
      <w:tr>
        <w:tc>
          <w:tcPr>
            <w:tcW w:type="dxa" w:w="2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Parent-Teacher Conference</w:t>
            </w:r>
          </w:p>
        </w:tc>
        <w:tc>
          <w:tcPr>
            <w:tcW w:type="dxa" w:w="16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Q1 (Oct) &amp; Q3 (Mar)</w:t>
            </w:r>
          </w:p>
        </w:tc>
        <w:tc>
          <w:tcPr>
            <w:tcW w:type="dxa" w:w="2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Selected families by MTSS tier</w:t>
            </w:r>
          </w:p>
        </w:tc>
        <w:tc>
          <w:tcPr>
            <w:tcW w:type="dxa" w:w="3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In-person / Virtual (Teams)</w:t>
            </w:r>
          </w:p>
        </w:tc>
      </w:tr>
      <w:tr>
        <w:tc>
          <w:tcPr>
            <w:tcW w:type="dxa" w:w="2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ElevateED Parent Dashboard</w:t>
            </w:r>
          </w:p>
        </w:tc>
        <w:tc>
          <w:tcPr>
            <w:tcW w:type="dxa" w:w="16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Live (24/7 access)</w:t>
            </w:r>
          </w:p>
        </w:tc>
        <w:tc>
          <w:tcPr>
            <w:tcW w:type="dxa" w:w="2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All families</w:t>
            </w:r>
          </w:p>
        </w:tc>
        <w:tc>
          <w:tcPr>
            <w:tcW w:type="dxa" w:w="3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Google Workspace — launched Oct 30, 2025</w:t>
            </w:r>
          </w:p>
        </w:tc>
      </w:tr>
      <w:tr>
        <w:tc>
          <w:tcPr>
            <w:tcW w:type="dxa" w:w="2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Study App — Syllabus Guide</w:t>
            </w:r>
          </w:p>
        </w:tc>
        <w:tc>
          <w:tcPr>
            <w:tcW w:type="dxa" w:w="16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Semester launch</w:t>
            </w:r>
          </w:p>
        </w:tc>
        <w:tc>
          <w:tcPr>
            <w:tcW w:type="dxa" w:w="2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Cohort 2028 Families</w:t>
            </w:r>
          </w:p>
        </w:tc>
        <w:tc>
          <w:tcPr>
            <w:tcW w:type="dxa" w:w="3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AI-powered personalized flashcards — parent input integration</w:t>
            </w:r>
          </w:p>
        </w:tc>
      </w:tr>
      <w:tr>
        <w:tc>
          <w:tcPr>
            <w:tcW w:type="dxa" w:w="2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Certification Study Groups</w:t>
            </w:r>
          </w:p>
        </w:tc>
        <w:tc>
          <w:tcPr>
            <w:tcW w:type="dxa" w:w="16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Bi-weekly</w:t>
            </w:r>
          </w:p>
        </w:tc>
        <w:tc>
          <w:tcPr>
            <w:tcW w:type="dxa" w:w="2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All cohorts — opt-in</w:t>
            </w:r>
          </w:p>
        </w:tc>
        <w:tc>
          <w:tcPr>
            <w:tcW w:type="dxa" w:w="3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Coursera AI Foundations + Google IT Support — in-school sessions</w:t>
            </w:r>
          </w:p>
        </w:tc>
      </w:tr>
    </w:tbl>
    <w:p>
      <w:pPr>
        <w:spacing w:after="60" w:before="60"/>
      </w:pPr>
      <w:r>
        <w:t xml:space="preserve"/>
      </w:r>
    </w:p>
    <w:p>
      <w:pPr>
        <w:pStyle w:val="Heading2"/>
      </w:pPr>
      <w:r>
        <w:t xml:space="preserve">2.2  Outreach Volume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Metric</w:t>
            </w:r>
          </w:p>
        </w:tc>
        <w:tc>
          <w:tcPr>
            <w:tcW w:type="dxa" w:w="436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Result</w:t>
            </w:r>
          </w:p>
        </w:tc>
      </w:tr>
      <w:tr>
        <w:tc>
          <w:tcPr>
            <w:tcW w:type="dxa" w:w="5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Total Mass Emails Sent (All Cohorts)</w:t>
            </w:r>
          </w:p>
        </w:tc>
        <w:tc>
          <w:tcPr>
            <w:tcW w:type="dxa" w:w="43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36 emails × 57 families = 2,052 individual deliveries</w:t>
            </w:r>
          </w:p>
        </w:tc>
      </w:tr>
      <w:tr>
        <w:tc>
          <w:tcPr>
            <w:tcW w:type="dxa" w:w="5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Individual / Targeted Emails Sent</w:t>
            </w:r>
          </w:p>
        </w:tc>
        <w:tc>
          <w:tcPr>
            <w:tcW w:type="dxa" w:w="43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14 targeted communications to at-risk or milestone families</w:t>
            </w:r>
          </w:p>
        </w:tc>
      </w:tr>
      <w:tr>
        <w:tc>
          <w:tcPr>
            <w:tcW w:type="dxa" w:w="5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Parent Conferences Conducted</w:t>
            </w:r>
          </w:p>
        </w:tc>
        <w:tc>
          <w:tcPr>
            <w:tcW w:type="dxa" w:w="43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 conferences (6 in Q1, 4 in Q3) — 100% attendance rate</w:t>
            </w:r>
          </w:p>
        </w:tc>
      </w:tr>
      <w:tr>
        <w:tc>
          <w:tcPr>
            <w:tcW w:type="dxa" w:w="5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Total Documented Communications</w:t>
            </w:r>
          </w:p>
        </w:tc>
        <w:tc>
          <w:tcPr>
            <w:tcW w:type="dxa" w:w="43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60+ logged outreach events (Aug 28, 2025 – Jun 16, 2026)</w:t>
            </w:r>
          </w:p>
        </w:tc>
      </w:tr>
      <w:tr>
        <w:tc>
          <w:tcPr>
            <w:tcW w:type="dxa" w:w="5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Parent Response Rate (Individual Emails)</w:t>
            </w:r>
          </w:p>
        </w:tc>
        <w:tc>
          <w:tcPr>
            <w:tcW w:type="dxa" w:w="43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Avg. 94% response rate across all targeted communications</w:t>
            </w:r>
          </w:p>
        </w:tc>
      </w:tr>
      <w:tr>
        <w:tc>
          <w:tcPr>
            <w:tcW w:type="dxa" w:w="5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PGCC Closure Policy Reminders Sent</w:t>
            </w:r>
          </w:p>
        </w:tc>
        <w:tc>
          <w:tcPr>
            <w:tcW w:type="dxa" w:w="43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Every newsletter included explicit PGCC ≠ PGCPS closure notice</w:t>
            </w:r>
          </w:p>
        </w:tc>
      </w:tr>
      <w:tr>
        <w:tc>
          <w:tcPr>
            <w:tcW w:type="dxa" w:w="5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Thursday 2:00 PM Email Schedule Adherence</w:t>
            </w:r>
          </w:p>
        </w:tc>
        <w:tc>
          <w:tcPr>
            <w:tcW w:type="dxa" w:w="43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100% — Zero missed Thursday distributions</w:t>
            </w:r>
          </w:p>
        </w:tc>
      </w:tr>
      <w:tr>
        <w:tc>
          <w:tcPr>
            <w:tcW w:type="dxa" w:w="5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Families Receiving Makeup Work Celebrations</w:t>
            </w:r>
          </w:p>
        </w:tc>
        <w:tc>
          <w:tcPr>
            <w:tcW w:type="dxa" w:w="43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 families notified of grade recovery events (Feb 26, 2026)</w:t>
            </w:r>
          </w:p>
        </w:tc>
      </w:tr>
      <w:tr>
        <w:tc>
          <w:tcPr>
            <w:tcW w:type="dxa" w:w="5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Cohort 2026 Graduation Communications</w:t>
            </w:r>
          </w:p>
        </w:tc>
        <w:tc>
          <w:tcPr>
            <w:tcW w:type="dxa" w:w="43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 dedicated senior milestone emails; 100% final response rate</w:t>
            </w:r>
          </w:p>
        </w:tc>
      </w:tr>
      <w:tr>
        <w:tc>
          <w:tcPr>
            <w:tcW w:type="dxa" w:w="5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ElevateED Dashboard Introduced to Parents</w:t>
            </w:r>
          </w:p>
        </w:tc>
        <w:tc>
          <w:tcPr>
            <w:tcW w:type="dxa" w:w="43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October 30, 2025 — parent access guide distributed</w:t>
            </w:r>
          </w:p>
        </w:tc>
      </w:tr>
    </w:tbl>
    <w:p>
      <w:pPr>
        <w:spacing w:after="60" w:before="60"/>
      </w:pPr>
      <w:r>
        <w:t xml:space="preserve"/>
      </w:r>
    </w:p>
    <w:p>
      <w:pPr>
        <w:pStyle w:val="Heading2"/>
      </w:pPr>
      <w:r>
        <w:t xml:space="preserve">2.3  PGCPS Closure Policy Communication</w:t>
      </w:r>
    </w:p>
    <w:p>
      <w:pPr>
        <w:spacing w:after="80" w:before="80"/>
        <w:jc w:val="left"/>
      </w:pPr>
      <w:r>
        <w:rPr>
          <w:rFonts w:ascii="Arial" w:cs="Arial" w:eastAsia="Arial" w:hAnsi="Arial"/>
          <w:sz w:val="22"/>
          <w:szCs w:val="22"/>
        </w:rPr>
        <w:t xml:space="preserve">A critical compliance obligation of the Talent Ready IT Program is ensuring that families understand that PGCPS school closures (weather, holidays, emergencies) do NOT affect PGCC course deadlines. Mr. James embedded an explicit reminder of this policy in every weekly parent newsletter throughout the academic year. Notable examples include:</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November 20, 2025 — Thanksgiving Week email: "PGCC Classes Continue Online — assignments due as scheduled."</w:t>
      </w:r>
    </w:p>
    <w:p>
      <w:pPr>
        <w:pStyle w:val="ListParagraph"/>
        <w:numPr>
          <w:ilvl w:val="0"/>
          <w:numId w:val="2"/>
        </w:numPr>
        <w:spacing w:after="60" w:before="60"/>
      </w:pPr>
      <w:r>
        <w:rPr>
          <w:rFonts w:ascii="Arial" w:cs="Arial" w:eastAsia="Arial" w:hAnsi="Arial"/>
          <w:sz w:val="22"/>
          <w:szCs w:val="22"/>
        </w:rPr>
        <w:t xml:space="preserve">February 19, 2026 — President's Day email: "PGCPS Closed / PGCC Online Classes Continue — students must remain engaged."</w:t>
      </w:r>
    </w:p>
    <w:p>
      <w:pPr>
        <w:pStyle w:val="ListParagraph"/>
        <w:numPr>
          <w:ilvl w:val="0"/>
          <w:numId w:val="2"/>
        </w:numPr>
        <w:spacing w:after="60" w:before="60"/>
      </w:pPr>
      <w:r>
        <w:rPr>
          <w:rFonts w:ascii="Arial" w:cs="Arial" w:eastAsia="Arial" w:hAnsi="Arial"/>
          <w:sz w:val="22"/>
          <w:szCs w:val="22"/>
        </w:rPr>
        <w:t xml:space="preserve">March 19, 2026 — Spring Break email: "PGCPS Closed / PGCC Deadlines Unchanged — course submissions are due per PGCC syllabus."</w:t>
      </w:r>
    </w:p>
    <w:p>
      <w:pPr>
        <w:pStyle w:val="ListParagraph"/>
        <w:numPr>
          <w:ilvl w:val="0"/>
          <w:numId w:val="2"/>
        </w:numPr>
        <w:spacing w:after="60" w:before="60"/>
      </w:pPr>
      <w:r>
        <w:rPr>
          <w:rFonts w:ascii="Arial" w:cs="Arial" w:eastAsia="Arial" w:hAnsi="Arial"/>
          <w:sz w:val="22"/>
          <w:szCs w:val="22"/>
        </w:rPr>
        <w:t xml:space="preserve">January 22, 2026 — Spring 2026 Launch: "PGCPS School Closure ≠ PGCC Course Closure — weekly reminder enclosed with all grade reports."</w:t>
      </w:r>
    </w:p>
    <w:p>
      <w:pPr>
        <w:pageBreakBefore/>
      </w:pPr>
    </w:p>
    <w:p>
      <w:pPr>
        <w:pStyle w:val="Heading1"/>
      </w:pPr>
      <w:r>
        <w:t xml:space="preserve">Section 3: Full Communication Log — August 25, 2025 through June 16, 2026</w:t>
      </w:r>
    </w:p>
    <w:p>
      <w:pPr>
        <w:pBdr>
          <w:bottom w:val="single" w:color="003366" w:sz="12" w:space="1"/>
        </w:pBdr>
        <w:spacing w:after="120" w:before="120"/>
      </w:pPr>
      <w:r>
        <w:t xml:space="preserve"/>
      </w:r>
    </w:p>
    <w:p>
      <w:pPr>
        <w:spacing w:after="80" w:before="80"/>
        <w:jc w:val="left"/>
      </w:pPr>
      <w:r>
        <w:rPr>
          <w:rFonts w:ascii="Arial" w:cs="Arial" w:eastAsia="Arial" w:hAnsi="Arial"/>
          <w:sz w:val="22"/>
          <w:szCs w:val="22"/>
        </w:rPr>
        <w:t xml:space="preserve">The following table constitutes the complete documented communication log for Academic Year 2025–2026. All mass emails were delivered via PGCPS Microsoft 365 Outlook. Individual/targeted emails included FERPA-filtered, student-specific grade data. Parent conferences were held in person or via Microsoft Teams.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100"/>
        <w:gridCol w:w="3760"/>
        <w:gridCol w:w="900"/>
      </w:tblGrid>
      <w:tr>
        <w:trPr>
          <w:tblHeader/>
        </w:trPr>
        <w:tc>
          <w:tcPr>
            <w:tcW w:type="dxa" w:w="12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Date</w:t>
            </w:r>
          </w:p>
        </w:tc>
        <w:tc>
          <w:tcPr>
            <w:tcW w:type="dxa" w:w="14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Type</w:t>
            </w:r>
          </w:p>
        </w:tc>
        <w:tc>
          <w:tcPr>
            <w:tcW w:type="dxa" w:w="21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Recipients</w:t>
            </w:r>
          </w:p>
        </w:tc>
        <w:tc>
          <w:tcPr>
            <w:tcW w:type="dxa" w:w="376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Subject / Description</w:t>
            </w:r>
          </w:p>
        </w:tc>
        <w:tc>
          <w:tcPr>
            <w:tcW w:type="dxa" w:w="9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Status</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08/28/2025</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Welcome to Talent Ready IT AY 2025–26 | Program Orientation &amp; PGCC Course Overview</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 | No bounces</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09/04/2025</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1 Grade Report | Course Access Confirmed | PGCC Owl Mail Setup Instructions</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09/11/2025</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2 Grade Report | Attendance Check | PGCC School Closure Policy Reminder</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09/18/2025</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3 Grade Report | First Assignments Due | PGCC Canvas Login Support Available</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09/25/2025</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Individual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3 Families — At-Risk Students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URGENT: Academic Alert — Below 70% Threshold | Mandatory Parent Conference Request</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 | 2 of 3 responded</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09/25/2025</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4 Grade Report | Q1 Progress Update | MTSS Tier Review Underway</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10/02/2025</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5 Grade Report | Q1 Midpoint | Syllabus-Based Study App Launch Announced</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10/09/2025</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6 Grade Report | Coursera AI Foundations Study Group — Student Invitation Enclosed</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10/09/2025</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Parent Conference</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6 Individual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One-on-One Parent-Teacher Conference | Q1 Academic Progress Review | Intervention Plan</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Held ✓ | All 6 attended</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10/16/2025</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7 Grade Report | PGCC Withdrawal Deadline Notice | Study Resources Enclosed</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10/23/2025</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8 Grade Report | Q1 Final Week | Honor Roll Preliminary List Shared</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10/30/2025</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9 Grade Report | Q1 Results | Blueprint CCR Status by Student Enclosed</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10/30/2025</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Q1 Final Grades Released | ElevateED Dashboard Now Live for Parent Access</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11/06/2025</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10 Grade Report | Q2 Begins | PGCC Advising Appointments for Cohort 2026</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11/06/2025</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Individual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Cohort 2026 — 16 Senior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PGCC Associate Degree Audit | On Track for May 2026 Graduation | Next Steps</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 | 14 of 16 responded</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11/13/2025</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11 Grade Report | Veterans Day Reflection | PGCC Online Classes Remain Open</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11/20/2025</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12 Grade Report | Thanksgiving Week — PGCC Classes Continue Online</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11/20/2025</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Individual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2 Families — Missing Assignments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Missing Assignment Alert | Action Required Before Q2 Midpoint</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 | 2 of 2 responded</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12/04/2025</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13 Grade Report | Q2 Midpoint | Intervention Support Available</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12/11/2025</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14 Grade Report | Finals Preparation Resources | PGCC Tutoring Center Access</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12/18/2025</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15 Grade Report | Fall 2025 Semester Finals Week | Study Schedules Enclosed</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01/08/2026</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Spring 2026 Welcome | New Course Assignments | PGCC Spring Semester Begins 1/21/26</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01/15/2026</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16 Grade Report | Spring 2026 Courses Active | Canvas Access Confirmed</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01/22/2026</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17 Grade Report | First Spring Assignment Deadlines | PGCC Closure ≠ PGCC Closure</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01/29/2026</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18 Grade Report | Q3 Begins | Parent Guide to EGL-1340 Technical Writing</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02/05/2026</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19 Grade Report | Personalized Study App Flash Cards Now Available to Families</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02/05/2026</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Individual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Cohort 2026 — 16 Senior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Spring 2026 Course Progress | Graduation Pathway Confirmation | Final Semester Action Plan</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 | 15 of 16 responded</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02/12/2026</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20 Grade Report | Q3 Midpoint | Google IT Support Certification Study Sessions</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02/19/2026</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21 Grade Report | President's Day — PGCPS Closed | PGCC Classes Continue Online</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02/26/2026</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22 Grade Report | Makeup Work Celebration — 3 Students Recovered Scores</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03/05/2026</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23 Grade Report | Q3 Final Push | PGCC Withdrawal Deadline 3/20/26</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03/05/2026</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Individual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5 Families — Below 75%</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Academic Support Alert | Tutoring &amp; Office Hours Schedule | Parent Acknowledgment Request</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 | 5 of 5 responded</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03/12/2026</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24 Grade Report | Spring Break Approaching | Online Assignment Deadlines Remain</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03/19/2026</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25 Grade Report | Spring Break — PGCPS Closed | PGCC Deadlines Unchanged</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03/26/2026</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Parent Conference</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4 Individual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Q3 Mid-Year Parent Conference | Cohort 2026 Senior Exit Pathway Review</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Held ✓ | All 4 attended</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04/02/2026</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26 Grade Report | Q4 Begins | Cohort 2026 Final Semester Status Report</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04/09/2026</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27 Grade Report | Q4 Progress | Personalized Syllabus Quiz App — Parent Input Survey</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04/16/2026</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28 Grade Report | Spring Break Wrap-Up | 100% Cohort 2028 Passing Rate Confirmed</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04/23/2026</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29 Grade Report | Cohort 2026 Final Exam Countdown | Senior Exit Ceremonies</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04/30/2026</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30 Grade Report | Final Weeks | End-of-Year Celebration Planning Announcement</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05/07/2026</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Week 31 Grade Report | PGCC Finals Week | Cohort 2026 Spring Grades Posted</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05/14/2026</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FINAL Grade Report AY 2025–26 | Year-End Summary | Blueprint CCR Outcome Results</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05/14/2026</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Individual Email</w:t>
            </w:r>
          </w:p>
        </w:tc>
        <w:tc>
          <w:tcPr>
            <w:tcW w:type="dxa" w:w="21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Cohort 2026 — 16 Senior Families</w:t>
            </w:r>
          </w:p>
        </w:tc>
        <w:tc>
          <w:tcPr>
            <w:tcW w:type="dxa" w:w="37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Congratulations — PGCC Associate Degree Pathway Complete | Transcript Request Instructions</w:t>
            </w:r>
          </w:p>
        </w:tc>
        <w:tc>
          <w:tcPr>
            <w:tcW w:type="dxa" w:w="9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 | 16 of 16 responded</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05/21/2026</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Mass Email</w:t>
            </w:r>
          </w:p>
        </w:tc>
        <w:tc>
          <w:tcPr>
            <w:tcW w:type="dxa" w:w="21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All Cohorts — 57 Families</w:t>
            </w:r>
          </w:p>
        </w:tc>
        <w:tc>
          <w:tcPr>
            <w:tcW w:type="dxa" w:w="37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End-of-Year Celebration Invitation | AY 2025–26 Achievements | Returning Student Pre-Enrollment</w:t>
            </w:r>
          </w:p>
        </w:tc>
        <w:tc>
          <w:tcPr>
            <w:tcW w:type="dxa" w:w="9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18"/>
                <w:szCs w:val="18"/>
              </w:rPr>
              <w:t xml:space="preserve">Sent ✓</w:t>
            </w:r>
          </w:p>
        </w:tc>
      </w:tr>
    </w:tbl>
    <w:p>
      <w:pPr>
        <w:pageBreakBefore/>
      </w:pPr>
    </w:p>
    <w:p>
      <w:pPr>
        <w:pStyle w:val="Heading1"/>
      </w:pPr>
      <w:r>
        <w:t xml:space="preserve">Section 4: Outreach Effectiveness — Data Visualizations</w:t>
      </w:r>
    </w:p>
    <w:p>
      <w:pPr>
        <w:pBdr>
          <w:bottom w:val="single" w:color="003366" w:sz="12" w:space="1"/>
        </w:pBdr>
        <w:spacing w:after="120" w:before="120"/>
      </w:pPr>
      <w:r>
        <w:t xml:space="preserve"/>
      </w:r>
    </w:p>
    <w:p>
      <w:pPr>
        <w:spacing w:after="80" w:before="80"/>
        <w:jc w:val="left"/>
      </w:pPr>
      <w:r>
        <w:rPr>
          <w:rFonts w:ascii="Arial" w:cs="Arial" w:eastAsia="Arial" w:hAnsi="Arial"/>
          <w:sz w:val="22"/>
          <w:szCs w:val="22"/>
        </w:rPr>
        <w:t xml:space="preserve">The following data tables present outreach volume and effectiveness metrics across the academic year. Charts are formatted for inclusion in the Edoctrina EOY Conference form and for physical binder documentation.</w:t>
      </w:r>
    </w:p>
    <w:p>
      <w:pPr>
        <w:spacing w:after="60" w:before="60"/>
      </w:pPr>
      <w:r>
        <w:t xml:space="preserve"/>
      </w:r>
    </w:p>
    <w:p>
      <w:pPr>
        <w:pStyle w:val="Heading2"/>
      </w:pPr>
      <w:r>
        <w:t xml:space="preserve">4.1  Monthly Communication Volume by Type</w:t>
      </w:r>
    </w:p>
    <w:p>
      <w:pPr>
        <w:spacing w:after="80" w:before="80"/>
        <w:jc w:val="left"/>
      </w:pPr>
      <w:r>
        <w:rPr>
          <w:rFonts w:ascii="Arial" w:cs="Arial" w:eastAsia="Arial" w:hAnsi="Arial"/>
          <w:sz w:val="22"/>
          <w:szCs w:val="22"/>
        </w:rPr>
        <w:t xml:space="preserve">Total outreach events per month, segmented by communication type. Spikes correspond to grading period transitions, school closure reminders, and senior milestone communications.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680"/>
        <w:gridCol w:w="1560"/>
        <w:gridCol w:w="1440"/>
      </w:tblGrid>
      <w:tr>
        <w:trPr>
          <w:tblHeader/>
        </w:trPr>
        <w:tc>
          <w:tcPr>
            <w:tcW w:type="dxa" w:w="18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Month</w:t>
            </w:r>
          </w:p>
        </w:tc>
        <w:tc>
          <w:tcPr>
            <w:tcW w:type="dxa" w:w="144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Mass Emails</w:t>
            </w:r>
          </w:p>
        </w:tc>
        <w:tc>
          <w:tcPr>
            <w:tcW w:type="dxa" w:w="144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Individual</w:t>
            </w:r>
          </w:p>
        </w:tc>
        <w:tc>
          <w:tcPr>
            <w:tcW w:type="dxa" w:w="168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Conferences</w:t>
            </w:r>
          </w:p>
        </w:tc>
        <w:tc>
          <w:tcPr>
            <w:tcW w:type="dxa" w:w="156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Total Events</w:t>
            </w:r>
          </w:p>
        </w:tc>
        <w:tc>
          <w:tcPr>
            <w:tcW w:type="dxa" w:w="144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Families Reached</w:t>
            </w:r>
          </w:p>
        </w:tc>
      </w:tr>
      <w:tr>
        <w:tc>
          <w:tcPr>
            <w:tcW w:type="dxa" w:w="1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August 2025</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57</w:t>
            </w:r>
          </w:p>
        </w:tc>
      </w:tr>
      <w:tr>
        <w:tc>
          <w:tcPr>
            <w:tcW w:type="dxa" w:w="1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September 2025</w:t>
            </w:r>
          </w:p>
        </w:tc>
        <w:tc>
          <w:tcPr>
            <w:tcW w:type="dxa" w:w="14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14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68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5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14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~160</w:t>
            </w:r>
          </w:p>
        </w:tc>
      </w:tr>
      <w:tr>
        <w:tc>
          <w:tcPr>
            <w:tcW w:type="dxa" w:w="1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October 2025</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~360</w:t>
            </w:r>
          </w:p>
        </w:tc>
      </w:tr>
      <w:tr>
        <w:tc>
          <w:tcPr>
            <w:tcW w:type="dxa" w:w="1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November 2025</w:t>
            </w:r>
          </w:p>
        </w:tc>
        <w:tc>
          <w:tcPr>
            <w:tcW w:type="dxa" w:w="14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4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168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5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14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~174</w:t>
            </w:r>
          </w:p>
        </w:tc>
      </w:tr>
      <w:tr>
        <w:tc>
          <w:tcPr>
            <w:tcW w:type="dxa" w:w="1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December 2025</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171</w:t>
            </w:r>
          </w:p>
        </w:tc>
      </w:tr>
      <w:tr>
        <w:tc>
          <w:tcPr>
            <w:tcW w:type="dxa" w:w="1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January 2026</w:t>
            </w:r>
          </w:p>
        </w:tc>
        <w:tc>
          <w:tcPr>
            <w:tcW w:type="dxa" w:w="14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4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68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5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4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171</w:t>
            </w:r>
          </w:p>
        </w:tc>
      </w:tr>
      <w:tr>
        <w:tc>
          <w:tcPr>
            <w:tcW w:type="dxa" w:w="1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February 2026</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~198</w:t>
            </w:r>
          </w:p>
        </w:tc>
      </w:tr>
      <w:tr>
        <w:tc>
          <w:tcPr>
            <w:tcW w:type="dxa" w:w="1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March 2026</w:t>
            </w:r>
          </w:p>
        </w:tc>
        <w:tc>
          <w:tcPr>
            <w:tcW w:type="dxa" w:w="14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14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68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5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14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~235</w:t>
            </w:r>
          </w:p>
        </w:tc>
      </w:tr>
      <w:tr>
        <w:tc>
          <w:tcPr>
            <w:tcW w:type="dxa" w:w="1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April 2026</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228</w:t>
            </w:r>
          </w:p>
        </w:tc>
      </w:tr>
      <w:tr>
        <w:tc>
          <w:tcPr>
            <w:tcW w:type="dxa" w:w="1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May 2026</w:t>
            </w:r>
          </w:p>
        </w:tc>
        <w:tc>
          <w:tcPr>
            <w:tcW w:type="dxa" w:w="14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4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68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5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14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~189</w:t>
            </w:r>
          </w:p>
        </w:tc>
      </w:tr>
      <w:tr>
        <w:tc>
          <w:tcPr>
            <w:tcW w:type="dxa" w:w="1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June 2026</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4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57</w:t>
            </w:r>
          </w:p>
        </w:tc>
      </w:tr>
      <w:tr>
        <w:trPr>
          <w:tblHeader/>
        </w:trPr>
        <w:tc>
          <w:tcPr>
            <w:tcW w:type="dxa" w:w="180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TOTAL AY 2025–26</w:t>
            </w:r>
          </w:p>
        </w:tc>
        <w:tc>
          <w:tcPr>
            <w:tcW w:type="dxa" w:w="144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34</w:t>
            </w:r>
          </w:p>
        </w:tc>
        <w:tc>
          <w:tcPr>
            <w:tcW w:type="dxa" w:w="144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8</w:t>
            </w:r>
          </w:p>
        </w:tc>
        <w:tc>
          <w:tcPr>
            <w:tcW w:type="dxa" w:w="168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2</w:t>
            </w:r>
          </w:p>
        </w:tc>
        <w:tc>
          <w:tcPr>
            <w:tcW w:type="dxa" w:w="156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44</w:t>
            </w:r>
          </w:p>
        </w:tc>
        <w:tc>
          <w:tcPr>
            <w:tcW w:type="dxa" w:w="144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2,000+</w:t>
            </w:r>
          </w:p>
        </w:tc>
      </w:tr>
    </w:tbl>
    <w:p>
      <w:pPr>
        <w:spacing w:after="60" w:before="60"/>
      </w:pPr>
      <w:r>
        <w:t xml:space="preserve"/>
      </w:r>
    </w:p>
    <w:p>
      <w:pPr>
        <w:pStyle w:val="Heading2"/>
      </w:pPr>
      <w:r>
        <w:t xml:space="preserve">4.2  Parent Response Rate by Communication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1680"/>
        <w:gridCol w:w="1680"/>
        <w:gridCol w:w="1520"/>
      </w:tblGrid>
      <w:tr>
        <w:trPr>
          <w:tblHeader/>
        </w:trPr>
        <w:tc>
          <w:tcPr>
            <w:tcW w:type="dxa" w:w="28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Communication Type</w:t>
            </w:r>
          </w:p>
        </w:tc>
        <w:tc>
          <w:tcPr>
            <w:tcW w:type="dxa" w:w="168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Sent</w:t>
            </w:r>
          </w:p>
        </w:tc>
        <w:tc>
          <w:tcPr>
            <w:tcW w:type="dxa" w:w="168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Responded</w:t>
            </w:r>
          </w:p>
        </w:tc>
        <w:tc>
          <w:tcPr>
            <w:tcW w:type="dxa" w:w="168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Response Rate</w:t>
            </w:r>
          </w:p>
        </w:tc>
        <w:tc>
          <w:tcPr>
            <w:tcW w:type="dxa" w:w="152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Avg. Days to Respond</w:t>
            </w:r>
          </w:p>
        </w:tc>
      </w:tr>
      <w:tr>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Mass Parent Email (Thursday Report)</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34</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N/A (broadcast)</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152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N/A — broadcast</w:t>
            </w:r>
          </w:p>
        </w:tc>
      </w:tr>
      <w:tr>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Targeted — At-Risk Academic Alert</w:t>
            </w:r>
          </w:p>
        </w:tc>
        <w:tc>
          <w:tcPr>
            <w:tcW w:type="dxa" w:w="168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68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68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152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1.8 days</w:t>
            </w:r>
          </w:p>
        </w:tc>
      </w:tr>
      <w:tr>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Targeted — Senior Graduation Pathway</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 campaigns</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14–16 / 16</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94–100%</w:t>
            </w:r>
          </w:p>
        </w:tc>
        <w:tc>
          <w:tcPr>
            <w:tcW w:type="dxa" w:w="152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2.1 days</w:t>
            </w:r>
          </w:p>
        </w:tc>
      </w:tr>
      <w:tr>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Targeted — Missing Assignment Alert</w:t>
            </w:r>
          </w:p>
        </w:tc>
        <w:tc>
          <w:tcPr>
            <w:tcW w:type="dxa" w:w="168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68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 / 2</w:t>
            </w:r>
          </w:p>
        </w:tc>
        <w:tc>
          <w:tcPr>
            <w:tcW w:type="dxa" w:w="168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152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Same day</w:t>
            </w:r>
          </w:p>
        </w:tc>
      </w:tr>
      <w:tr>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Targeted — Below 75% Support Alert</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 / 5</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152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2.4 days</w:t>
            </w:r>
          </w:p>
        </w:tc>
      </w:tr>
      <w:tr>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Parent Conference — Q1 (Oct 2025)</w:t>
            </w:r>
          </w:p>
        </w:tc>
        <w:tc>
          <w:tcPr>
            <w:tcW w:type="dxa" w:w="168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6 families</w:t>
            </w:r>
          </w:p>
        </w:tc>
        <w:tc>
          <w:tcPr>
            <w:tcW w:type="dxa" w:w="168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6 attended</w:t>
            </w:r>
          </w:p>
        </w:tc>
        <w:tc>
          <w:tcPr>
            <w:tcW w:type="dxa" w:w="168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152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N/A — scheduled</w:t>
            </w:r>
          </w:p>
        </w:tc>
      </w:tr>
      <w:tr>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Parent Conference — Q3 (Mar 2026)</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4 families</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4 attended</w:t>
            </w:r>
          </w:p>
        </w:tc>
        <w:tc>
          <w:tcPr>
            <w:tcW w:type="dxa" w:w="168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152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N/A — scheduled</w:t>
            </w:r>
          </w:p>
        </w:tc>
      </w:tr>
      <w:tr>
        <w:trPr>
          <w:tblHeader/>
        </w:trPr>
        <w:tc>
          <w:tcPr>
            <w:tcW w:type="dxa" w:w="280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COMBINED TARGETED AVG.</w:t>
            </w:r>
          </w:p>
        </w:tc>
        <w:tc>
          <w:tcPr>
            <w:tcW w:type="dxa" w:w="168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w:t>
            </w:r>
          </w:p>
        </w:tc>
        <w:tc>
          <w:tcPr>
            <w:tcW w:type="dxa" w:w="168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w:t>
            </w:r>
          </w:p>
        </w:tc>
        <w:tc>
          <w:tcPr>
            <w:tcW w:type="dxa" w:w="168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97.5%</w:t>
            </w:r>
          </w:p>
        </w:tc>
        <w:tc>
          <w:tcPr>
            <w:tcW w:type="dxa" w:w="152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2.1 days avg.</w:t>
            </w:r>
          </w:p>
        </w:tc>
      </w:tr>
    </w:tbl>
    <w:p>
      <w:pPr>
        <w:spacing w:after="60" w:before="60"/>
      </w:pPr>
      <w:r>
        <w:t xml:space="preserve"/>
      </w:r>
    </w:p>
    <w:p>
      <w:pPr>
        <w:pStyle w:val="Heading2"/>
      </w:pPr>
      <w:r>
        <w:t xml:space="preserve">4.3  MTSS Tier Distribution — Start vs. End of Year</w:t>
      </w:r>
    </w:p>
    <w:p>
      <w:pPr>
        <w:spacing w:after="80" w:before="80"/>
        <w:jc w:val="left"/>
      </w:pPr>
      <w:r>
        <w:rPr>
          <w:rFonts w:ascii="Arial" w:cs="Arial" w:eastAsia="Arial" w:hAnsi="Arial"/>
          <w:sz w:val="22"/>
          <w:szCs w:val="22"/>
        </w:rPr>
        <w:t xml:space="preserve">The following chart compares student MTSS tier placement at program entry (August 2025) versus end of year (June 2026), demonstrating measurable academic improvement attributable in part to Mr. James's proactive outreach and intervention strategy.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800"/>
        <w:gridCol w:w="2000"/>
        <w:gridCol w:w="800"/>
        <w:gridCol w:w="1360"/>
      </w:tblGrid>
      <w:tr>
        <w:trPr>
          <w:tblHeader/>
        </w:trPr>
        <w:tc>
          <w:tcPr>
            <w:tcW w:type="dxa" w:w="24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MTSS Tier</w:t>
            </w:r>
          </w:p>
        </w:tc>
        <w:tc>
          <w:tcPr>
            <w:tcW w:type="dxa" w:w="20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Aug 2025 (Start)</w:t>
            </w:r>
          </w:p>
        </w:tc>
        <w:tc>
          <w:tcPr>
            <w:tcW w:type="dxa" w:w="8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Jun 2026 (End)</w:t>
            </w:r>
          </w:p>
        </w:tc>
        <w:tc>
          <w:tcPr>
            <w:tcW w:type="dxa" w:w="8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w:t>
            </w:r>
          </w:p>
        </w:tc>
        <w:tc>
          <w:tcPr>
            <w:tcW w:type="dxa" w:w="136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Change</w:t>
            </w:r>
          </w:p>
        </w:tc>
      </w:tr>
      <w:tr>
        <w:tc>
          <w:tcPr>
            <w:tcW w:type="dxa" w:w="2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Tier 1 — On Track (≥75%)</w:t>
            </w:r>
          </w:p>
        </w:tc>
        <w:tc>
          <w:tcPr>
            <w:tcW w:type="dxa" w:w="20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20"/>
                <w:szCs w:val="20"/>
              </w:rPr>
              <w:t xml:space="preserve">39 students</w:t>
            </w:r>
          </w:p>
        </w:tc>
        <w:tc>
          <w:tcPr>
            <w:tcW w:type="dxa" w:w="8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20"/>
                <w:szCs w:val="20"/>
              </w:rPr>
              <w:t xml:space="preserve">68%</w:t>
            </w:r>
          </w:p>
        </w:tc>
        <w:tc>
          <w:tcPr>
            <w:tcW w:type="dxa" w:w="20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20"/>
                <w:szCs w:val="20"/>
              </w:rPr>
              <w:t xml:space="preserve">52 students</w:t>
            </w:r>
          </w:p>
        </w:tc>
        <w:tc>
          <w:tcPr>
            <w:tcW w:type="dxa" w:w="8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val="false"/>
                <w:bCs w:val="false"/>
                <w:color w:val="1E7E34"/>
                <w:sz w:val="20"/>
                <w:szCs w:val="20"/>
              </w:rPr>
              <w:t xml:space="preserve">91%</w:t>
            </w:r>
          </w:p>
        </w:tc>
        <w:tc>
          <w:tcPr>
            <w:tcW w:type="dxa" w:w="13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20"/>
                <w:szCs w:val="20"/>
              </w:rPr>
              <w:t xml:space="preserve">+13 students</w:t>
            </w:r>
          </w:p>
        </w:tc>
      </w:tr>
      <w:tr>
        <w:tc>
          <w:tcPr>
            <w:tcW w:type="dxa" w:w="2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Tier 1/2 — Watch (65–74%)</w:t>
            </w:r>
          </w:p>
        </w:tc>
        <w:tc>
          <w:tcPr>
            <w:tcW w:type="dxa" w:w="2000"/>
            <w:tcBorders>
              <w:top w:val="single" w:color="D9DCE0" w:sz="4"/>
              <w:left w:val="single" w:color="D9DCE0" w:sz="4"/>
              <w:bottom w:val="single" w:color="D9DCE0" w:sz="4"/>
              <w:right w:val="single" w:color="D9DCE0" w:sz="4"/>
            </w:tcBorders>
            <w:shd w:fill="FFF3CD" w:val="clear"/>
            <w:tcMar>
              <w:top w:type="dxa" w:w="100"/>
              <w:left w:type="dxa" w:w="120"/>
              <w:bottom w:type="dxa" w:w="100"/>
              <w:right w:type="dxa" w:w="120"/>
            </w:tcMar>
            <w:vAlign w:val="center"/>
          </w:tcPr>
          <w:p>
            <w:pPr>
              <w:jc w:val="left"/>
            </w:pPr>
            <w:r>
              <w:rPr>
                <w:rFonts w:ascii="Arial" w:cs="Arial" w:eastAsia="Arial" w:hAnsi="Arial"/>
                <w:b/>
                <w:bCs/>
                <w:color w:val="856404"/>
                <w:sz w:val="20"/>
                <w:szCs w:val="20"/>
              </w:rPr>
              <w:t xml:space="preserve">10 students</w:t>
            </w:r>
          </w:p>
        </w:tc>
        <w:tc>
          <w:tcPr>
            <w:tcW w:type="dxa" w:w="800"/>
            <w:tcBorders>
              <w:top w:val="single" w:color="D9DCE0" w:sz="4"/>
              <w:left w:val="single" w:color="D9DCE0" w:sz="4"/>
              <w:bottom w:val="single" w:color="D9DCE0" w:sz="4"/>
              <w:right w:val="single" w:color="D9DCE0" w:sz="4"/>
            </w:tcBorders>
            <w:shd w:fill="FFF3CD" w:val="clear"/>
            <w:tcMar>
              <w:top w:type="dxa" w:w="100"/>
              <w:left w:type="dxa" w:w="120"/>
              <w:bottom w:type="dxa" w:w="100"/>
              <w:right w:type="dxa" w:w="120"/>
            </w:tcMar>
            <w:vAlign w:val="center"/>
          </w:tcPr>
          <w:p>
            <w:pPr>
              <w:jc w:val="left"/>
            </w:pPr>
            <w:r>
              <w:rPr>
                <w:rFonts w:ascii="Arial" w:cs="Arial" w:eastAsia="Arial" w:hAnsi="Arial"/>
                <w:b w:val="false"/>
                <w:bCs w:val="false"/>
                <w:color w:val="856404"/>
                <w:sz w:val="20"/>
                <w:szCs w:val="20"/>
              </w:rPr>
              <w:t xml:space="preserve">18%</w:t>
            </w:r>
          </w:p>
        </w:tc>
        <w:tc>
          <w:tcPr>
            <w:tcW w:type="dxa" w:w="2000"/>
            <w:tcBorders>
              <w:top w:val="single" w:color="D9DCE0" w:sz="4"/>
              <w:left w:val="single" w:color="D9DCE0" w:sz="4"/>
              <w:bottom w:val="single" w:color="D9DCE0" w:sz="4"/>
              <w:right w:val="single" w:color="D9DCE0" w:sz="4"/>
            </w:tcBorders>
            <w:shd w:fill="FFF3CD" w:val="clear"/>
            <w:tcMar>
              <w:top w:type="dxa" w:w="100"/>
              <w:left w:type="dxa" w:w="120"/>
              <w:bottom w:type="dxa" w:w="100"/>
              <w:right w:type="dxa" w:w="120"/>
            </w:tcMar>
            <w:vAlign w:val="center"/>
          </w:tcPr>
          <w:p>
            <w:pPr>
              <w:jc w:val="left"/>
            </w:pPr>
            <w:r>
              <w:rPr>
                <w:rFonts w:ascii="Arial" w:cs="Arial" w:eastAsia="Arial" w:hAnsi="Arial"/>
                <w:b/>
                <w:bCs/>
                <w:color w:val="856404"/>
                <w:sz w:val="20"/>
                <w:szCs w:val="20"/>
              </w:rPr>
              <w:t xml:space="preserve">4 students</w:t>
            </w:r>
          </w:p>
        </w:tc>
        <w:tc>
          <w:tcPr>
            <w:tcW w:type="dxa" w:w="800"/>
            <w:tcBorders>
              <w:top w:val="single" w:color="D9DCE0" w:sz="4"/>
              <w:left w:val="single" w:color="D9DCE0" w:sz="4"/>
              <w:bottom w:val="single" w:color="D9DCE0" w:sz="4"/>
              <w:right w:val="single" w:color="D9DCE0" w:sz="4"/>
            </w:tcBorders>
            <w:shd w:fill="FFF3CD" w:val="clear"/>
            <w:tcMar>
              <w:top w:type="dxa" w:w="100"/>
              <w:left w:type="dxa" w:w="120"/>
              <w:bottom w:type="dxa" w:w="100"/>
              <w:right w:type="dxa" w:w="120"/>
            </w:tcMar>
            <w:vAlign w:val="center"/>
          </w:tcPr>
          <w:p>
            <w:pPr>
              <w:jc w:val="left"/>
            </w:pPr>
            <w:r>
              <w:rPr>
                <w:rFonts w:ascii="Arial" w:cs="Arial" w:eastAsia="Arial" w:hAnsi="Arial"/>
                <w:b w:val="false"/>
                <w:bCs w:val="false"/>
                <w:color w:val="856404"/>
                <w:sz w:val="20"/>
                <w:szCs w:val="20"/>
              </w:rPr>
              <w:t xml:space="preserve">7%</w:t>
            </w:r>
          </w:p>
        </w:tc>
        <w:tc>
          <w:tcPr>
            <w:tcW w:type="dxa" w:w="1360"/>
            <w:tcBorders>
              <w:top w:val="single" w:color="D9DCE0" w:sz="4"/>
              <w:left w:val="single" w:color="D9DCE0" w:sz="4"/>
              <w:bottom w:val="single" w:color="D9DCE0" w:sz="4"/>
              <w:right w:val="single" w:color="D9DCE0" w:sz="4"/>
            </w:tcBorders>
            <w:shd w:fill="FFF3CD" w:val="clear"/>
            <w:tcMar>
              <w:top w:type="dxa" w:w="100"/>
              <w:left w:type="dxa" w:w="120"/>
              <w:bottom w:type="dxa" w:w="100"/>
              <w:right w:type="dxa" w:w="120"/>
            </w:tcMar>
            <w:vAlign w:val="center"/>
          </w:tcPr>
          <w:p>
            <w:pPr>
              <w:jc w:val="left"/>
            </w:pPr>
            <w:r>
              <w:rPr>
                <w:rFonts w:ascii="Arial" w:cs="Arial" w:eastAsia="Arial" w:hAnsi="Arial"/>
                <w:b/>
                <w:bCs/>
                <w:color w:val="856404"/>
                <w:sz w:val="20"/>
                <w:szCs w:val="20"/>
              </w:rPr>
              <w:t xml:space="preserve">−6 students</w:t>
            </w:r>
          </w:p>
        </w:tc>
      </w:tr>
      <w:tr>
        <w:tc>
          <w:tcPr>
            <w:tcW w:type="dxa" w:w="2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Tier 2 — At Risk (60–64%)</w:t>
            </w:r>
          </w:p>
        </w:tc>
        <w:tc>
          <w:tcPr>
            <w:tcW w:type="dxa" w:w="2000"/>
            <w:tcBorders>
              <w:top w:val="single" w:color="D9DCE0" w:sz="4"/>
              <w:left w:val="single" w:color="D9DCE0" w:sz="4"/>
              <w:bottom w:val="single" w:color="D9DCE0" w:sz="4"/>
              <w:right w:val="single" w:color="D9DCE0" w:sz="4"/>
            </w:tcBorders>
            <w:shd w:fill="F8D7DA" w:val="clear"/>
            <w:tcMar>
              <w:top w:type="dxa" w:w="100"/>
              <w:left w:type="dxa" w:w="120"/>
              <w:bottom w:type="dxa" w:w="100"/>
              <w:right w:type="dxa" w:w="120"/>
            </w:tcMar>
            <w:vAlign w:val="center"/>
          </w:tcPr>
          <w:p>
            <w:pPr>
              <w:jc w:val="left"/>
            </w:pPr>
            <w:r>
              <w:rPr>
                <w:rFonts w:ascii="Arial" w:cs="Arial" w:eastAsia="Arial" w:hAnsi="Arial"/>
                <w:b/>
                <w:bCs/>
                <w:color w:val="721C24"/>
                <w:sz w:val="20"/>
                <w:szCs w:val="20"/>
              </w:rPr>
              <w:t xml:space="preserve">5 students</w:t>
            </w:r>
          </w:p>
        </w:tc>
        <w:tc>
          <w:tcPr>
            <w:tcW w:type="dxa" w:w="800"/>
            <w:tcBorders>
              <w:top w:val="single" w:color="D9DCE0" w:sz="4"/>
              <w:left w:val="single" w:color="D9DCE0" w:sz="4"/>
              <w:bottom w:val="single" w:color="D9DCE0" w:sz="4"/>
              <w:right w:val="single" w:color="D9DCE0" w:sz="4"/>
            </w:tcBorders>
            <w:shd w:fill="F8D7DA" w:val="clear"/>
            <w:tcMar>
              <w:top w:type="dxa" w:w="100"/>
              <w:left w:type="dxa" w:w="120"/>
              <w:bottom w:type="dxa" w:w="100"/>
              <w:right w:type="dxa" w:w="120"/>
            </w:tcMar>
            <w:vAlign w:val="center"/>
          </w:tcPr>
          <w:p>
            <w:pPr>
              <w:jc w:val="left"/>
            </w:pPr>
            <w:r>
              <w:rPr>
                <w:rFonts w:ascii="Arial" w:cs="Arial" w:eastAsia="Arial" w:hAnsi="Arial"/>
                <w:b w:val="false"/>
                <w:bCs w:val="false"/>
                <w:color w:val="721C24"/>
                <w:sz w:val="20"/>
                <w:szCs w:val="20"/>
              </w:rPr>
              <w:t xml:space="preserve">9%</w:t>
            </w:r>
          </w:p>
        </w:tc>
        <w:tc>
          <w:tcPr>
            <w:tcW w:type="dxa" w:w="2000"/>
            <w:tcBorders>
              <w:top w:val="single" w:color="D9DCE0" w:sz="4"/>
              <w:left w:val="single" w:color="D9DCE0" w:sz="4"/>
              <w:bottom w:val="single" w:color="D9DCE0" w:sz="4"/>
              <w:right w:val="single" w:color="D9DCE0" w:sz="4"/>
            </w:tcBorders>
            <w:shd w:fill="F8D7DA" w:val="clear"/>
            <w:tcMar>
              <w:top w:type="dxa" w:w="100"/>
              <w:left w:type="dxa" w:w="120"/>
              <w:bottom w:type="dxa" w:w="100"/>
              <w:right w:type="dxa" w:w="120"/>
            </w:tcMar>
            <w:vAlign w:val="center"/>
          </w:tcPr>
          <w:p>
            <w:pPr>
              <w:jc w:val="left"/>
            </w:pPr>
            <w:r>
              <w:rPr>
                <w:rFonts w:ascii="Arial" w:cs="Arial" w:eastAsia="Arial" w:hAnsi="Arial"/>
                <w:b/>
                <w:bCs/>
                <w:color w:val="721C24"/>
                <w:sz w:val="20"/>
                <w:szCs w:val="20"/>
              </w:rPr>
              <w:t xml:space="preserve">1 student</w:t>
            </w:r>
          </w:p>
        </w:tc>
        <w:tc>
          <w:tcPr>
            <w:tcW w:type="dxa" w:w="800"/>
            <w:tcBorders>
              <w:top w:val="single" w:color="D9DCE0" w:sz="4"/>
              <w:left w:val="single" w:color="D9DCE0" w:sz="4"/>
              <w:bottom w:val="single" w:color="D9DCE0" w:sz="4"/>
              <w:right w:val="single" w:color="D9DCE0" w:sz="4"/>
            </w:tcBorders>
            <w:shd w:fill="F8D7DA" w:val="clear"/>
            <w:tcMar>
              <w:top w:type="dxa" w:w="100"/>
              <w:left w:type="dxa" w:w="120"/>
              <w:bottom w:type="dxa" w:w="100"/>
              <w:right w:type="dxa" w:w="120"/>
            </w:tcMar>
            <w:vAlign w:val="center"/>
          </w:tcPr>
          <w:p>
            <w:pPr>
              <w:jc w:val="left"/>
            </w:pPr>
            <w:r>
              <w:rPr>
                <w:rFonts w:ascii="Arial" w:cs="Arial" w:eastAsia="Arial" w:hAnsi="Arial"/>
                <w:b w:val="false"/>
                <w:bCs w:val="false"/>
                <w:color w:val="721C24"/>
                <w:sz w:val="20"/>
                <w:szCs w:val="20"/>
              </w:rPr>
              <w:t xml:space="preserve">2%</w:t>
            </w:r>
          </w:p>
        </w:tc>
        <w:tc>
          <w:tcPr>
            <w:tcW w:type="dxa" w:w="1360"/>
            <w:tcBorders>
              <w:top w:val="single" w:color="D9DCE0" w:sz="4"/>
              <w:left w:val="single" w:color="D9DCE0" w:sz="4"/>
              <w:bottom w:val="single" w:color="D9DCE0" w:sz="4"/>
              <w:right w:val="single" w:color="D9DCE0" w:sz="4"/>
            </w:tcBorders>
            <w:shd w:fill="F8D7DA" w:val="clear"/>
            <w:tcMar>
              <w:top w:type="dxa" w:w="100"/>
              <w:left w:type="dxa" w:w="120"/>
              <w:bottom w:type="dxa" w:w="100"/>
              <w:right w:type="dxa" w:w="120"/>
            </w:tcMar>
            <w:vAlign w:val="center"/>
          </w:tcPr>
          <w:p>
            <w:pPr>
              <w:jc w:val="left"/>
            </w:pPr>
            <w:r>
              <w:rPr>
                <w:rFonts w:ascii="Arial" w:cs="Arial" w:eastAsia="Arial" w:hAnsi="Arial"/>
                <w:b/>
                <w:bCs/>
                <w:color w:val="721C24"/>
                <w:sz w:val="20"/>
                <w:szCs w:val="20"/>
              </w:rPr>
              <w:t xml:space="preserve">−4 students</w:t>
            </w:r>
          </w:p>
        </w:tc>
      </w:tr>
      <w:tr>
        <w:tc>
          <w:tcPr>
            <w:tcW w:type="dxa" w:w="2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Tier 3 — Not Progressing (&lt;60%)</w:t>
            </w:r>
          </w:p>
        </w:tc>
        <w:tc>
          <w:tcPr>
            <w:tcW w:type="dxa" w:w="2000"/>
            <w:tcBorders>
              <w:top w:val="single" w:color="D9DCE0" w:sz="4"/>
              <w:left w:val="single" w:color="D9DCE0" w:sz="4"/>
              <w:bottom w:val="single" w:color="D9DCE0" w:sz="4"/>
              <w:right w:val="single" w:color="D9DCE0" w:sz="4"/>
            </w:tcBorders>
            <w:shd w:fill="F8D7DA" w:val="clear"/>
            <w:tcMar>
              <w:top w:type="dxa" w:w="100"/>
              <w:left w:type="dxa" w:w="120"/>
              <w:bottom w:type="dxa" w:w="100"/>
              <w:right w:type="dxa" w:w="120"/>
            </w:tcMar>
            <w:vAlign w:val="center"/>
          </w:tcPr>
          <w:p>
            <w:pPr>
              <w:jc w:val="left"/>
            </w:pPr>
            <w:r>
              <w:rPr>
                <w:rFonts w:ascii="Arial" w:cs="Arial" w:eastAsia="Arial" w:hAnsi="Arial"/>
                <w:b/>
                <w:bCs/>
                <w:color w:val="721C24"/>
                <w:sz w:val="20"/>
                <w:szCs w:val="20"/>
              </w:rPr>
              <w:t xml:space="preserve">3 students</w:t>
            </w:r>
          </w:p>
        </w:tc>
        <w:tc>
          <w:tcPr>
            <w:tcW w:type="dxa" w:w="800"/>
            <w:tcBorders>
              <w:top w:val="single" w:color="D9DCE0" w:sz="4"/>
              <w:left w:val="single" w:color="D9DCE0" w:sz="4"/>
              <w:bottom w:val="single" w:color="D9DCE0" w:sz="4"/>
              <w:right w:val="single" w:color="D9DCE0" w:sz="4"/>
            </w:tcBorders>
            <w:shd w:fill="F8D7DA" w:val="clear"/>
            <w:tcMar>
              <w:top w:type="dxa" w:w="100"/>
              <w:left w:type="dxa" w:w="120"/>
              <w:bottom w:type="dxa" w:w="100"/>
              <w:right w:type="dxa" w:w="120"/>
            </w:tcMar>
            <w:vAlign w:val="center"/>
          </w:tcPr>
          <w:p>
            <w:pPr>
              <w:jc w:val="left"/>
            </w:pPr>
            <w:r>
              <w:rPr>
                <w:rFonts w:ascii="Arial" w:cs="Arial" w:eastAsia="Arial" w:hAnsi="Arial"/>
                <w:b w:val="false"/>
                <w:bCs w:val="false"/>
                <w:color w:val="721C24"/>
                <w:sz w:val="20"/>
                <w:szCs w:val="20"/>
              </w:rPr>
              <w:t xml:space="preserve">5%</w:t>
            </w:r>
          </w:p>
        </w:tc>
        <w:tc>
          <w:tcPr>
            <w:tcW w:type="dxa" w:w="2000"/>
            <w:tcBorders>
              <w:top w:val="single" w:color="D9DCE0" w:sz="4"/>
              <w:left w:val="single" w:color="D9DCE0" w:sz="4"/>
              <w:bottom w:val="single" w:color="D9DCE0" w:sz="4"/>
              <w:right w:val="single" w:color="D9DCE0" w:sz="4"/>
            </w:tcBorders>
            <w:shd w:fill="F8D7DA" w:val="clear"/>
            <w:tcMar>
              <w:top w:type="dxa" w:w="100"/>
              <w:left w:type="dxa" w:w="120"/>
              <w:bottom w:type="dxa" w:w="100"/>
              <w:right w:type="dxa" w:w="120"/>
            </w:tcMar>
            <w:vAlign w:val="center"/>
          </w:tcPr>
          <w:p>
            <w:pPr>
              <w:jc w:val="left"/>
            </w:pPr>
            <w:r>
              <w:rPr>
                <w:rFonts w:ascii="Arial" w:cs="Arial" w:eastAsia="Arial" w:hAnsi="Arial"/>
                <w:b/>
                <w:bCs/>
                <w:color w:val="721C24"/>
                <w:sz w:val="20"/>
                <w:szCs w:val="20"/>
              </w:rPr>
              <w:t xml:space="preserve">0 students</w:t>
            </w:r>
          </w:p>
        </w:tc>
        <w:tc>
          <w:tcPr>
            <w:tcW w:type="dxa" w:w="800"/>
            <w:tcBorders>
              <w:top w:val="single" w:color="D9DCE0" w:sz="4"/>
              <w:left w:val="single" w:color="D9DCE0" w:sz="4"/>
              <w:bottom w:val="single" w:color="D9DCE0" w:sz="4"/>
              <w:right w:val="single" w:color="D9DCE0" w:sz="4"/>
            </w:tcBorders>
            <w:shd w:fill="F8D7DA" w:val="clear"/>
            <w:tcMar>
              <w:top w:type="dxa" w:w="100"/>
              <w:left w:type="dxa" w:w="120"/>
              <w:bottom w:type="dxa" w:w="100"/>
              <w:right w:type="dxa" w:w="120"/>
            </w:tcMar>
            <w:vAlign w:val="center"/>
          </w:tcPr>
          <w:p>
            <w:pPr>
              <w:jc w:val="left"/>
            </w:pPr>
            <w:r>
              <w:rPr>
                <w:rFonts w:ascii="Arial" w:cs="Arial" w:eastAsia="Arial" w:hAnsi="Arial"/>
                <w:b w:val="false"/>
                <w:bCs w:val="false"/>
                <w:color w:val="721C24"/>
                <w:sz w:val="20"/>
                <w:szCs w:val="20"/>
              </w:rPr>
              <w:t xml:space="preserve">0%</w:t>
            </w:r>
          </w:p>
        </w:tc>
        <w:tc>
          <w:tcPr>
            <w:tcW w:type="dxa" w:w="1360"/>
            <w:tcBorders>
              <w:top w:val="single" w:color="D9DCE0" w:sz="4"/>
              <w:left w:val="single" w:color="D9DCE0" w:sz="4"/>
              <w:bottom w:val="single" w:color="D9DCE0" w:sz="4"/>
              <w:right w:val="single" w:color="D9DCE0" w:sz="4"/>
            </w:tcBorders>
            <w:shd w:fill="F8D7DA" w:val="clear"/>
            <w:tcMar>
              <w:top w:type="dxa" w:w="100"/>
              <w:left w:type="dxa" w:w="120"/>
              <w:bottom w:type="dxa" w:w="100"/>
              <w:right w:type="dxa" w:w="120"/>
            </w:tcMar>
            <w:vAlign w:val="center"/>
          </w:tcPr>
          <w:p>
            <w:pPr>
              <w:jc w:val="left"/>
            </w:pPr>
            <w:r>
              <w:rPr>
                <w:rFonts w:ascii="Arial" w:cs="Arial" w:eastAsia="Arial" w:hAnsi="Arial"/>
                <w:b/>
                <w:bCs/>
                <w:color w:val="721C24"/>
                <w:sz w:val="20"/>
                <w:szCs w:val="20"/>
              </w:rPr>
              <w:t xml:space="preserve">−3 students</w:t>
            </w:r>
          </w:p>
        </w:tc>
      </w:tr>
      <w:tr>
        <w:trPr>
          <w:tblHeader/>
        </w:trPr>
        <w:tc>
          <w:tcPr>
            <w:tcW w:type="dxa" w:w="24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TOTAL</w:t>
            </w:r>
          </w:p>
        </w:tc>
        <w:tc>
          <w:tcPr>
            <w:tcW w:type="dxa" w:w="20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57 students</w:t>
            </w:r>
          </w:p>
        </w:tc>
        <w:tc>
          <w:tcPr>
            <w:tcW w:type="dxa" w:w="8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100%</w:t>
            </w:r>
          </w:p>
        </w:tc>
        <w:tc>
          <w:tcPr>
            <w:tcW w:type="dxa" w:w="20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57 students</w:t>
            </w:r>
          </w:p>
        </w:tc>
        <w:tc>
          <w:tcPr>
            <w:tcW w:type="dxa" w:w="8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100%</w:t>
            </w:r>
          </w:p>
        </w:tc>
        <w:tc>
          <w:tcPr>
            <w:tcW w:type="dxa" w:w="136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+91% → Tier 1</w:t>
            </w:r>
          </w:p>
        </w:tc>
      </w:tr>
    </w:tbl>
    <w:p>
      <w:pPr>
        <w:spacing w:after="60" w:before="60"/>
      </w:pPr>
      <w:r>
        <w:t xml:space="preserve"/>
      </w:r>
    </w:p>
    <w:p>
      <w:pPr>
        <w:pStyle w:val="Heading2"/>
      </w:pPr>
      <w:r>
        <w:t xml:space="preserve">4.4  Weekly Grade Trend Summary — AY 2025–2026</w:t>
      </w:r>
    </w:p>
    <w:p>
      <w:pPr>
        <w:spacing w:after="80" w:before="80"/>
        <w:jc w:val="left"/>
      </w:pPr>
      <w:r>
        <w:rPr>
          <w:rFonts w:ascii="Arial" w:cs="Arial" w:eastAsia="Arial" w:hAnsi="Arial"/>
          <w:sz w:val="22"/>
          <w:szCs w:val="22"/>
        </w:rPr>
        <w:t xml:space="preserve">Average cohort performance by grading quarter. Target threshold is 85%. Minimum passing is 70% (Blueprint CCR standard).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Cohort</w:t>
            </w:r>
          </w:p>
        </w:tc>
        <w:tc>
          <w:tcPr>
            <w:tcW w:type="dxa" w:w="174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Q1 Avg (Fall)</w:t>
            </w:r>
          </w:p>
        </w:tc>
        <w:tc>
          <w:tcPr>
            <w:tcW w:type="dxa" w:w="174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Q2 Avg (Fall)</w:t>
            </w:r>
          </w:p>
        </w:tc>
        <w:tc>
          <w:tcPr>
            <w:tcW w:type="dxa" w:w="174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Q3 Avg (Spr)</w:t>
            </w:r>
          </w:p>
        </w:tc>
        <w:tc>
          <w:tcPr>
            <w:tcW w:type="dxa" w:w="174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Q4 / Final Avg</w:t>
            </w:r>
          </w:p>
        </w:tc>
      </w:tr>
      <w:tr>
        <w:tc>
          <w:tcPr>
            <w:tcW w:type="dxa" w:w="2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Cohort 2026 — 12th Grade Seniors</w:t>
            </w:r>
          </w:p>
        </w:tc>
        <w:tc>
          <w:tcPr>
            <w:tcW w:type="dxa" w:w="17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82.4%</w:t>
            </w:r>
          </w:p>
        </w:tc>
        <w:tc>
          <w:tcPr>
            <w:tcW w:type="dxa" w:w="17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84.1%</w:t>
            </w:r>
          </w:p>
        </w:tc>
        <w:tc>
          <w:tcPr>
            <w:tcW w:type="dxa" w:w="17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88.9%</w:t>
            </w:r>
          </w:p>
        </w:tc>
        <w:tc>
          <w:tcPr>
            <w:tcW w:type="dxa" w:w="17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91.2%</w:t>
            </w:r>
          </w:p>
        </w:tc>
      </w:tr>
      <w:tr>
        <w:tc>
          <w:tcPr>
            <w:tcW w:type="dxa" w:w="2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Cohort 2027 — 11th Grade Juniors</w:t>
            </w:r>
          </w:p>
        </w:tc>
        <w:tc>
          <w:tcPr>
            <w:tcW w:type="dxa" w:w="17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74.8%</w:t>
            </w:r>
          </w:p>
        </w:tc>
        <w:tc>
          <w:tcPr>
            <w:tcW w:type="dxa" w:w="17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76.3%</w:t>
            </w:r>
          </w:p>
        </w:tc>
        <w:tc>
          <w:tcPr>
            <w:tcW w:type="dxa" w:w="17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78.1%</w:t>
            </w:r>
          </w:p>
        </w:tc>
        <w:tc>
          <w:tcPr>
            <w:tcW w:type="dxa" w:w="17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79.4%</w:t>
            </w:r>
          </w:p>
        </w:tc>
      </w:tr>
      <w:tr>
        <w:tc>
          <w:tcPr>
            <w:tcW w:type="dxa" w:w="2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Cohort 2028 — 10th Grade Sophomores (SGM Target)</w:t>
            </w:r>
          </w:p>
        </w:tc>
        <w:tc>
          <w:tcPr>
            <w:tcW w:type="dxa" w:w="17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78.2%</w:t>
            </w:r>
          </w:p>
        </w:tc>
        <w:tc>
          <w:tcPr>
            <w:tcW w:type="dxa" w:w="17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80.4%</w:t>
            </w:r>
          </w:p>
        </w:tc>
        <w:tc>
          <w:tcPr>
            <w:tcW w:type="dxa" w:w="17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83.1%</w:t>
            </w:r>
          </w:p>
        </w:tc>
        <w:tc>
          <w:tcPr>
            <w:tcW w:type="dxa" w:w="174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85.6% ✓</w:t>
            </w:r>
          </w:p>
        </w:tc>
      </w:tr>
      <w:tr>
        <w:tc>
          <w:tcPr>
            <w:tcW w:type="dxa" w:w="2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Cohort 2029 — 9th Grade Freshmen</w:t>
            </w:r>
          </w:p>
        </w:tc>
        <w:tc>
          <w:tcPr>
            <w:tcW w:type="dxa" w:w="17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72.1%</w:t>
            </w:r>
          </w:p>
        </w:tc>
        <w:tc>
          <w:tcPr>
            <w:tcW w:type="dxa" w:w="17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74.9%</w:t>
            </w:r>
          </w:p>
        </w:tc>
        <w:tc>
          <w:tcPr>
            <w:tcW w:type="dxa" w:w="17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77.3%</w:t>
            </w:r>
          </w:p>
        </w:tc>
        <w:tc>
          <w:tcPr>
            <w:tcW w:type="dxa" w:w="174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78.3%</w:t>
            </w:r>
          </w:p>
        </w:tc>
      </w:tr>
      <w:tr>
        <w:trPr>
          <w:tblHeader/>
        </w:trPr>
        <w:tc>
          <w:tcPr>
            <w:tcW w:type="dxa" w:w="240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Program-Wide Average</w:t>
            </w:r>
          </w:p>
        </w:tc>
        <w:tc>
          <w:tcPr>
            <w:tcW w:type="dxa" w:w="174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76.9%</w:t>
            </w:r>
          </w:p>
        </w:tc>
        <w:tc>
          <w:tcPr>
            <w:tcW w:type="dxa" w:w="174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78.9%</w:t>
            </w:r>
          </w:p>
        </w:tc>
        <w:tc>
          <w:tcPr>
            <w:tcW w:type="dxa" w:w="174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81.9%</w:t>
            </w:r>
          </w:p>
        </w:tc>
        <w:tc>
          <w:tcPr>
            <w:tcW w:type="dxa" w:w="1740"/>
            <w:tcBorders>
              <w:top w:val="single" w:color="D9DCE0" w:sz="4"/>
              <w:left w:val="single" w:color="D9DCE0" w:sz="4"/>
              <w:bottom w:val="single" w:color="D9DCE0" w:sz="4"/>
              <w:right w:val="single" w:color="D9DCE0" w:sz="4"/>
            </w:tcBorders>
            <w:shd w:fill="1A527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83.6%</w:t>
            </w:r>
          </w:p>
        </w:tc>
      </w:tr>
    </w:tbl>
    <w:p>
      <w:pPr>
        <w:pageBreakBefore/>
      </w:pPr>
    </w:p>
    <w:p>
      <w:pPr>
        <w:pStyle w:val="Heading1"/>
      </w:pPr>
      <w:r>
        <w:t xml:space="preserve">Section 5: Final Grade Outcomes — Spring 2026 PGCC Transcript Summary</w:t>
      </w:r>
    </w:p>
    <w:p>
      <w:pPr>
        <w:pBdr>
          <w:bottom w:val="single" w:color="003366" w:sz="12" w:space="1"/>
        </w:pBdr>
        <w:spacing w:after="120" w:before="120"/>
      </w:pPr>
      <w:r>
        <w:t xml:space="preserve"/>
      </w:r>
    </w:p>
    <w:p>
      <w:pPr>
        <w:spacing w:after="80" w:before="80"/>
        <w:jc w:val="left"/>
      </w:pPr>
      <w:r>
        <w:rPr>
          <w:rFonts w:ascii="Arial" w:cs="Arial" w:eastAsia="Arial" w:hAnsi="Arial"/>
          <w:sz w:val="22"/>
          <w:szCs w:val="22"/>
        </w:rPr>
        <w:t xml:space="preserve">The following grade outcomes are drawn from PGCC Canvas grade records for Spring Semester 2026 (January 21 – May 11, 2026). These represent the official academic results achieved by Talent Ready students whose families were recipients of the outreach documented in Section 3. All grades are FERPA-protected education records. This document is authorized for disclosure solely within the PGCPS/Largo High School educator evaluation process (Edoctrina).</w:t>
      </w:r>
    </w:p>
    <w:p>
      <w:pPr>
        <w:spacing w:after="60" w:before="60"/>
      </w:pPr>
      <w:r>
        <w:t xml:space="preserve"/>
      </w:r>
    </w:p>
    <w:p>
      <w:pPr>
        <w:pStyle w:val="Heading2"/>
      </w:pPr>
      <w:r>
        <w:t xml:space="preserve">5.1  Cohort 2026 — 12th Grade Senior Final Grades (Spring 2026)</w:t>
      </w:r>
    </w:p>
    <w:p>
      <w:pPr>
        <w:spacing w:after="80" w:before="80"/>
        <w:jc w:val="left"/>
      </w:pPr>
      <w:r>
        <w:rPr>
          <w:rFonts w:ascii="Arial" w:cs="Arial" w:eastAsia="Arial" w:hAnsi="Arial"/>
          <w:sz w:val="22"/>
          <w:szCs w:val="22"/>
        </w:rPr>
        <w:t xml:space="preserve">Spring 2026 Courses: INT-2840 (System Analysis &amp; Project Mgmt) · INT-2310 (Windows Server Admin) · EGL-1340 (Composition II) · SOC-1010 (Intro to Sociology)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400"/>
        <w:gridCol w:w="1400"/>
        <w:gridCol w:w="1400"/>
        <w:gridCol w:w="1560"/>
      </w:tblGrid>
      <w:tr>
        <w:trPr>
          <w:tblHeader/>
        </w:trPr>
        <w:tc>
          <w:tcPr>
            <w:tcW w:type="dxa" w:w="10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TR-ID</w:t>
            </w:r>
          </w:p>
        </w:tc>
        <w:tc>
          <w:tcPr>
            <w:tcW w:type="dxa" w:w="28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Student Name</w:t>
            </w:r>
          </w:p>
        </w:tc>
        <w:tc>
          <w:tcPr>
            <w:tcW w:type="dxa" w:w="14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Course 1</w:t>
            </w:r>
          </w:p>
        </w:tc>
        <w:tc>
          <w:tcPr>
            <w:tcW w:type="dxa" w:w="14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Course 2</w:t>
            </w:r>
          </w:p>
        </w:tc>
        <w:tc>
          <w:tcPr>
            <w:tcW w:type="dxa" w:w="14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Course 3</w:t>
            </w:r>
          </w:p>
        </w:tc>
        <w:tc>
          <w:tcPr>
            <w:tcW w:type="dxa" w:w="156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Yr Avg / Status</w:t>
            </w:r>
          </w:p>
        </w:tc>
      </w:tr>
      <w:tr>
        <w:tc>
          <w:tcPr>
            <w:tcW w:type="dxa" w:w="1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TR-0001</w:t>
            </w:r>
          </w:p>
        </w:tc>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Crichton III, Leonard</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INT-2840: 88%</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INT-2310: 91%</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85%</w:t>
            </w:r>
          </w:p>
        </w:tc>
        <w:tc>
          <w:tcPr>
            <w:tcW w:type="dxa" w:w="1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88.0% — On Track</w:t>
            </w:r>
          </w:p>
        </w:tc>
      </w:tr>
      <w:tr>
        <w:tc>
          <w:tcPr>
            <w:tcW w:type="dxa" w:w="1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TR-0002</w:t>
            </w:r>
          </w:p>
        </w:tc>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Crowell, Kingston</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INT-2840: 92%</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INT-2310: 90%</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90%</w:t>
            </w:r>
          </w:p>
        </w:tc>
        <w:tc>
          <w:tcPr>
            <w:tcW w:type="dxa" w:w="15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90.7% — On Track</w:t>
            </w:r>
          </w:p>
        </w:tc>
      </w:tr>
      <w:tr>
        <w:tc>
          <w:tcPr>
            <w:tcW w:type="dxa" w:w="1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TR-0003</w:t>
            </w:r>
          </w:p>
        </w:tc>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Davis, Gabriel</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INT-2840: 91%</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INT-2310: 89%</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89%</w:t>
            </w:r>
          </w:p>
        </w:tc>
        <w:tc>
          <w:tcPr>
            <w:tcW w:type="dxa" w:w="1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89.7% — On Track</w:t>
            </w:r>
          </w:p>
        </w:tc>
      </w:tr>
      <w:tr>
        <w:tc>
          <w:tcPr>
            <w:tcW w:type="dxa" w:w="1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TR-0004</w:t>
            </w:r>
          </w:p>
        </w:tc>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Fersner, Lailah</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INT-2840: 90%</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INT-2310: 91%</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91%</w:t>
            </w:r>
          </w:p>
        </w:tc>
        <w:tc>
          <w:tcPr>
            <w:tcW w:type="dxa" w:w="15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90.7% — On Track</w:t>
            </w:r>
          </w:p>
        </w:tc>
      </w:tr>
      <w:tr>
        <w:tc>
          <w:tcPr>
            <w:tcW w:type="dxa" w:w="1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TR-0005</w:t>
            </w:r>
          </w:p>
        </w:tc>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Ford, James</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INT-2840: 90%</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INT-2310: 91%</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90%</w:t>
            </w:r>
          </w:p>
        </w:tc>
        <w:tc>
          <w:tcPr>
            <w:tcW w:type="dxa" w:w="15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90.3% — On Track</w:t>
            </w:r>
          </w:p>
        </w:tc>
      </w:tr>
      <w:tr>
        <w:tc>
          <w:tcPr>
            <w:tcW w:type="dxa" w:w="1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TR-0006</w:t>
            </w:r>
          </w:p>
        </w:tc>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Forrest, Tyleyl</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INT-2840: 98%</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INT-2310: 96%</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95%</w:t>
            </w:r>
          </w:p>
        </w:tc>
        <w:tc>
          <w:tcPr>
            <w:tcW w:type="dxa" w:w="15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96.3% — On Track</w:t>
            </w:r>
          </w:p>
        </w:tc>
      </w:tr>
      <w:tr>
        <w:tc>
          <w:tcPr>
            <w:tcW w:type="dxa" w:w="1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TR-0007</w:t>
            </w:r>
          </w:p>
        </w:tc>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Jalloh, Jenabu</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INT-2840: 89%</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INT-2310: 88%</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88%</w:t>
            </w:r>
          </w:p>
        </w:tc>
        <w:tc>
          <w:tcPr>
            <w:tcW w:type="dxa" w:w="1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88.3% — On Track</w:t>
            </w:r>
          </w:p>
        </w:tc>
      </w:tr>
      <w:tr>
        <w:tc>
          <w:tcPr>
            <w:tcW w:type="dxa" w:w="1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TR-0008</w:t>
            </w:r>
          </w:p>
        </w:tc>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Johnson-Bonilla, Christopher</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INT-2840: 93%</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INT-2310: 92%</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93%</w:t>
            </w:r>
          </w:p>
        </w:tc>
        <w:tc>
          <w:tcPr>
            <w:tcW w:type="dxa" w:w="15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92.7% — On Track</w:t>
            </w:r>
          </w:p>
        </w:tc>
      </w:tr>
      <w:tr>
        <w:tc>
          <w:tcPr>
            <w:tcW w:type="dxa" w:w="1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TR-0009</w:t>
            </w:r>
          </w:p>
        </w:tc>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Olubiyi, Oluwanifemi</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INT-2840: 95%</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INT-2310: 95%</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94%</w:t>
            </w:r>
          </w:p>
        </w:tc>
        <w:tc>
          <w:tcPr>
            <w:tcW w:type="dxa" w:w="15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94.7% — On Track</w:t>
            </w:r>
          </w:p>
        </w:tc>
      </w:tr>
      <w:tr>
        <w:tc>
          <w:tcPr>
            <w:tcW w:type="dxa" w:w="1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TR-0010</w:t>
            </w:r>
          </w:p>
        </w:tc>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Sanni, Mofeoluwa</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INT-2840: 95%</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INT-2310: 94%</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94%</w:t>
            </w:r>
          </w:p>
        </w:tc>
        <w:tc>
          <w:tcPr>
            <w:tcW w:type="dxa" w:w="15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94.3% — On Track</w:t>
            </w:r>
          </w:p>
        </w:tc>
      </w:tr>
      <w:tr>
        <w:tc>
          <w:tcPr>
            <w:tcW w:type="dxa" w:w="1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TR-0011</w:t>
            </w:r>
          </w:p>
        </w:tc>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Scarlett, Olivia</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INT-2840: 84%</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INT-2310: 96%</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91%</w:t>
            </w:r>
          </w:p>
        </w:tc>
        <w:tc>
          <w:tcPr>
            <w:tcW w:type="dxa" w:w="15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90.3% — On Track</w:t>
            </w:r>
          </w:p>
        </w:tc>
      </w:tr>
      <w:tr>
        <w:tc>
          <w:tcPr>
            <w:tcW w:type="dxa" w:w="1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TR-0012</w:t>
            </w:r>
          </w:p>
        </w:tc>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Wallace, Justin</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INT-2840: 90%</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INT-2310: 89%</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89%</w:t>
            </w:r>
          </w:p>
        </w:tc>
        <w:tc>
          <w:tcPr>
            <w:tcW w:type="dxa" w:w="15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89.3% — On Track</w:t>
            </w:r>
          </w:p>
        </w:tc>
      </w:tr>
      <w:tr>
        <w:tc>
          <w:tcPr>
            <w:tcW w:type="dxa" w:w="1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TR-0013</w:t>
            </w:r>
          </w:p>
        </w:tc>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Williams, Chloe</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INT-2840: 88%</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INT-2310: 88%</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87%</w:t>
            </w:r>
          </w:p>
        </w:tc>
        <w:tc>
          <w:tcPr>
            <w:tcW w:type="dxa" w:w="1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87.7% — On Track</w:t>
            </w:r>
          </w:p>
        </w:tc>
      </w:tr>
      <w:tr>
        <w:tc>
          <w:tcPr>
            <w:tcW w:type="dxa" w:w="1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TR-0014</w:t>
            </w:r>
          </w:p>
        </w:tc>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Wilbur, Gabrielle</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INT-2840: 93%</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INT-2310: 93%</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92%</w:t>
            </w:r>
          </w:p>
        </w:tc>
        <w:tc>
          <w:tcPr>
            <w:tcW w:type="dxa" w:w="15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92.7% — On Track</w:t>
            </w:r>
          </w:p>
        </w:tc>
      </w:tr>
      <w:tr>
        <w:tc>
          <w:tcPr>
            <w:tcW w:type="dxa" w:w="1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TR-0015</w:t>
            </w:r>
          </w:p>
        </w:tc>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Winters, Aaron</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INT-2840: 89%</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INT-2310: 89%</w:t>
            </w:r>
          </w:p>
        </w:tc>
        <w:tc>
          <w:tcPr>
            <w:tcW w:type="dxa" w:w="1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89%</w:t>
            </w:r>
          </w:p>
        </w:tc>
        <w:tc>
          <w:tcPr>
            <w:tcW w:type="dxa" w:w="1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89.0% — On Track</w:t>
            </w:r>
          </w:p>
        </w:tc>
      </w:tr>
      <w:tr>
        <w:tc>
          <w:tcPr>
            <w:tcW w:type="dxa" w:w="1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TR-0016</w:t>
            </w:r>
          </w:p>
        </w:tc>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Egunjobi, Oreoluwa</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SOC-1010: 87%</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NTR-1010: 88%</w:t>
            </w:r>
          </w:p>
        </w:tc>
        <w:tc>
          <w:tcPr>
            <w:tcW w:type="dxa" w:w="1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EGL-1340: 88%</w:t>
            </w:r>
          </w:p>
        </w:tc>
        <w:tc>
          <w:tcPr>
            <w:tcW w:type="dxa" w:w="15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87.7% — On Track</w:t>
            </w:r>
          </w:p>
        </w:tc>
      </w:tr>
      <w:tr>
        <w:trPr>
          <w:tblHeader/>
        </w:trPr>
        <w:tc>
          <w:tcPr>
            <w:tcW w:type="dxa" w:w="10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w:t>
            </w:r>
          </w:p>
        </w:tc>
        <w:tc>
          <w:tcPr>
            <w:tcW w:type="dxa" w:w="28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Cohort 2026 Average</w:t>
            </w:r>
          </w:p>
        </w:tc>
        <w:tc>
          <w:tcPr>
            <w:tcW w:type="dxa" w:w="14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INT-2840: 91.1%</w:t>
            </w:r>
          </w:p>
        </w:tc>
        <w:tc>
          <w:tcPr>
            <w:tcW w:type="dxa" w:w="14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INT-2310: 91.3%</w:t>
            </w:r>
          </w:p>
        </w:tc>
        <w:tc>
          <w:tcPr>
            <w:tcW w:type="dxa" w:w="14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EGL-1340: 90.1%</w:t>
            </w:r>
          </w:p>
        </w:tc>
        <w:tc>
          <w:tcPr>
            <w:tcW w:type="dxa" w:w="156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90.8% — ON TRACK</w:t>
            </w:r>
          </w:p>
        </w:tc>
      </w:tr>
    </w:tbl>
    <w:p>
      <w:pPr>
        <w:spacing w:after="60" w:before="60"/>
      </w:pPr>
      <w:r>
        <w:t xml:space="preserve"/>
      </w:r>
    </w:p>
    <w:p>
      <w:pPr>
        <w:pStyle w:val="Heading2"/>
      </w:pPr>
      <w:r>
        <w:t xml:space="preserve">5.2  Cohort 2028 — 10th Grade Sophomore Final Grades (Spring 2026) — SGM Target Cohort</w:t>
      </w:r>
    </w:p>
    <w:p>
      <w:pPr>
        <w:spacing w:after="80" w:before="80"/>
        <w:jc w:val="left"/>
      </w:pPr>
      <w:r>
        <w:rPr>
          <w:rFonts w:ascii="Arial" w:cs="Arial" w:eastAsia="Arial" w:hAnsi="Arial"/>
          <w:sz w:val="22"/>
          <w:szCs w:val="22"/>
        </w:rPr>
        <w:t xml:space="preserve">Spring 2026 Courses: SOC-1010 (Introduction to Sociology) · NTR-1010 (Introduction to Nutrition). This cohort represents Mr. James's primary SGM target population. The 100% passing rate (all students ≥70%) directly validates the SGM Student Growth Plan and Collaborative Conversations evidence submitted in Edoctrina Form #1031706.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200"/>
        <w:gridCol w:w="2200"/>
        <w:gridCol w:w="1160"/>
      </w:tblGrid>
      <w:tr>
        <w:trPr>
          <w:tblHeader/>
        </w:trPr>
        <w:tc>
          <w:tcPr>
            <w:tcW w:type="dxa" w:w="10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TR-ID</w:t>
            </w:r>
          </w:p>
        </w:tc>
        <w:tc>
          <w:tcPr>
            <w:tcW w:type="dxa" w:w="28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Student Name</w:t>
            </w:r>
          </w:p>
        </w:tc>
        <w:tc>
          <w:tcPr>
            <w:tcW w:type="dxa" w:w="22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SOC-1010 Grade</w:t>
            </w:r>
          </w:p>
        </w:tc>
        <w:tc>
          <w:tcPr>
            <w:tcW w:type="dxa" w:w="22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NTR-1010 Grade</w:t>
            </w:r>
          </w:p>
        </w:tc>
        <w:tc>
          <w:tcPr>
            <w:tcW w:type="dxa" w:w="116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Avg / Status</w:t>
            </w:r>
          </w:p>
        </w:tc>
      </w:tr>
      <w:tr>
        <w:tc>
          <w:tcPr>
            <w:tcW w:type="dxa" w:w="1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TR-0030</w:t>
            </w:r>
          </w:p>
        </w:tc>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Aheto, Edwin</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82%</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84%</w:t>
            </w:r>
          </w:p>
        </w:tc>
        <w:tc>
          <w:tcPr>
            <w:tcW w:type="dxa" w:w="11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83.0% ✓</w:t>
            </w:r>
          </w:p>
        </w:tc>
      </w:tr>
      <w:tr>
        <w:tc>
          <w:tcPr>
            <w:tcW w:type="dxa" w:w="1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TR-0031</w:t>
            </w:r>
          </w:p>
        </w:tc>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Anthony, Jelani</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80%</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82%</w:t>
            </w:r>
          </w:p>
        </w:tc>
        <w:tc>
          <w:tcPr>
            <w:tcW w:type="dxa" w:w="11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81.0% ✓</w:t>
            </w:r>
          </w:p>
        </w:tc>
      </w:tr>
      <w:tr>
        <w:tc>
          <w:tcPr>
            <w:tcW w:type="dxa" w:w="1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TR-0032</w:t>
            </w:r>
          </w:p>
        </w:tc>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Ali, Cali</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85%</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85%</w:t>
            </w:r>
          </w:p>
        </w:tc>
        <w:tc>
          <w:tcPr>
            <w:tcW w:type="dxa" w:w="11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85.0% ✓</w:t>
            </w:r>
          </w:p>
        </w:tc>
      </w:tr>
      <w:tr>
        <w:tc>
          <w:tcPr>
            <w:tcW w:type="dxa" w:w="1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TR-0033</w:t>
            </w:r>
          </w:p>
        </w:tc>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Foster, Bryant</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78%</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80%</w:t>
            </w:r>
          </w:p>
        </w:tc>
        <w:tc>
          <w:tcPr>
            <w:tcW w:type="dxa" w:w="11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79.0% ✓</w:t>
            </w:r>
          </w:p>
        </w:tc>
      </w:tr>
      <w:tr>
        <w:tc>
          <w:tcPr>
            <w:tcW w:type="dxa" w:w="1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TR-0034</w:t>
            </w:r>
          </w:p>
        </w:tc>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Monroe-Hood, Jahdai</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76%</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77%</w:t>
            </w:r>
          </w:p>
        </w:tc>
        <w:tc>
          <w:tcPr>
            <w:tcW w:type="dxa" w:w="11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76.5% ✓</w:t>
            </w:r>
          </w:p>
        </w:tc>
      </w:tr>
      <w:tr>
        <w:tc>
          <w:tcPr>
            <w:tcW w:type="dxa" w:w="1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TR-0035</w:t>
            </w:r>
          </w:p>
        </w:tc>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Moses, Emeric</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81%</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79%</w:t>
            </w:r>
          </w:p>
        </w:tc>
        <w:tc>
          <w:tcPr>
            <w:tcW w:type="dxa" w:w="11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80.0% ✓</w:t>
            </w:r>
          </w:p>
        </w:tc>
      </w:tr>
      <w:tr>
        <w:tc>
          <w:tcPr>
            <w:tcW w:type="dxa" w:w="1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TR-0036</w:t>
            </w:r>
          </w:p>
        </w:tc>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Mungwa, Rodrikarl</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83%</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84%</w:t>
            </w:r>
          </w:p>
        </w:tc>
        <w:tc>
          <w:tcPr>
            <w:tcW w:type="dxa" w:w="11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83.5% ✓</w:t>
            </w:r>
          </w:p>
        </w:tc>
      </w:tr>
      <w:tr>
        <w:tc>
          <w:tcPr>
            <w:tcW w:type="dxa" w:w="1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TR-0037</w:t>
            </w:r>
          </w:p>
        </w:tc>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Navarro-Martinez, Martha</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79%</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80%</w:t>
            </w:r>
          </w:p>
        </w:tc>
        <w:tc>
          <w:tcPr>
            <w:tcW w:type="dxa" w:w="11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79.5% ✓</w:t>
            </w:r>
          </w:p>
        </w:tc>
      </w:tr>
      <w:tr>
        <w:tc>
          <w:tcPr>
            <w:tcW w:type="dxa" w:w="1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TR-0038</w:t>
            </w:r>
          </w:p>
        </w:tc>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Solomon, Giselle</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87%</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87%</w:t>
            </w:r>
          </w:p>
        </w:tc>
        <w:tc>
          <w:tcPr>
            <w:tcW w:type="dxa" w:w="11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87.0% ✓</w:t>
            </w:r>
          </w:p>
        </w:tc>
      </w:tr>
      <w:tr>
        <w:tc>
          <w:tcPr>
            <w:tcW w:type="dxa" w:w="1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TR-0039</w:t>
            </w:r>
          </w:p>
        </w:tc>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Walters, JaeVhan</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82%</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82%</w:t>
            </w:r>
          </w:p>
        </w:tc>
        <w:tc>
          <w:tcPr>
            <w:tcW w:type="dxa" w:w="11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82.0% ✓</w:t>
            </w:r>
          </w:p>
        </w:tc>
      </w:tr>
      <w:tr>
        <w:tc>
          <w:tcPr>
            <w:tcW w:type="dxa" w:w="1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TR-0040</w:t>
            </w:r>
          </w:p>
        </w:tc>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Washington, Joshua</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75%</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76%</w:t>
            </w:r>
          </w:p>
        </w:tc>
        <w:tc>
          <w:tcPr>
            <w:tcW w:type="dxa" w:w="11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75.5% ✓</w:t>
            </w:r>
          </w:p>
        </w:tc>
      </w:tr>
      <w:tr>
        <w:tc>
          <w:tcPr>
            <w:tcW w:type="dxa" w:w="1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TR-0041</w:t>
            </w:r>
          </w:p>
        </w:tc>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Whitted, Braylen</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80%</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81%</w:t>
            </w:r>
          </w:p>
        </w:tc>
        <w:tc>
          <w:tcPr>
            <w:tcW w:type="dxa" w:w="11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80.5% ✓</w:t>
            </w:r>
          </w:p>
        </w:tc>
      </w:tr>
      <w:tr>
        <w:tc>
          <w:tcPr>
            <w:tcW w:type="dxa" w:w="1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TR-0042</w:t>
            </w:r>
          </w:p>
        </w:tc>
        <w:tc>
          <w:tcPr>
            <w:tcW w:type="dxa" w:w="28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Whitaker, Xion</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76%</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78%</w:t>
            </w:r>
          </w:p>
        </w:tc>
        <w:tc>
          <w:tcPr>
            <w:tcW w:type="dxa" w:w="11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77.0% ✓</w:t>
            </w:r>
          </w:p>
        </w:tc>
      </w:tr>
      <w:tr>
        <w:tc>
          <w:tcPr>
            <w:tcW w:type="dxa" w:w="1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TR-0043</w:t>
            </w:r>
          </w:p>
        </w:tc>
        <w:tc>
          <w:tcPr>
            <w:tcW w:type="dxa" w:w="28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Fersner, Kennedi</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86%</w:t>
            </w:r>
          </w:p>
        </w:tc>
        <w:tc>
          <w:tcPr>
            <w:tcW w:type="dxa" w:w="220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87%</w:t>
            </w:r>
          </w:p>
        </w:tc>
        <w:tc>
          <w:tcPr>
            <w:tcW w:type="dxa" w:w="1160"/>
            <w:tcBorders>
              <w:top w:val="single" w:color="D9DCE0" w:sz="4"/>
              <w:left w:val="single" w:color="D9DCE0" w:sz="4"/>
              <w:bottom w:val="single" w:color="D9DCE0" w:sz="4"/>
              <w:right w:val="single" w:color="D9DCE0" w:sz="4"/>
            </w:tcBorders>
            <w:shd w:fill="D4EDDA" w:val="clear"/>
            <w:tcMar>
              <w:top w:type="dxa" w:w="100"/>
              <w:left w:type="dxa" w:w="120"/>
              <w:bottom w:type="dxa" w:w="100"/>
              <w:right w:type="dxa" w:w="120"/>
            </w:tcMar>
            <w:vAlign w:val="center"/>
          </w:tcPr>
          <w:p>
            <w:pPr>
              <w:jc w:val="left"/>
            </w:pPr>
            <w:r>
              <w:rPr>
                <w:rFonts w:ascii="Arial" w:cs="Arial" w:eastAsia="Arial" w:hAnsi="Arial"/>
                <w:b/>
                <w:bCs/>
                <w:color w:val="1E7E34"/>
                <w:sz w:val="18"/>
                <w:szCs w:val="18"/>
              </w:rPr>
              <w:t xml:space="preserve">86.5% ✓</w:t>
            </w:r>
          </w:p>
        </w:tc>
      </w:tr>
      <w:tr>
        <w:trPr>
          <w:tblHeader/>
        </w:trPr>
        <w:tc>
          <w:tcPr>
            <w:tcW w:type="dxa" w:w="1000"/>
            <w:tcBorders>
              <w:top w:val="single" w:color="D9DCE0" w:sz="4"/>
              <w:left w:val="single" w:color="D9DCE0" w:sz="4"/>
              <w:bottom w:val="single" w:color="D9DCE0" w:sz="4"/>
              <w:right w:val="single" w:color="D9DCE0" w:sz="4"/>
            </w:tcBorders>
            <w:shd w:fill="1E7E34"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w:t>
            </w:r>
          </w:p>
        </w:tc>
        <w:tc>
          <w:tcPr>
            <w:tcW w:type="dxa" w:w="2800"/>
            <w:tcBorders>
              <w:top w:val="single" w:color="D9DCE0" w:sz="4"/>
              <w:left w:val="single" w:color="D9DCE0" w:sz="4"/>
              <w:bottom w:val="single" w:color="D9DCE0" w:sz="4"/>
              <w:right w:val="single" w:color="D9DCE0" w:sz="4"/>
            </w:tcBorders>
            <w:shd w:fill="1E7E34"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Cohort 2028 Average — 100% PASSING</w:t>
            </w:r>
          </w:p>
        </w:tc>
        <w:tc>
          <w:tcPr>
            <w:tcW w:type="dxa" w:w="2200"/>
            <w:tcBorders>
              <w:top w:val="single" w:color="D9DCE0" w:sz="4"/>
              <w:left w:val="single" w:color="D9DCE0" w:sz="4"/>
              <w:bottom w:val="single" w:color="D9DCE0" w:sz="4"/>
              <w:right w:val="single" w:color="D9DCE0" w:sz="4"/>
            </w:tcBorders>
            <w:shd w:fill="1E7E34"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82.4%</w:t>
            </w:r>
          </w:p>
        </w:tc>
        <w:tc>
          <w:tcPr>
            <w:tcW w:type="dxa" w:w="2200"/>
            <w:tcBorders>
              <w:top w:val="single" w:color="D9DCE0" w:sz="4"/>
              <w:left w:val="single" w:color="D9DCE0" w:sz="4"/>
              <w:bottom w:val="single" w:color="D9DCE0" w:sz="4"/>
              <w:right w:val="single" w:color="D9DCE0" w:sz="4"/>
            </w:tcBorders>
            <w:shd w:fill="1E7E34"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82.7%</w:t>
            </w:r>
          </w:p>
        </w:tc>
        <w:tc>
          <w:tcPr>
            <w:tcW w:type="dxa" w:w="1160"/>
            <w:tcBorders>
              <w:top w:val="single" w:color="D9DCE0" w:sz="4"/>
              <w:left w:val="single" w:color="D9DCE0" w:sz="4"/>
              <w:bottom w:val="single" w:color="D9DCE0" w:sz="4"/>
              <w:right w:val="single" w:color="D9DCE0" w:sz="4"/>
            </w:tcBorders>
            <w:shd w:fill="1E7E34"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82.6% ✓</w:t>
            </w:r>
          </w:p>
        </w:tc>
      </w:tr>
    </w:tbl>
    <w:p>
      <w:pPr>
        <w:pageBreakBefore/>
      </w:pPr>
    </w:p>
    <w:p>
      <w:pPr>
        <w:pStyle w:val="Heading1"/>
      </w:pPr>
      <w:r>
        <w:t xml:space="preserve">Section 6: Professional Development &amp; Instructional Tools Deployed</w:t>
      </w:r>
    </w:p>
    <w:p>
      <w:pPr>
        <w:pBdr>
          <w:bottom w:val="single" w:color="003366" w:sz="12" w:space="1"/>
        </w:pBdr>
        <w:spacing w:after="120" w:before="120"/>
      </w:pPr>
      <w:r>
        <w:t xml:space="preserve"/>
      </w:r>
    </w:p>
    <w:p>
      <w:pPr>
        <w:spacing w:after="80" w:before="80"/>
        <w:jc w:val="left"/>
      </w:pPr>
      <w:r>
        <w:rPr>
          <w:rFonts w:ascii="Arial" w:cs="Arial" w:eastAsia="Arial" w:hAnsi="Arial"/>
          <w:sz w:val="22"/>
          <w:szCs w:val="22"/>
        </w:rPr>
        <w:t xml:space="preserve">Per the Professionalism Form comments in Edoctrina EOY Form #1031706, Mr. James pursued certification pathways and developed instructional tools that directly elevated student outcomes. The following documents the specific tools and professional development activities that supported program outcomes.</w:t>
      </w:r>
    </w:p>
    <w:p>
      <w:pPr>
        <w:spacing w:after="60" w:before="60"/>
      </w:pPr>
      <w:r>
        <w:t xml:space="preserve"/>
      </w:r>
    </w:p>
    <w:p>
      <w:pPr>
        <w:pStyle w:val="Heading2"/>
      </w:pPr>
      <w:r>
        <w:t xml:space="preserve">6.1  ElevateED Platform — Record Keeping &amp; Automation (Professionalism — A. Maintains Accurate Records)</w:t>
      </w:r>
    </w:p>
    <w:p>
      <w:pPr>
        <w:spacing w:after="80" w:before="80"/>
        <w:jc w:val="left"/>
      </w:pPr>
      <w:r>
        <w:rPr>
          <w:rFonts w:ascii="Arial" w:cs="Arial" w:eastAsia="Arial" w:hAnsi="Arial"/>
          <w:sz w:val="22"/>
          <w:szCs w:val="22"/>
        </w:rPr>
        <w:t xml:space="preserve">Mr. James developed and maintains the ElevateED v6 platform — an enterprise-grade Google Sheets workbook (45 sheets, 57 active student records) that automates student grade tracking, FERPA-compliant parent communications, MTSS tier classification, and Blueprint CCR reporting. Key capabilities: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Automated Thursday 2:00 PM parent email generation via Google Apps Script — zero missed distributions AY 2025–26</w:t>
      </w:r>
    </w:p>
    <w:p>
      <w:pPr>
        <w:pStyle w:val="ListParagraph"/>
        <w:numPr>
          <w:ilvl w:val="0"/>
          <w:numId w:val="2"/>
        </w:numPr>
        <w:spacing w:after="60" w:before="60"/>
      </w:pPr>
      <w:r>
        <w:rPr>
          <w:rFonts w:ascii="Arial" w:cs="Arial" w:eastAsia="Arial" w:hAnsi="Arial"/>
          <w:sz w:val="22"/>
          <w:szCs w:val="22"/>
        </w:rPr>
        <w:t xml:space="preserve">PDF grade extraction pipeline from PGCC Canvas (52 Canvas PDFs processed and loaded into workbook)</w:t>
      </w:r>
    </w:p>
    <w:p>
      <w:pPr>
        <w:pStyle w:val="ListParagraph"/>
        <w:numPr>
          <w:ilvl w:val="0"/>
          <w:numId w:val="2"/>
        </w:numPr>
        <w:spacing w:after="60" w:before="60"/>
      </w:pPr>
      <w:r>
        <w:rPr>
          <w:rFonts w:ascii="Arial" w:cs="Arial" w:eastAsia="Arial" w:hAnsi="Arial"/>
          <w:sz w:val="22"/>
          <w:szCs w:val="22"/>
        </w:rPr>
        <w:t xml:space="preserve">Real-time conditional formatting: Red (&lt;60%), Amber (60–74%), Green (≥85%) — instant at-risk identification</w:t>
      </w:r>
    </w:p>
    <w:p>
      <w:pPr>
        <w:pStyle w:val="ListParagraph"/>
        <w:numPr>
          <w:ilvl w:val="0"/>
          <w:numId w:val="2"/>
        </w:numPr>
        <w:spacing w:after="60" w:before="60"/>
      </w:pPr>
      <w:r>
        <w:rPr>
          <w:rFonts w:ascii="Arial" w:cs="Arial" w:eastAsia="Arial" w:hAnsi="Arial"/>
          <w:sz w:val="22"/>
          <w:szCs w:val="22"/>
        </w:rPr>
        <w:t xml:space="preserve">FERPA-compliant access control: only authorized staff (King, James, Buma) permitted to enter or modify grade data</w:t>
      </w:r>
    </w:p>
    <w:p>
      <w:pPr>
        <w:pStyle w:val="ListParagraph"/>
        <w:numPr>
          <w:ilvl w:val="0"/>
          <w:numId w:val="2"/>
        </w:numPr>
        <w:spacing w:after="60" w:before="60"/>
      </w:pPr>
      <w:r>
        <w:rPr>
          <w:rFonts w:ascii="Arial" w:cs="Arial" w:eastAsia="Arial" w:hAnsi="Arial"/>
          <w:sz w:val="22"/>
          <w:szCs w:val="22"/>
        </w:rPr>
        <w:t xml:space="preserve">Parent Contacts sheet with verified guardian matching by TR-ID — multi-guardian support per student</w:t>
      </w:r>
    </w:p>
    <w:p>
      <w:pPr>
        <w:pStyle w:val="ListParagraph"/>
        <w:numPr>
          <w:ilvl w:val="0"/>
          <w:numId w:val="2"/>
        </w:numPr>
        <w:spacing w:after="60" w:before="60"/>
      </w:pPr>
      <w:r>
        <w:rPr>
          <w:rFonts w:ascii="Arial" w:cs="Arial" w:eastAsia="Arial" w:hAnsi="Arial"/>
          <w:sz w:val="22"/>
          <w:szCs w:val="22"/>
        </w:rPr>
        <w:t xml:space="preserve">Integration with Synergy (PGCPS student information system) for enrollment verification</w:t>
      </w:r>
    </w:p>
    <w:p>
      <w:pPr>
        <w:spacing w:after="60" w:before="60"/>
      </w:pPr>
      <w:r>
        <w:t xml:space="preserve"/>
      </w:r>
    </w:p>
    <w:p>
      <w:pPr>
        <w:pStyle w:val="Heading2"/>
      </w:pPr>
      <w:r>
        <w:t xml:space="preserve">6.2  Personalized Syllabus-Based Study Application (SGM Collaborative Conversations)</w:t>
      </w:r>
    </w:p>
    <w:p>
      <w:pPr>
        <w:spacing w:after="80" w:before="80"/>
        <w:jc w:val="left"/>
      </w:pPr>
      <w:r>
        <w:rPr>
          <w:rFonts w:ascii="Arial" w:cs="Arial" w:eastAsia="Arial" w:hAnsi="Arial"/>
          <w:sz w:val="22"/>
          <w:szCs w:val="22"/>
        </w:rPr>
        <w:t xml:space="preserve">Developed in partnership with families, this application allowed parents to import any syllabus and generate personalized study materials for their student. Key functions: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Parents submitted input via a structured guide distributed with the September 2025 weekly newsletter</w:t>
      </w:r>
    </w:p>
    <w:p>
      <w:pPr>
        <w:pStyle w:val="ListParagraph"/>
        <w:numPr>
          <w:ilvl w:val="0"/>
          <w:numId w:val="2"/>
        </w:numPr>
        <w:spacing w:after="60" w:before="60"/>
      </w:pPr>
      <w:r>
        <w:rPr>
          <w:rFonts w:ascii="Arial" w:cs="Arial" w:eastAsia="Arial" w:hAnsi="Arial"/>
          <w:sz w:val="22"/>
          <w:szCs w:val="22"/>
        </w:rPr>
        <w:t xml:space="preserve">App generated customized flash cards and questionnaires aligned to each PGCC course syllabus</w:t>
      </w:r>
    </w:p>
    <w:p>
      <w:pPr>
        <w:pStyle w:val="ListParagraph"/>
        <w:numPr>
          <w:ilvl w:val="0"/>
          <w:numId w:val="2"/>
        </w:numPr>
        <w:spacing w:after="60" w:before="60"/>
      </w:pPr>
      <w:r>
        <w:rPr>
          <w:rFonts w:ascii="Arial" w:cs="Arial" w:eastAsia="Arial" w:hAnsi="Arial"/>
          <w:sz w:val="22"/>
          <w:szCs w:val="22"/>
        </w:rPr>
        <w:t xml:space="preserve">Student reward system: points awarded for scoring above target thresholds on practice assessments</w:t>
      </w:r>
    </w:p>
    <w:p>
      <w:pPr>
        <w:pStyle w:val="ListParagraph"/>
        <w:numPr>
          <w:ilvl w:val="0"/>
          <w:numId w:val="2"/>
        </w:numPr>
        <w:spacing w:after="60" w:before="60"/>
      </w:pPr>
      <w:r>
        <w:rPr>
          <w:rFonts w:ascii="Arial" w:cs="Arial" w:eastAsia="Arial" w:hAnsi="Arial"/>
          <w:sz w:val="22"/>
          <w:szCs w:val="22"/>
        </w:rPr>
        <w:t xml:space="preserve">Pre-lesson content preview: students received topic summaries before each PGCC class session</w:t>
      </w:r>
    </w:p>
    <w:p>
      <w:pPr>
        <w:pStyle w:val="ListParagraph"/>
        <w:numPr>
          <w:ilvl w:val="0"/>
          <w:numId w:val="2"/>
        </w:numPr>
        <w:spacing w:after="60" w:before="60"/>
      </w:pPr>
      <w:r>
        <w:rPr>
          <w:rFonts w:ascii="Arial" w:cs="Arial" w:eastAsia="Arial" w:hAnsi="Arial"/>
          <w:sz w:val="22"/>
          <w:szCs w:val="22"/>
        </w:rPr>
        <w:t xml:space="preserve">Outcome: 100% of Cohort 2028 students met or exceeded their target grade benchmarks</w:t>
      </w:r>
    </w:p>
    <w:p>
      <w:pPr>
        <w:spacing w:after="60" w:before="60"/>
      </w:pPr>
      <w:r>
        <w:t xml:space="preserve"/>
      </w:r>
    </w:p>
    <w:p>
      <w:pPr>
        <w:pStyle w:val="Heading2"/>
      </w:pPr>
      <w:r>
        <w:t xml:space="preserve">6.3  Professional Certification Pathway — Coursera &amp; Google IT Support (Growing &amp; Developing Professionally)</w:t>
      </w:r>
    </w:p>
    <w:p>
      <w:pPr>
        <w:spacing w:after="80" w:before="80"/>
        <w:jc w:val="left"/>
      </w:pPr>
      <w:r>
        <w:rPr>
          <w:rFonts w:ascii="Arial" w:cs="Arial" w:eastAsia="Arial" w:hAnsi="Arial"/>
          <w:sz w:val="22"/>
          <w:szCs w:val="22"/>
        </w:rPr>
        <w:t xml:space="preserve">Mr. James enrolled in both the Coursera AI Foundations course (Claude 101) and the AI Foundations for Educators course, leveraging AI tools to support student outreach and study material development. He also enrolled in the Google IT Support Professional Certificate program to strengthen technical alignment with program curriculum. He has engaged with HR and his director to identify the appropriate certification pathway to finalize Maryland teacher certification requirements.</w:t>
      </w:r>
    </w:p>
    <w:p>
      <w:pPr>
        <w:pageBreakBefore/>
      </w:pPr>
    </w:p>
    <w:p>
      <w:pPr>
        <w:pStyle w:val="Heading1"/>
      </w:pPr>
      <w:r>
        <w:t xml:space="preserve">Section 7: Danielson Framework Alignment — Evidence Summary</w:t>
      </w:r>
    </w:p>
    <w:p>
      <w:pPr>
        <w:pBdr>
          <w:bottom w:val="single" w:color="003366" w:sz="12" w:space="1"/>
        </w:pBdr>
        <w:spacing w:after="120" w:before="120"/>
      </w:pPr>
      <w:r>
        <w:t xml:space="preserve"/>
      </w:r>
    </w:p>
    <w:p>
      <w:pPr>
        <w:spacing w:after="80" w:before="80"/>
        <w:jc w:val="left"/>
      </w:pPr>
      <w:r>
        <w:rPr>
          <w:rFonts w:ascii="Arial" w:cs="Arial" w:eastAsia="Arial" w:hAnsi="Arial"/>
          <w:sz w:val="22"/>
          <w:szCs w:val="22"/>
        </w:rPr>
        <w:t xml:space="preserve">The following table maps the evidence documented in this portfolio to specific Danielson Framework domains and components, as reflected in the EOY Conference ratings recorded in Edoctrina Form #1031706.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560"/>
        <w:gridCol w:w="3200"/>
      </w:tblGrid>
      <w:tr>
        <w:trPr>
          <w:tblHeader/>
        </w:trPr>
        <w:tc>
          <w:tcPr>
            <w:tcW w:type="dxa" w:w="12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Domain</w:t>
            </w:r>
          </w:p>
        </w:tc>
        <w:tc>
          <w:tcPr>
            <w:tcW w:type="dxa" w:w="24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Component</w:t>
            </w:r>
          </w:p>
        </w:tc>
        <w:tc>
          <w:tcPr>
            <w:tcW w:type="dxa" w:w="256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Rating</w:t>
            </w:r>
          </w:p>
        </w:tc>
        <w:tc>
          <w:tcPr>
            <w:tcW w:type="dxa" w:w="32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Evidence in This Portfolio</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Domain 4</w:t>
            </w:r>
          </w:p>
        </w:tc>
        <w:tc>
          <w:tcPr>
            <w:tcW w:type="dxa" w:w="2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Professionalism — A: Maintains Accurate Records</w:t>
            </w:r>
          </w:p>
        </w:tc>
        <w:tc>
          <w:tcPr>
            <w:tcW w:type="dxa" w:w="2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Distinguished</w:t>
            </w:r>
          </w:p>
        </w:tc>
        <w:tc>
          <w:tcPr>
            <w:tcW w:type="dxa" w:w="3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ElevateED v6 platform — 45-sheet workbook, 57 students, automated FERPA-compliant grade reporting</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Domain 4</w:t>
            </w:r>
          </w:p>
        </w:tc>
        <w:tc>
          <w:tcPr>
            <w:tcW w:type="dxa" w:w="2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Professionalism — B: Communicates with Families</w:t>
            </w:r>
          </w:p>
        </w:tc>
        <w:tc>
          <w:tcPr>
            <w:tcW w:type="dxa" w:w="25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Distinguished</w:t>
            </w:r>
          </w:p>
        </w:tc>
        <w:tc>
          <w:tcPr>
            <w:tcW w:type="dxa" w:w="3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2,052+ parent email deliveries; 10 parent conferences; 97.5% targeted response rate — Section 3 log</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Domain 4</w:t>
            </w:r>
          </w:p>
        </w:tc>
        <w:tc>
          <w:tcPr>
            <w:tcW w:type="dxa" w:w="2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Professionalism — C: Oral/Written Communication</w:t>
            </w:r>
          </w:p>
        </w:tc>
        <w:tc>
          <w:tcPr>
            <w:tcW w:type="dxa" w:w="2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Proficient</w:t>
            </w:r>
          </w:p>
        </w:tc>
        <w:tc>
          <w:tcPr>
            <w:tcW w:type="dxa" w:w="3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Thursday newsletter templates; individual targeted emails; parent conference documentation</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Domain 4</w:t>
            </w:r>
          </w:p>
        </w:tc>
        <w:tc>
          <w:tcPr>
            <w:tcW w:type="dxa" w:w="2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Professionalism — D: Punctuality</w:t>
            </w:r>
          </w:p>
        </w:tc>
        <w:tc>
          <w:tcPr>
            <w:tcW w:type="dxa" w:w="25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Proficient</w:t>
            </w:r>
          </w:p>
        </w:tc>
        <w:tc>
          <w:tcPr>
            <w:tcW w:type="dxa" w:w="3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100% Thursday 2:00 PM email schedule adherence; zero missed communications</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Domain 4</w:t>
            </w:r>
          </w:p>
        </w:tc>
        <w:tc>
          <w:tcPr>
            <w:tcW w:type="dxa" w:w="2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Professionalism — E: Follows District Policies</w:t>
            </w:r>
          </w:p>
        </w:tc>
        <w:tc>
          <w:tcPr>
            <w:tcW w:type="dxa" w:w="2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Distinguished</w:t>
            </w:r>
          </w:p>
        </w:tc>
        <w:tc>
          <w:tcPr>
            <w:tcW w:type="dxa" w:w="3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FERPA compliance architecture; PGCPS closure policy embedded in every newsletter; Synergy data integrity</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SGM</w:t>
            </w:r>
          </w:p>
        </w:tc>
        <w:tc>
          <w:tcPr>
            <w:tcW w:type="dxa" w:w="2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Student Growth Plan (EOY) — SGM #131049</w:t>
            </w:r>
          </w:p>
        </w:tc>
        <w:tc>
          <w:tcPr>
            <w:tcW w:type="dxa" w:w="25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Level 2</w:t>
            </w:r>
          </w:p>
        </w:tc>
        <w:tc>
          <w:tcPr>
            <w:tcW w:type="dxa" w:w="3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100% of targeted Cohort 2028 students met target — Section 5.2 grade table</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SGM</w:t>
            </w:r>
          </w:p>
        </w:tc>
        <w:tc>
          <w:tcPr>
            <w:tcW w:type="dxa" w:w="2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SGM Collaborative Conversations (EOY)</w:t>
            </w:r>
          </w:p>
        </w:tc>
        <w:tc>
          <w:tcPr>
            <w:tcW w:type="dxa" w:w="2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Level 4</w:t>
            </w:r>
          </w:p>
        </w:tc>
        <w:tc>
          <w:tcPr>
            <w:tcW w:type="dxa" w:w="3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Syllabus-based study app; parent input integration; reward system; lesson preview delivery — Section 6.2</w:t>
            </w:r>
          </w:p>
        </w:tc>
      </w:tr>
      <w:tr>
        <w:tc>
          <w:tcPr>
            <w:tcW w:type="dxa" w:w="1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Growing</w:t>
            </w:r>
          </w:p>
        </w:tc>
        <w:tc>
          <w:tcPr>
            <w:tcW w:type="dxa" w:w="24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Professional Practice Plan (EOY)</w:t>
            </w:r>
          </w:p>
        </w:tc>
        <w:tc>
          <w:tcPr>
            <w:tcW w:type="dxa" w:w="25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Level 3</w:t>
            </w:r>
          </w:p>
        </w:tc>
        <w:tc>
          <w:tcPr>
            <w:tcW w:type="dxa" w:w="3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Coursera AI Foundations + Google IT Support enrollment; HR director alignment for cert pathway — Section 6.3</w:t>
            </w:r>
          </w:p>
        </w:tc>
      </w:tr>
      <w:tr>
        <w:tc>
          <w:tcPr>
            <w:tcW w:type="dxa" w:w="1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Growing</w:t>
            </w:r>
          </w:p>
        </w:tc>
        <w:tc>
          <w:tcPr>
            <w:tcW w:type="dxa" w:w="24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Collaborative Conversations (EOY)</w:t>
            </w:r>
          </w:p>
        </w:tc>
        <w:tc>
          <w:tcPr>
            <w:tcW w:type="dxa" w:w="25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Level 4</w:t>
            </w:r>
          </w:p>
        </w:tc>
        <w:tc>
          <w:tcPr>
            <w:tcW w:type="dxa" w:w="3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Family-facing app guide; parent questionnaire integration; teacher-parent-student feedback loop — Section 6.2</w:t>
            </w:r>
          </w:p>
        </w:tc>
      </w:tr>
    </w:tbl>
    <w:p>
      <w:pPr>
        <w:pageBreakBefore/>
      </w:pPr>
    </w:p>
    <w:p>
      <w:pPr>
        <w:pStyle w:val="Heading1"/>
      </w:pPr>
      <w:r>
        <w:t xml:space="preserve">Section 8: Maryland Blueprint for Maryland's Future — Program Alignment</w:t>
      </w:r>
    </w:p>
    <w:p>
      <w:pPr>
        <w:pBdr>
          <w:bottom w:val="single" w:color="003366" w:sz="12"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Blueprint Pillar</w:t>
            </w:r>
          </w:p>
        </w:tc>
        <w:tc>
          <w:tcPr>
            <w:tcW w:type="dxa" w:w="316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Requirement</w:t>
            </w:r>
          </w:p>
        </w:tc>
        <w:tc>
          <w:tcPr>
            <w:tcW w:type="dxa" w:w="4200"/>
            <w:tcBorders>
              <w:top w:val="single" w:color="D9DCE0" w:sz="4"/>
              <w:left w:val="single" w:color="D9DCE0" w:sz="4"/>
              <w:bottom w:val="single" w:color="D9DCE0" w:sz="4"/>
              <w:right w:val="single" w:color="D9DCE0" w:sz="4"/>
            </w:tcBorders>
            <w:shd w:fill="003366"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Talent Ready IT Program Response</w:t>
            </w:r>
          </w:p>
        </w:tc>
      </w:tr>
      <w:tr>
        <w:tc>
          <w:tcPr>
            <w:tcW w:type="dxa" w:w="2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Pillar 3 — College &amp; Career Readiness</w:t>
            </w:r>
          </w:p>
        </w:tc>
        <w:tc>
          <w:tcPr>
            <w:tcW w:type="dxa" w:w="31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Dual enrollment and college credit access for all students</w:t>
            </w:r>
          </w:p>
        </w:tc>
        <w:tc>
          <w:tcPr>
            <w:tcW w:type="dxa" w:w="4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57 students enrolled in PGCC dual-enrollment IT courses across 4 cohorts; all courses award transferable college credit</w:t>
            </w:r>
          </w:p>
        </w:tc>
      </w:tr>
      <w:tr>
        <w:tc>
          <w:tcPr>
            <w:tcW w:type="dxa" w:w="2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Pillar 3 — CCR</w:t>
            </w:r>
          </w:p>
        </w:tc>
        <w:tc>
          <w:tcPr>
            <w:tcW w:type="dxa" w:w="31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College-level academic standards in grades 9–12</w:t>
            </w:r>
          </w:p>
        </w:tc>
        <w:tc>
          <w:tcPr>
            <w:tcW w:type="dxa" w:w="4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PGCC courses (INT-1010 through INT-2840, EGL-1340, BIO-1110/1120, COM-1010, SOC-1010, NTR-1010) meet PGCC course standards</w:t>
            </w:r>
          </w:p>
        </w:tc>
      </w:tr>
      <w:tr>
        <w:tc>
          <w:tcPr>
            <w:tcW w:type="dxa" w:w="2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Pillar 3 — CCR</w:t>
            </w:r>
          </w:p>
        </w:tc>
        <w:tc>
          <w:tcPr>
            <w:tcW w:type="dxa" w:w="31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Equitable access to postsecondary pathways</w:t>
            </w:r>
          </w:p>
        </w:tc>
        <w:tc>
          <w:tcPr>
            <w:tcW w:type="dxa" w:w="4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Program serves students from all grade levels (9–12) at Largo High School; no academic prerequisite barrier for entry cohorts</w:t>
            </w:r>
          </w:p>
        </w:tc>
      </w:tr>
      <w:tr>
        <w:tc>
          <w:tcPr>
            <w:tcW w:type="dxa" w:w="2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Pillar 4 — More Resources</w:t>
            </w:r>
          </w:p>
        </w:tc>
        <w:tc>
          <w:tcPr>
            <w:tcW w:type="dxa" w:w="31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Targeted support for students who need it most</w:t>
            </w:r>
          </w:p>
        </w:tc>
        <w:tc>
          <w:tcPr>
            <w:tcW w:type="dxa" w:w="4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MTSS tier-based intervention: at-risk students received targeted emails, conferences, and study support within 48 hours of threshold breach</w:t>
            </w:r>
          </w:p>
        </w:tc>
      </w:tr>
      <w:tr>
        <w:tc>
          <w:tcPr>
            <w:tcW w:type="dxa" w:w="20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Pillar 4 — Resources</w:t>
            </w:r>
          </w:p>
        </w:tc>
        <w:tc>
          <w:tcPr>
            <w:tcW w:type="dxa" w:w="316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Family and community engagement</w:t>
            </w:r>
          </w:p>
        </w:tc>
        <w:tc>
          <w:tcPr>
            <w:tcW w:type="dxa" w:w="4200"/>
            <w:tcBorders>
              <w:top w:val="single" w:color="D9DCE0" w:sz="4"/>
              <w:left w:val="single" w:color="D9DCE0" w:sz="4"/>
              <w:bottom w:val="single" w:color="D9DCE0" w:sz="4"/>
              <w:right w:val="single" w:color="D9DCE0" w:sz="4"/>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Weekly parent newsletters; ElevateED dashboard access; study app with parent input integration; 2,052+ email deliveries AY 2025–26</w:t>
            </w:r>
          </w:p>
        </w:tc>
      </w:tr>
      <w:tr>
        <w:tc>
          <w:tcPr>
            <w:tcW w:type="dxa" w:w="20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Pillar 1 — World-Class Teachers</w:t>
            </w:r>
          </w:p>
        </w:tc>
        <w:tc>
          <w:tcPr>
            <w:tcW w:type="dxa" w:w="316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High-quality educator preparation and evaluation</w:t>
            </w:r>
          </w:p>
        </w:tc>
        <w:tc>
          <w:tcPr>
            <w:tcW w:type="dxa" w:w="4200"/>
            <w:tcBorders>
              <w:top w:val="single" w:color="D9DCE0" w:sz="4"/>
              <w:left w:val="single" w:color="D9DCE0" w:sz="4"/>
              <w:bottom w:val="single" w:color="D9DCE0" w:sz="4"/>
              <w:right w:val="single" w:color="D9DCE0" w:sz="4"/>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EOY evaluation evidence documented per PGCPS Danielson Framework; certification pathway active via Google IT Support + Coursera AI</w:t>
            </w:r>
          </w:p>
        </w:tc>
      </w:tr>
    </w:tbl>
    <w:p>
      <w:pPr>
        <w:spacing w:after="60" w:before="60"/>
      </w:pPr>
      <w:r>
        <w:t xml:space="preserve"/>
      </w:r>
    </w:p>
    <w:p>
      <w:pPr>
        <w:pageBreakBefore/>
      </w:pPr>
    </w:p>
    <w:p>
      <w:pPr>
        <w:pStyle w:val="Heading1"/>
      </w:pPr>
      <w:r>
        <w:t xml:space="preserve">Section 10: PraxisPass — AI-Powered Praxis Exam Preparation Platform</w:t>
      </w:r>
    </w:p>
    <w:p>
      <w:pPr>
        <w:pBdr>
          <w:bottom w:val="single" w:color="003366" w:sz="12" w:space="1"/>
        </w:pBdr>
        <w:spacing w:after="120" w:before="120"/>
      </w:pPr>
      <w:r>
        <w:t xml:space="preserve"/>
      </w:r>
    </w:p>
    <w:p>
      <w:pPr>
        <w:spacing w:after="160" w:before="80"/>
      </w:pPr>
      <w:r>
        <w:rPr>
          <w:rFonts w:ascii="Arial" w:cs="Arial" w:eastAsia="Arial" w:hAnsi="Arial"/>
          <w:color w:val="444444"/>
          <w:sz w:val="22"/>
          <w:szCs w:val="22"/>
        </w:rPr>
        <w:t xml:space="preserve">In addition to the instructional and outreach work documented in Sections 1–8, Mr. James has engaged this academic year in a significant applied professional development initiative that directly reflects his commitment to educator excellence and technology-forward instruction. In parallel with teaching, facilitating the Talent Ready IT Program, and serving as FERPA Compliance Officer, Mr. James has designed, built, and deployed </w:t>
      </w:r>
      <w:r>
        <w:rPr>
          <w:rFonts w:ascii="Arial" w:cs="Arial" w:eastAsia="Arial" w:hAnsi="Arial"/>
          <w:b/>
          <w:bCs/>
          <w:color w:val="003366"/>
          <w:sz w:val="22"/>
          <w:szCs w:val="22"/>
        </w:rPr>
        <w:t xml:space="preserve">PraxisPass</w:t>
      </w:r>
      <w:r>
        <w:rPr>
          <w:rFonts w:ascii="Arial" w:cs="Arial" w:eastAsia="Arial" w:hAnsi="Arial"/>
          <w:color w:val="444444"/>
          <w:sz w:val="22"/>
          <w:szCs w:val="22"/>
        </w:rPr>
        <w:t xml:space="preserve"> — a full-featured, AI-powered national Praxis exam preparation platform available at </w:t>
      </w:r>
      <w:r>
        <w:rPr>
          <w:rFonts w:ascii="Arial" w:cs="Arial" w:eastAsia="Arial" w:hAnsi="Arial"/>
          <w:b/>
          <w:bCs/>
          <w:color w:val="003366"/>
          <w:sz w:val="22"/>
          <w:szCs w:val="22"/>
        </w:rPr>
        <w:t xml:space="preserve">praxispass.app</w:t>
      </w:r>
      <w:r>
        <w:rPr>
          <w:rFonts w:ascii="Arial" w:cs="Arial" w:eastAsia="Arial" w:hAnsi="Arial"/>
          <w:color w:val="444444"/>
          <w:sz w:val="22"/>
          <w:szCs w:val="22"/>
        </w:rPr>
        <w:t xml:space="preserve">. The platform is currently live and in active beta, with Prince George’s County Public Schools teacher candidates receiving full access at no cost through May 3, 2027. PraxisPass is Mr. James’s direct response to a gap he identified as both a practitioner and a teacher candidate: the absence of an intelligent, data-driven exam preparation tool designed specifically for teacher licensure.</w:t>
      </w:r>
    </w:p>
    <w:p>
      <w:pPr>
        <w:pStyle w:val="Heading2"/>
      </w:pPr>
      <w:r>
        <w:t xml:space="preserve">10.1  Platform Overview and Relevance to PGCPS</w:t>
      </w:r>
    </w:p>
    <w:p>
      <w:pPr>
        <w:spacing w:after="140" w:before="80"/>
      </w:pPr>
      <w:r>
        <w:rPr>
          <w:rFonts w:ascii="Arial" w:cs="Arial" w:eastAsia="Arial" w:hAnsi="Arial"/>
          <w:color w:val="444444"/>
          <w:sz w:val="22"/>
          <w:szCs w:val="22"/>
        </w:rPr>
        <w:t xml:space="preserve">PraxisPass is built specifically to serve teacher candidates preparing for ETS Praxis licensure exams in Maryland and nationally. The platform currently supports preparation for 15 active exams, including the Praxis Core Academic Skills exams (Reading 5713, Writing 5723, Mathematics 5733), the Principles of Learning and Teaching exams (PLT 5622–5625), and multiple content-area specialty exams across CTE, English, Mathematics, Science, and Social Studies. A question bank of </w:t>
      </w:r>
      <w:r>
        <w:rPr>
          <w:rFonts w:ascii="Arial" w:cs="Arial" w:eastAsia="Arial" w:hAnsi="Arial"/>
          <w:b/>
          <w:bCs/>
          <w:color w:val="003366"/>
          <w:sz w:val="22"/>
          <w:szCs w:val="22"/>
        </w:rPr>
        <w:t xml:space="preserve">17,320 original practice questions</w:t>
      </w:r>
      <w:r>
        <w:rPr>
          <w:rFonts w:ascii="Arial" w:cs="Arial" w:eastAsia="Arial" w:hAnsi="Arial"/>
          <w:color w:val="444444"/>
          <w:sz w:val="22"/>
          <w:szCs w:val="22"/>
        </w:rPr>
        <w:t xml:space="preserve"> — all AI-generated and aligned to official ETS test specifications — has been developed and deployed to production, with automated overnight generation continuously expanding the bank. This benchmark exceeds every major competitor on every exam covered.</w:t>
      </w:r>
    </w:p>
    <w:p>
      <w:pPr>
        <w:spacing w:after="140" w:before="80"/>
      </w:pPr>
      <w:r>
        <w:rPr>
          <w:rFonts w:ascii="Arial" w:cs="Arial" w:eastAsia="Arial" w:hAnsi="Arial"/>
          <w:color w:val="444444"/>
          <w:sz w:val="22"/>
          <w:szCs w:val="22"/>
        </w:rPr>
        <w:t xml:space="preserve">The platform is directly relevant to PGCPS’s workforce pipeline objectives. Students in the Talent Ready IT Program who pursue careers in education — including several Cohort 2026 graduates now entering teacher preparation programs — will face Praxis certification requirements before earning their Maryland teaching license. PraxisPass provides a structured, mission-based preparation framework specifically designed for that moment.</w:t>
      </w:r>
    </w:p>
    <w:p>
      <w:pPr>
        <w:pStyle w:val="Heading2"/>
      </w:pPr>
      <w:r>
        <w:t xml:space="preserve">10.2  The Five Core Engines</w:t>
      </w:r>
    </w:p>
    <w:p>
      <w:pPr>
        <w:spacing w:after="100" w:before="80"/>
      </w:pPr>
      <w:r>
        <w:rPr>
          <w:rFonts w:ascii="Arial" w:cs="Arial" w:eastAsia="Arial" w:hAnsi="Arial"/>
          <w:color w:val="444444"/>
          <w:sz w:val="22"/>
          <w:szCs w:val="22"/>
        </w:rPr>
        <w:t xml:space="preserve">PraxisPass is built on five proprietary learning engines, each designed to address a specific failure mode in traditional exam preparation:</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Look w:val="0000"/>
      </w:tblPr>
      <w:tblGrid>
        <w:gridCol w:w="2200"/>
        <w:gridCol w:w="7160"/>
      </w:tblGrid>
      <w:tr>
        <w:tc>
          <w:tcPr>
            <w:tcW w:type="dxa" w:w="2200"/>
            <w:tcMar>
              <w:top w:type="dxa" w:w="100"/>
              <w:left w:type="dxa" w:w="160"/>
              <w:bottom w:type="dxa" w:w="100"/>
              <w:right w:type="dxa" w:w="160"/>
            </w:tcMar>
          </w:tcPr>
          <w:p>
            <w:r>
              <w:rPr>
                <w:rFonts w:ascii="Arial" w:cs="Arial" w:eastAsia="Arial" w:hAnsi="Arial"/>
                <w:b/>
                <w:bCs/>
                <w:color w:val="FFFFFF"/>
                <w:sz w:val="20"/>
                <w:szCs w:val="20"/>
              </w:rPr>
              <w:t xml:space="preserve">Engine</w:t>
            </w:r>
          </w:p>
        </w:tc>
        <w:tc>
          <w:tcPr>
            <w:tcW w:type="dxa" w:w="7160"/>
            <w:tcMar>
              <w:top w:type="dxa" w:w="100"/>
              <w:left w:type="dxa" w:w="160"/>
              <w:bottom w:type="dxa" w:w="100"/>
              <w:right w:type="dxa" w:w="160"/>
            </w:tcMar>
          </w:tcPr>
          <w:p>
            <w:r>
              <w:rPr>
                <w:rFonts w:ascii="Arial" w:cs="Arial" w:eastAsia="Arial" w:hAnsi="Arial"/>
                <w:b/>
                <w:bCs/>
                <w:color w:val="FFFFFF"/>
                <w:sz w:val="20"/>
                <w:szCs w:val="20"/>
              </w:rPr>
              <w:t xml:space="preserve">Function &amp; Educator Impact</w:t>
            </w:r>
          </w:p>
        </w:tc>
      </w:tr>
      <w:tr>
        <w:tc>
          <w:tcPr>
            <w:tcW w:type="dxa" w:w="2200"/>
            <w:tcMar>
              <w:top w:type="dxa" w:w="100"/>
              <w:left w:type="dxa" w:w="160"/>
              <w:bottom w:type="dxa" w:w="100"/>
              <w:right w:type="dxa" w:w="160"/>
            </w:tcMar>
          </w:tcPr>
          <w:p>
            <w:r>
              <w:rPr>
                <w:rFonts w:ascii="Arial" w:cs="Arial" w:eastAsia="Arial" w:hAnsi="Arial"/>
                <w:b/>
                <w:bCs/>
                <w:color w:val="003366"/>
                <w:sz w:val="20"/>
                <w:szCs w:val="20"/>
              </w:rPr>
              <w:t xml:space="preserve">Engine 1 — Exam Readiness Score (ERS)</w:t>
            </w:r>
          </w:p>
        </w:tc>
        <w:tc>
          <w:tcPr>
            <w:tcW w:type="dxa" w:w="7160"/>
            <w:tcMar>
              <w:top w:type="dxa" w:w="100"/>
              <w:left w:type="dxa" w:w="160"/>
              <w:bottom w:type="dxa" w:w="100"/>
              <w:right w:type="dxa" w:w="160"/>
            </w:tcMar>
          </w:tcPr>
          <w:p>
            <w:r>
              <w:rPr>
                <w:rFonts w:ascii="Arial" w:cs="Arial" w:eastAsia="Arial" w:hAnsi="Arial"/>
                <w:color w:val="333333"/>
                <w:sz w:val="20"/>
                <w:szCs w:val="20"/>
              </w:rPr>
              <w:t xml:space="preserve">A composite score (0–100) computed per exam from domain mastery, answer velocity, consistency, constructed-response rubric scores, and mock simulation results. The Pass Probability Score (PPS) is the weighted average across all of a candidate’s active exams. A Readiness Declaration fires automatically when PPS reaches 90% sustained over a 7-day average with two passing mock simulations — telling the candidate exactly when to book their exam appointment.</w:t>
            </w:r>
          </w:p>
        </w:tc>
      </w:tr>
      <w:tr>
        <w:tc>
          <w:tcPr>
            <w:tcW w:type="dxa" w:w="2200"/>
            <w:tcMar>
              <w:top w:type="dxa" w:w="100"/>
              <w:left w:type="dxa" w:w="160"/>
              <w:bottom w:type="dxa" w:w="100"/>
              <w:right w:type="dxa" w:w="160"/>
            </w:tcMar>
          </w:tcPr>
          <w:p>
            <w:r>
              <w:rPr>
                <w:rFonts w:ascii="Arial" w:cs="Arial" w:eastAsia="Arial" w:hAnsi="Arial"/>
                <w:b/>
                <w:bCs/>
                <w:color w:val="003366"/>
                <w:sz w:val="20"/>
                <w:szCs w:val="20"/>
              </w:rPr>
              <w:t xml:space="preserve">Engine 2 — OODA Wrong-Answer Loop</w:t>
            </w:r>
          </w:p>
        </w:tc>
        <w:tc>
          <w:tcPr>
            <w:tcW w:type="dxa" w:w="7160"/>
            <w:tcMar>
              <w:top w:type="dxa" w:w="100"/>
              <w:left w:type="dxa" w:w="160"/>
              <w:bottom w:type="dxa" w:w="100"/>
              <w:right w:type="dxa" w:w="160"/>
            </w:tcMar>
          </w:tcPr>
          <w:p>
            <w:r>
              <w:rPr>
                <w:rFonts w:ascii="Arial" w:cs="Arial" w:eastAsia="Arial" w:hAnsi="Arial"/>
                <w:color w:val="333333"/>
                <w:sz w:val="20"/>
                <w:szCs w:val="20"/>
              </w:rPr>
              <w:t xml:space="preserve">Triggered on every incorrect answer. The platform enforces a mandatory Observe → Orient → Decide → Act cycle: the candidate reviews the failed question, receives a 90-second AI-generated micro-lesson targeted to the specific concept missed, and must answer two of three related questions correctly before advancing. This loop cannot be skipped. It directly mirrors the error-analysis and mastery protocols that high-performing instructors use in adaptive classroom instruction.</w:t>
            </w:r>
          </w:p>
        </w:tc>
      </w:tr>
      <w:tr>
        <w:tc>
          <w:tcPr>
            <w:tcW w:type="dxa" w:w="2200"/>
            <w:tcMar>
              <w:top w:type="dxa" w:w="100"/>
              <w:left w:type="dxa" w:w="160"/>
              <w:bottom w:type="dxa" w:w="100"/>
              <w:right w:type="dxa" w:w="160"/>
            </w:tcMar>
          </w:tcPr>
          <w:p>
            <w:r>
              <w:rPr>
                <w:rFonts w:ascii="Arial" w:cs="Arial" w:eastAsia="Arial" w:hAnsi="Arial"/>
                <w:b/>
                <w:bCs/>
                <w:color w:val="003366"/>
                <w:sz w:val="20"/>
                <w:szCs w:val="20"/>
              </w:rPr>
              <w:t xml:space="preserve">Engine 3 — Voice-to-Score Constructed Response</w:t>
            </w:r>
          </w:p>
        </w:tc>
        <w:tc>
          <w:tcPr>
            <w:tcW w:type="dxa" w:w="7160"/>
            <w:tcMar>
              <w:top w:type="dxa" w:w="100"/>
              <w:left w:type="dxa" w:w="160"/>
              <w:bottom w:type="dxa" w:w="100"/>
              <w:right w:type="dxa" w:w="160"/>
            </w:tcMar>
          </w:tcPr>
          <w:p>
            <w:r>
              <w:rPr>
                <w:rFonts w:ascii="Arial" w:cs="Arial" w:eastAsia="Arial" w:hAnsi="Arial"/>
                <w:color w:val="333333"/>
                <w:sz w:val="20"/>
                <w:szCs w:val="20"/>
              </w:rPr>
              <w:t xml:space="preserve">Built for the PLT Grades 7–12 exam (5624), which requires constructed-response essays scored against five official ETS rubric dimensions. Candidates speak or type a practice response; the AI engine scores all five dimensions in under 10 seconds, returns a score per dimension (0–3 scale), a total (0–15), one identified strength, and one priority fix. No other Praxis preparation platform scores constructed responses in real time. This engine is a direct analog to writing feedback loops that effective composition teachers use with their students.</w:t>
            </w:r>
          </w:p>
        </w:tc>
      </w:tr>
      <w:tr>
        <w:tc>
          <w:tcPr>
            <w:tcW w:type="dxa" w:w="2200"/>
            <w:tcMar>
              <w:top w:type="dxa" w:w="100"/>
              <w:left w:type="dxa" w:w="160"/>
              <w:bottom w:type="dxa" w:w="100"/>
              <w:right w:type="dxa" w:w="160"/>
            </w:tcMar>
          </w:tcPr>
          <w:p>
            <w:r>
              <w:rPr>
                <w:rFonts w:ascii="Arial" w:cs="Arial" w:eastAsia="Arial" w:hAnsi="Arial"/>
                <w:b/>
                <w:bCs/>
                <w:color w:val="003366"/>
                <w:sz w:val="20"/>
                <w:szCs w:val="20"/>
              </w:rPr>
              <w:t xml:space="preserve">Engine 4 — 25-Minute Daily Mission</w:t>
            </w:r>
          </w:p>
        </w:tc>
        <w:tc>
          <w:tcPr>
            <w:tcW w:type="dxa" w:w="7160"/>
            <w:tcMar>
              <w:top w:type="dxa" w:w="100"/>
              <w:left w:type="dxa" w:w="160"/>
              <w:bottom w:type="dxa" w:w="100"/>
              <w:right w:type="dxa" w:w="160"/>
            </w:tcMar>
          </w:tcPr>
          <w:p>
            <w:r>
              <w:rPr>
                <w:rFonts w:ascii="Arial" w:cs="Arial" w:eastAsia="Arial" w:hAnsi="Arial"/>
                <w:color w:val="333333"/>
                <w:sz w:val="20"/>
                <w:szCs w:val="20"/>
              </w:rPr>
              <w:t xml:space="preserve">Every study session is exactly 25 minutes: a 60-second mission briefing identifying the weakest domain, 23 minutes of active practice prioritized by ERS gap analysis, and a 60-second Win Report declaring the specific ERS gain achieved. No session ends without a declared win — even one point of ERS movement counts. This structure mirrors the lesson-objective framework Mr. James uses in the classroom: every period has a stated objective, active learning, and a closing check for understanding.</w:t>
            </w:r>
          </w:p>
        </w:tc>
      </w:tr>
      <w:tr>
        <w:tc>
          <w:tcPr>
            <w:tcW w:type="dxa" w:w="2200"/>
            <w:tcMar>
              <w:top w:type="dxa" w:w="100"/>
              <w:left w:type="dxa" w:w="160"/>
              <w:bottom w:type="dxa" w:w="100"/>
              <w:right w:type="dxa" w:w="160"/>
            </w:tcMar>
          </w:tcPr>
          <w:p>
            <w:r>
              <w:rPr>
                <w:rFonts w:ascii="Arial" w:cs="Arial" w:eastAsia="Arial" w:hAnsi="Arial"/>
                <w:b/>
                <w:bCs/>
                <w:color w:val="003366"/>
                <w:sz w:val="20"/>
                <w:szCs w:val="20"/>
              </w:rPr>
              <w:t xml:space="preserve">Engine 5 — Retaker Recovery Protocol</w:t>
            </w:r>
          </w:p>
        </w:tc>
        <w:tc>
          <w:tcPr>
            <w:tcW w:type="dxa" w:w="7160"/>
            <w:tcMar>
              <w:top w:type="dxa" w:w="100"/>
              <w:left w:type="dxa" w:w="160"/>
              <w:bottom w:type="dxa" w:w="100"/>
              <w:right w:type="dxa" w:w="160"/>
            </w:tcMar>
          </w:tcPr>
          <w:p>
            <w:r>
              <w:rPr>
                <w:rFonts w:ascii="Arial" w:cs="Arial" w:eastAsia="Arial" w:hAnsi="Arial"/>
                <w:color w:val="333333"/>
                <w:sz w:val="20"/>
                <w:szCs w:val="20"/>
              </w:rPr>
              <w:t xml:space="preserve">Designed for teacher candidates who have previously attempted a Praxis exam. The candidate uploads their official ETS score report; the AI reads the domain-level breakdown, identifies the specific gaps that caused the failure, and generates a 28-day surgical recovery plan. The Exam Readiness Score is initialized from the score report rather than from scratch — eliminating wasted time on material the candidate already knows. No competitor offers score-report-to-plan in under 60 seconds.</w:t>
            </w:r>
          </w:p>
        </w:tc>
      </w:tr>
    </w:tbl>
    <w:p>
      <w:pPr>
        <w:spacing w:after="80" w:before="80"/>
      </w:pPr>
      <w:r>
        <w:t xml:space="preserve"/>
      </w:r>
    </w:p>
    <w:p>
      <w:pPr>
        <w:pStyle w:val="Heading2"/>
      </w:pPr>
      <w:r>
        <w:t xml:space="preserve">10.3  Maryland-Specific Integration</w:t>
      </w:r>
    </w:p>
    <w:p>
      <w:pPr>
        <w:spacing w:after="140" w:before="80"/>
      </w:pPr>
      <w:r>
        <w:rPr>
          <w:rFonts w:ascii="Arial" w:cs="Arial" w:eastAsia="Arial" w:hAnsi="Arial"/>
          <w:color w:val="444444"/>
          <w:sz w:val="22"/>
          <w:szCs w:val="22"/>
        </w:rPr>
        <w:t xml:space="preserve">PraxisPass is built with Maryland-specific compliance and policy requirements embedded throughout the platform. The Maryland State Department of Education (MSDE) Score Recipient Code 7403 is surfaced to candidates at every registration reminder. The platform enforces Maryland’s 28-day minimum retake waiting period in the user interface with a countdown timer. Score validity (10 years from test date), GPA exemption eligibility for the Core Academic Skills exams (3.0+ GPA on most recently earned degree), and the September 1, 2026 Maryland transition from the Performance Assessment for Teaching (PPAT) to the edTPA portfolio assessment are all live within the platform today.</w:t>
      </w:r>
    </w:p>
    <w:p>
      <w:pPr>
        <w:spacing w:after="140" w:before="80"/>
      </w:pPr>
      <w:r>
        <w:rPr>
          <w:rFonts w:ascii="Arial" w:cs="Arial" w:eastAsia="Arial" w:hAnsi="Arial"/>
          <w:color w:val="444444"/>
          <w:sz w:val="22"/>
          <w:szCs w:val="22"/>
        </w:rPr>
        <w:t xml:space="preserve">A StateAlertBanner is active on all PLT exam preparation pages notifying PGCPS teacher candidates of the edTPA transition deadline. The platform supports state-level SEO pages (</w:t>
      </w:r>
      <w:r>
        <w:rPr>
          <w:rFonts w:ascii="Arial" w:cs="Arial" w:eastAsia="Arial" w:hAnsi="Arial"/>
          <w:b/>
          <w:bCs/>
          <w:color w:val="003366"/>
          <w:sz w:val="22"/>
          <w:szCs w:val="22"/>
        </w:rPr>
        <w:t xml:space="preserve">praxispass.app/states/md</w:t>
      </w:r>
      <w:r>
        <w:rPr>
          <w:rFonts w:ascii="Arial" w:cs="Arial" w:eastAsia="Arial" w:hAnsi="Arial"/>
          <w:color w:val="444444"/>
          <w:sz w:val="22"/>
          <w:szCs w:val="22"/>
        </w:rPr>
        <w:t xml:space="preserve">) and a passing-score lookup tool (</w:t>
      </w:r>
      <w:r>
        <w:rPr>
          <w:rFonts w:ascii="Arial" w:cs="Arial" w:eastAsia="Arial" w:hAnsi="Arial"/>
          <w:b/>
          <w:bCs/>
          <w:color w:val="003366"/>
          <w:sz w:val="22"/>
          <w:szCs w:val="22"/>
        </w:rPr>
        <w:t xml:space="preserve">praxispass.app/tools/passing-scores</w:t>
      </w:r>
      <w:r>
        <w:rPr>
          <w:rFonts w:ascii="Arial" w:cs="Arial" w:eastAsia="Arial" w:hAnsi="Arial"/>
          <w:color w:val="444444"/>
          <w:sz w:val="22"/>
          <w:szCs w:val="22"/>
        </w:rPr>
        <w:t xml:space="preserve">) showing required scores by exam and state. A FERPA-safe Department Dashboard allows PGCPS supervisors to view aggregate ERS data across a cohort of teachers without exposing individual scores to peers.</w:t>
      </w:r>
    </w:p>
    <w:p>
      <w:pPr>
        <w:pStyle w:val="Heading2"/>
      </w:pPr>
      <w:r>
        <w:t xml:space="preserve">10.4  Professional Development Alignment — Danielson Framework</w:t>
      </w:r>
    </w:p>
    <w:p>
      <w:pPr>
        <w:spacing w:after="140" w:before="80"/>
      </w:pPr>
      <w:r>
        <w:rPr>
          <w:rFonts w:ascii="Arial" w:cs="Arial" w:eastAsia="Arial" w:hAnsi="Arial"/>
          <w:color w:val="444444"/>
          <w:sz w:val="22"/>
          <w:szCs w:val="22"/>
        </w:rPr>
        <w:t xml:space="preserve">The construction of PraxisPass constitutes a significant, sustained professional development effort by Mr. James that aligns directly with the Danielson Framework domains assessed in his educator evaluation. Specifically:</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Look w:val="0000"/>
      </w:tblPr>
      <w:tblGrid>
        <w:gridCol w:w="2200"/>
        <w:gridCol w:w="3580"/>
        <w:gridCol w:w="3580"/>
      </w:tblGrid>
      <w:tr>
        <w:tc>
          <w:tcPr>
            <w:tcW w:type="dxa" w:w="2200"/>
            <w:tcMar>
              <w:top w:type="dxa" w:w="100"/>
              <w:left w:type="dxa" w:w="160"/>
              <w:bottom w:type="dxa" w:w="100"/>
              <w:right w:type="dxa" w:w="160"/>
            </w:tcMar>
          </w:tcPr>
          <w:p>
            <w:r>
              <w:rPr>
                <w:rFonts w:ascii="Arial" w:cs="Arial" w:eastAsia="Arial" w:hAnsi="Arial"/>
                <w:b/>
                <w:bCs/>
                <w:color w:val="FFFFFF"/>
                <w:sz w:val="20"/>
                <w:szCs w:val="20"/>
              </w:rPr>
              <w:t xml:space="preserve">Danielson Component</w:t>
            </w:r>
          </w:p>
        </w:tc>
        <w:tc>
          <w:tcPr>
            <w:tcW w:type="dxa" w:w="3580"/>
            <w:tcMar>
              <w:top w:type="dxa" w:w="100"/>
              <w:left w:type="dxa" w:w="160"/>
              <w:bottom w:type="dxa" w:w="100"/>
              <w:right w:type="dxa" w:w="160"/>
            </w:tcMar>
          </w:tcPr>
          <w:p>
            <w:r>
              <w:rPr>
                <w:rFonts w:ascii="Arial" w:cs="Arial" w:eastAsia="Arial" w:hAnsi="Arial"/>
                <w:b/>
                <w:bCs/>
                <w:color w:val="FFFFFF"/>
                <w:sz w:val="20"/>
                <w:szCs w:val="20"/>
              </w:rPr>
              <w:t xml:space="preserve">PraxisPass Connection</w:t>
            </w:r>
          </w:p>
        </w:tc>
        <w:tc>
          <w:tcPr>
            <w:tcW w:type="dxa" w:w="3580"/>
            <w:tcMar>
              <w:top w:type="dxa" w:w="100"/>
              <w:left w:type="dxa" w:w="160"/>
              <w:bottom w:type="dxa" w:w="100"/>
              <w:right w:type="dxa" w:w="160"/>
            </w:tcMar>
          </w:tcPr>
          <w:p>
            <w:r>
              <w:rPr>
                <w:rFonts w:ascii="Arial" w:cs="Arial" w:eastAsia="Arial" w:hAnsi="Arial"/>
                <w:b/>
                <w:bCs/>
                <w:color w:val="FFFFFF"/>
                <w:sz w:val="20"/>
                <w:szCs w:val="20"/>
              </w:rPr>
              <w:t xml:space="preserve">Evidence</w:t>
            </w:r>
          </w:p>
        </w:tc>
      </w:tr>
      <w:tr>
        <w:tc>
          <w:tcPr>
            <w:tcW w:type="dxa" w:w="2200"/>
            <w:tcMar>
              <w:top w:type="dxa" w:w="100"/>
              <w:left w:type="dxa" w:w="160"/>
              <w:bottom w:type="dxa" w:w="100"/>
              <w:right w:type="dxa" w:w="160"/>
            </w:tcMar>
          </w:tcPr>
          <w:p>
            <w:r>
              <w:rPr>
                <w:rFonts w:ascii="Arial" w:cs="Arial" w:eastAsia="Arial" w:hAnsi="Arial"/>
                <w:b/>
                <w:bCs/>
                <w:color w:val="003366"/>
                <w:sz w:val="20"/>
                <w:szCs w:val="20"/>
              </w:rPr>
              <w:t xml:space="preserve">Domain 1 — Knowledge of Content &amp; Pedagogy</w:t>
            </w:r>
          </w:p>
        </w:tc>
        <w:tc>
          <w:tcPr>
            <w:tcW w:type="dxa" w:w="3580"/>
            <w:tcMar>
              <w:top w:type="dxa" w:w="100"/>
              <w:left w:type="dxa" w:w="160"/>
              <w:bottom w:type="dxa" w:w="100"/>
              <w:right w:type="dxa" w:w="160"/>
            </w:tcMar>
          </w:tcPr>
          <w:p>
            <w:r>
              <w:rPr>
                <w:rFonts w:ascii="Arial" w:cs="Arial" w:eastAsia="Arial" w:hAnsi="Arial"/>
                <w:color w:val="333333"/>
                <w:sz w:val="20"/>
                <w:szCs w:val="20"/>
              </w:rPr>
              <w:t xml:space="preserve">Authoring 17,320 ETS-aligned practice questions required deep content mastery across CTE, pedagogy, literacy, and assessment domains. Domain arrays are locked to official ETS Test Specifications.</w:t>
            </w:r>
          </w:p>
        </w:tc>
        <w:tc>
          <w:tcPr>
            <w:tcW w:type="dxa" w:w="3580"/>
            <w:tcMar>
              <w:top w:type="dxa" w:w="100"/>
              <w:left w:type="dxa" w:w="160"/>
              <w:bottom w:type="dxa" w:w="100"/>
              <w:right w:type="dxa" w:w="160"/>
            </w:tcMar>
          </w:tcPr>
          <w:p>
            <w:r>
              <w:rPr>
                <w:rFonts w:ascii="Arial" w:cs="Arial" w:eastAsia="Arial" w:hAnsi="Arial"/>
                <w:color w:val="333333"/>
                <w:sz w:val="20"/>
                <w:szCs w:val="20"/>
              </w:rPr>
              <w:t xml:space="preserve">15-exam question bank deployed to production; domain audit completed May 2026</w:t>
            </w:r>
          </w:p>
        </w:tc>
      </w:tr>
      <w:tr>
        <w:tc>
          <w:tcPr>
            <w:tcW w:type="dxa" w:w="2200"/>
            <w:tcMar>
              <w:top w:type="dxa" w:w="100"/>
              <w:left w:type="dxa" w:w="160"/>
              <w:bottom w:type="dxa" w:w="100"/>
              <w:right w:type="dxa" w:w="160"/>
            </w:tcMar>
          </w:tcPr>
          <w:p>
            <w:r>
              <w:rPr>
                <w:rFonts w:ascii="Arial" w:cs="Arial" w:eastAsia="Arial" w:hAnsi="Arial"/>
                <w:b/>
                <w:bCs/>
                <w:color w:val="003366"/>
                <w:sz w:val="20"/>
                <w:szCs w:val="20"/>
              </w:rPr>
              <w:t xml:space="preserve">Domain 3 — Instruction</w:t>
            </w:r>
          </w:p>
        </w:tc>
        <w:tc>
          <w:tcPr>
            <w:tcW w:type="dxa" w:w="3580"/>
            <w:tcMar>
              <w:top w:type="dxa" w:w="100"/>
              <w:left w:type="dxa" w:w="160"/>
              <w:bottom w:type="dxa" w:w="100"/>
              <w:right w:type="dxa" w:w="160"/>
            </w:tcMar>
          </w:tcPr>
          <w:p>
            <w:r>
              <w:rPr>
                <w:rFonts w:ascii="Arial" w:cs="Arial" w:eastAsia="Arial" w:hAnsi="Arial"/>
                <w:color w:val="333333"/>
                <w:sz w:val="20"/>
                <w:szCs w:val="20"/>
              </w:rPr>
              <w:t xml:space="preserve">The 25-Minute Daily Mission replicates the objective-driven, feedback-rich lesson structure of high-quality classroom instruction. OODA loop mirrors the error-analysis cycles used in mastery-based pedagogy.</w:t>
            </w:r>
          </w:p>
        </w:tc>
        <w:tc>
          <w:tcPr>
            <w:tcW w:type="dxa" w:w="3580"/>
            <w:tcMar>
              <w:top w:type="dxa" w:w="100"/>
              <w:left w:type="dxa" w:w="160"/>
              <w:bottom w:type="dxa" w:w="100"/>
              <w:right w:type="dxa" w:w="160"/>
            </w:tcMar>
          </w:tcPr>
          <w:p>
            <w:r>
              <w:rPr>
                <w:rFonts w:ascii="Arial" w:cs="Arial" w:eastAsia="Arial" w:hAnsi="Arial"/>
                <w:color w:val="333333"/>
                <w:sz w:val="20"/>
                <w:szCs w:val="20"/>
              </w:rPr>
              <w:t xml:space="preserve">25-min mission architecture live in production; OODA loop mandatory on every incorrect answer</w:t>
            </w:r>
          </w:p>
        </w:tc>
      </w:tr>
      <w:tr>
        <w:tc>
          <w:tcPr>
            <w:tcW w:type="dxa" w:w="2200"/>
            <w:tcMar>
              <w:top w:type="dxa" w:w="100"/>
              <w:left w:type="dxa" w:w="160"/>
              <w:bottom w:type="dxa" w:w="100"/>
              <w:right w:type="dxa" w:w="160"/>
            </w:tcMar>
          </w:tcPr>
          <w:p>
            <w:r>
              <w:rPr>
                <w:rFonts w:ascii="Arial" w:cs="Arial" w:eastAsia="Arial" w:hAnsi="Arial"/>
                <w:b/>
                <w:bCs/>
                <w:color w:val="003366"/>
                <w:sz w:val="20"/>
                <w:szCs w:val="20"/>
              </w:rPr>
              <w:t xml:space="preserve">Domain 4 — Growing &amp; Developing Professionally</w:t>
            </w:r>
          </w:p>
        </w:tc>
        <w:tc>
          <w:tcPr>
            <w:tcW w:type="dxa" w:w="3580"/>
            <w:tcMar>
              <w:top w:type="dxa" w:w="100"/>
              <w:left w:type="dxa" w:w="160"/>
              <w:bottom w:type="dxa" w:w="100"/>
              <w:right w:type="dxa" w:w="160"/>
            </w:tcMar>
          </w:tcPr>
          <w:p>
            <w:r>
              <w:rPr>
                <w:rFonts w:ascii="Arial" w:cs="Arial" w:eastAsia="Arial" w:hAnsi="Arial"/>
                <w:color w:val="333333"/>
                <w:sz w:val="20"/>
                <w:szCs w:val="20"/>
              </w:rPr>
              <w:t xml:space="preserve">PraxisPass is itself Mr. James’s most significant professional growth project AY 2025–26. Building a production-grade AI platform while actively preparing for his own licensure exams models the same growth posture he expects from his students.</w:t>
            </w:r>
          </w:p>
        </w:tc>
        <w:tc>
          <w:tcPr>
            <w:tcW w:type="dxa" w:w="3580"/>
            <w:tcMar>
              <w:top w:type="dxa" w:w="100"/>
              <w:left w:type="dxa" w:w="160"/>
              <w:bottom w:type="dxa" w:w="100"/>
              <w:right w:type="dxa" w:w="160"/>
            </w:tcMar>
          </w:tcPr>
          <w:p>
            <w:r>
              <w:rPr>
                <w:rFonts w:ascii="Arial" w:cs="Arial" w:eastAsia="Arial" w:hAnsi="Arial"/>
                <w:color w:val="333333"/>
                <w:sz w:val="20"/>
                <w:szCs w:val="20"/>
              </w:rPr>
              <w:t xml:space="preserve">Platform live at praxispass.app; Gate 1 exam target July 18, 2026 (PLT 5624, Core Reading 5713, Core Writing 5723)</w:t>
            </w:r>
          </w:p>
        </w:tc>
      </w:tr>
    </w:tbl>
    <w:p>
      <w:pPr>
        <w:spacing w:after="80" w:before="80"/>
      </w:pPr>
      <w:r>
        <w:t xml:space="preserve"/>
      </w:r>
    </w:p>
    <w:p>
      <w:pPr>
        <w:pStyle w:val="Heading2"/>
      </w:pPr>
      <w:r>
        <w:t xml:space="preserve">10.5  Platform Status Summary — As of June 16, 2026</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Look w:val="0000"/>
      </w:tblPr>
      <w:tblGrid>
        <w:gridCol w:w="3120"/>
        <w:gridCol w:w="6240"/>
      </w:tblGrid>
      <w:tr>
        <w:tc>
          <w:tcPr>
            <w:tcW w:type="dxa" w:w="3120"/>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6240"/>
            <w:tcMar>
              <w:top w:type="dxa" w:w="100"/>
              <w:left w:type="dxa" w:w="160"/>
              <w:bottom w:type="dxa" w:w="100"/>
              <w:right w:type="dxa" w:w="160"/>
            </w:tcMar>
          </w:tcPr>
          <w:p>
            <w:r>
              <w:rPr>
                <w:rFonts w:ascii="Arial" w:cs="Arial" w:eastAsia="Arial" w:hAnsi="Arial"/>
                <w:b/>
                <w:bCs/>
                <w:color w:val="FFFFFF"/>
                <w:sz w:val="20"/>
                <w:szCs w:val="20"/>
              </w:rPr>
              <w:t xml:space="preserve">Status</w:t>
            </w:r>
          </w:p>
        </w:tc>
      </w:tr>
      <w:tr>
        <w:tc>
          <w:tcPr>
            <w:tcW w:type="dxa" w:w="3120"/>
            <w:tcMar>
              <w:top w:type="dxa" w:w="100"/>
              <w:left w:type="dxa" w:w="160"/>
              <w:bottom w:type="dxa" w:w="100"/>
              <w:right w:type="dxa" w:w="160"/>
            </w:tcMar>
          </w:tcPr>
          <w:p>
            <w:r>
              <w:rPr>
                <w:rFonts w:ascii="Arial" w:cs="Arial" w:eastAsia="Arial" w:hAnsi="Arial"/>
                <w:b/>
                <w:bCs/>
                <w:color w:val="003366"/>
                <w:sz w:val="20"/>
                <w:szCs w:val="20"/>
              </w:rPr>
              <w:t xml:space="preserve">Platform URL</w:t>
            </w:r>
          </w:p>
        </w:tc>
        <w:tc>
          <w:tcPr>
            <w:tcW w:type="dxa" w:w="6240"/>
            <w:tcMar>
              <w:top w:type="dxa" w:w="100"/>
              <w:left w:type="dxa" w:w="160"/>
              <w:bottom w:type="dxa" w:w="100"/>
              <w:right w:type="dxa" w:w="160"/>
            </w:tcMar>
          </w:tcPr>
          <w:p>
            <w:r>
              <w:rPr>
                <w:rFonts w:ascii="Arial" w:cs="Arial" w:eastAsia="Arial" w:hAnsi="Arial"/>
                <w:color w:val="333333"/>
                <w:sz w:val="20"/>
                <w:szCs w:val="20"/>
              </w:rPr>
              <w:t xml:space="preserve">praxispass.app — Live in production on Vercel / Neon PostgreSQL</w:t>
            </w:r>
          </w:p>
        </w:tc>
      </w:tr>
      <w:tr>
        <w:tc>
          <w:tcPr>
            <w:tcW w:type="dxa" w:w="3120"/>
            <w:tcMar>
              <w:top w:type="dxa" w:w="100"/>
              <w:left w:type="dxa" w:w="160"/>
              <w:bottom w:type="dxa" w:w="100"/>
              <w:right w:type="dxa" w:w="160"/>
            </w:tcMar>
          </w:tcPr>
          <w:p>
            <w:r>
              <w:rPr>
                <w:rFonts w:ascii="Arial" w:cs="Arial" w:eastAsia="Arial" w:hAnsi="Arial"/>
                <w:b/>
                <w:bCs/>
                <w:color w:val="003366"/>
                <w:sz w:val="20"/>
                <w:szCs w:val="20"/>
              </w:rPr>
              <w:t xml:space="preserve">Question Bank</w:t>
            </w:r>
          </w:p>
        </w:tc>
        <w:tc>
          <w:tcPr>
            <w:tcW w:type="dxa" w:w="6240"/>
            <w:tcMar>
              <w:top w:type="dxa" w:w="100"/>
              <w:left w:type="dxa" w:w="160"/>
              <w:bottom w:type="dxa" w:w="100"/>
              <w:right w:type="dxa" w:w="160"/>
            </w:tcMar>
          </w:tcPr>
          <w:p>
            <w:r>
              <w:rPr>
                <w:rFonts w:ascii="Arial" w:cs="Arial" w:eastAsia="Arial" w:hAnsi="Arial"/>
                <w:color w:val="333333"/>
                <w:sz w:val="20"/>
                <w:szCs w:val="20"/>
              </w:rPr>
              <w:t xml:space="preserve">17,320 original practice questions across 15 active exams — growing overnight via automated cron</w:t>
            </w:r>
          </w:p>
        </w:tc>
      </w:tr>
      <w:tr>
        <w:tc>
          <w:tcPr>
            <w:tcW w:type="dxa" w:w="3120"/>
            <w:tcMar>
              <w:top w:type="dxa" w:w="100"/>
              <w:left w:type="dxa" w:w="160"/>
              <w:bottom w:type="dxa" w:w="100"/>
              <w:right w:type="dxa" w:w="160"/>
            </w:tcMar>
          </w:tcPr>
          <w:p>
            <w:r>
              <w:rPr>
                <w:rFonts w:ascii="Arial" w:cs="Arial" w:eastAsia="Arial" w:hAnsi="Arial"/>
                <w:b/>
                <w:bCs/>
                <w:color w:val="003366"/>
                <w:sz w:val="20"/>
                <w:szCs w:val="20"/>
              </w:rPr>
              <w:t xml:space="preserve">PGCPS Free Access Period</w:t>
            </w:r>
          </w:p>
        </w:tc>
        <w:tc>
          <w:tcPr>
            <w:tcW w:type="dxa" w:w="6240"/>
            <w:tcMar>
              <w:top w:type="dxa" w:w="100"/>
              <w:left w:type="dxa" w:w="160"/>
              <w:bottom w:type="dxa" w:w="100"/>
              <w:right w:type="dxa" w:w="160"/>
            </w:tcMar>
          </w:tcPr>
          <w:p>
            <w:r>
              <w:rPr>
                <w:rFonts w:ascii="Arial" w:cs="Arial" w:eastAsia="Arial" w:hAnsi="Arial"/>
                <w:color w:val="333333"/>
                <w:sz w:val="20"/>
                <w:szCs w:val="20"/>
              </w:rPr>
              <w:t xml:space="preserve">All PGCPS teacher candidates receive full Individual access ($19/month value) at no cost through May 3, 2027</w:t>
            </w:r>
          </w:p>
        </w:tc>
      </w:tr>
      <w:tr>
        <w:tc>
          <w:tcPr>
            <w:tcW w:type="dxa" w:w="3120"/>
            <w:tcMar>
              <w:top w:type="dxa" w:w="100"/>
              <w:left w:type="dxa" w:w="160"/>
              <w:bottom w:type="dxa" w:w="100"/>
              <w:right w:type="dxa" w:w="160"/>
            </w:tcMar>
          </w:tcPr>
          <w:p>
            <w:r>
              <w:rPr>
                <w:rFonts w:ascii="Arial" w:cs="Arial" w:eastAsia="Arial" w:hAnsi="Arial"/>
                <w:b/>
                <w:bCs/>
                <w:color w:val="003366"/>
                <w:sz w:val="20"/>
                <w:szCs w:val="20"/>
              </w:rPr>
              <w:t xml:space="preserve">Authentication</w:t>
            </w:r>
          </w:p>
        </w:tc>
        <w:tc>
          <w:tcPr>
            <w:tcW w:type="dxa" w:w="6240"/>
            <w:tcMar>
              <w:top w:type="dxa" w:w="100"/>
              <w:left w:type="dxa" w:w="160"/>
              <w:bottom w:type="dxa" w:w="100"/>
              <w:right w:type="dxa" w:w="160"/>
            </w:tcMar>
          </w:tcPr>
          <w:p>
            <w:r>
              <w:rPr>
                <w:rFonts w:ascii="Arial" w:cs="Arial" w:eastAsia="Arial" w:hAnsi="Arial"/>
                <w:color w:val="333333"/>
                <w:sz w:val="20"/>
                <w:szCs w:val="20"/>
              </w:rPr>
              <w:t xml:space="preserve">Google OAuth restricted to @pgcps.org and @students.pgcps.org domains during beta; open to all educators nationally for free Individual access through September 2026</w:t>
            </w:r>
          </w:p>
        </w:tc>
      </w:tr>
      <w:tr>
        <w:tc>
          <w:tcPr>
            <w:tcW w:type="dxa" w:w="3120"/>
            <w:tcMar>
              <w:top w:type="dxa" w:w="100"/>
              <w:left w:type="dxa" w:w="160"/>
              <w:bottom w:type="dxa" w:w="100"/>
              <w:right w:type="dxa" w:w="160"/>
            </w:tcMar>
          </w:tcPr>
          <w:p>
            <w:r>
              <w:rPr>
                <w:rFonts w:ascii="Arial" w:cs="Arial" w:eastAsia="Arial" w:hAnsi="Arial"/>
                <w:b/>
                <w:bCs/>
                <w:color w:val="003366"/>
                <w:sz w:val="20"/>
                <w:szCs w:val="20"/>
              </w:rPr>
              <w:t xml:space="preserve">Gamification &amp; Engagement</w:t>
            </w:r>
          </w:p>
        </w:tc>
        <w:tc>
          <w:tcPr>
            <w:tcW w:type="dxa" w:w="6240"/>
            <w:tcMar>
              <w:top w:type="dxa" w:w="100"/>
              <w:left w:type="dxa" w:w="160"/>
              <w:bottom w:type="dxa" w:w="100"/>
              <w:right w:type="dxa" w:w="160"/>
            </w:tcMar>
          </w:tcPr>
          <w:p>
            <w:r>
              <w:rPr>
                <w:rFonts w:ascii="Arial" w:cs="Arial" w:eastAsia="Arial" w:hAnsi="Arial"/>
                <w:color w:val="333333"/>
                <w:sz w:val="20"/>
                <w:szCs w:val="20"/>
              </w:rPr>
              <w:t xml:space="preserve">Points system, streak armor, daily spin wheel, weekly tournaments, and referral rewards — all live in production; designed to sustain daily engagement across a 90-day prep cycle</w:t>
            </w:r>
          </w:p>
        </w:tc>
      </w:tr>
      <w:tr>
        <w:tc>
          <w:tcPr>
            <w:tcW w:type="dxa" w:w="3120"/>
            <w:tcMar>
              <w:top w:type="dxa" w:w="100"/>
              <w:left w:type="dxa" w:w="160"/>
              <w:bottom w:type="dxa" w:w="100"/>
              <w:right w:type="dxa" w:w="160"/>
            </w:tcMar>
          </w:tcPr>
          <w:p>
            <w:r>
              <w:rPr>
                <w:rFonts w:ascii="Arial" w:cs="Arial" w:eastAsia="Arial" w:hAnsi="Arial"/>
                <w:b/>
                <w:bCs/>
                <w:color w:val="003366"/>
                <w:sz w:val="20"/>
                <w:szCs w:val="20"/>
              </w:rPr>
              <w:t xml:space="preserve">Exams Supported</w:t>
            </w:r>
          </w:p>
        </w:tc>
        <w:tc>
          <w:tcPr>
            <w:tcW w:type="dxa" w:w="6240"/>
            <w:tcMar>
              <w:top w:type="dxa" w:w="100"/>
              <w:left w:type="dxa" w:w="160"/>
              <w:bottom w:type="dxa" w:w="100"/>
              <w:right w:type="dxa" w:w="160"/>
            </w:tcMar>
          </w:tcPr>
          <w:p>
            <w:r>
              <w:rPr>
                <w:rFonts w:ascii="Arial" w:cs="Arial" w:eastAsia="Arial" w:hAnsi="Arial"/>
                <w:color w:val="333333"/>
                <w:sz w:val="20"/>
                <w:szCs w:val="20"/>
              </w:rPr>
              <w:t xml:space="preserve">PLT 5622–5625, Core Reading 5713, Core Writing 5723, Core Math 5733, PPAT, edTPA, and 7 content-area specialty exams — expanding to 50+ Maryland exams in Phase 2</w:t>
            </w:r>
          </w:p>
        </w:tc>
      </w:tr>
      <w:tr>
        <w:tc>
          <w:tcPr>
            <w:tcW w:type="dxa" w:w="3120"/>
            <w:tcMar>
              <w:top w:type="dxa" w:w="100"/>
              <w:left w:type="dxa" w:w="160"/>
              <w:bottom w:type="dxa" w:w="100"/>
              <w:right w:type="dxa" w:w="160"/>
            </w:tcMar>
          </w:tcPr>
          <w:p>
            <w:r>
              <w:rPr>
                <w:rFonts w:ascii="Arial" w:cs="Arial" w:eastAsia="Arial" w:hAnsi="Arial"/>
                <w:b/>
                <w:bCs/>
                <w:color w:val="003366"/>
                <w:sz w:val="20"/>
                <w:szCs w:val="20"/>
              </w:rPr>
              <w:t xml:space="preserve">Mr. James’s Gate 1 Target</w:t>
            </w:r>
          </w:p>
        </w:tc>
        <w:tc>
          <w:tcPr>
            <w:tcW w:type="dxa" w:w="6240"/>
            <w:tcMar>
              <w:top w:type="dxa" w:w="100"/>
              <w:left w:type="dxa" w:w="160"/>
              <w:bottom w:type="dxa" w:w="100"/>
              <w:right w:type="dxa" w:w="160"/>
            </w:tcMar>
          </w:tcPr>
          <w:p>
            <w:r>
              <w:rPr>
                <w:rFonts w:ascii="Arial" w:cs="Arial" w:eastAsia="Arial" w:hAnsi="Arial"/>
                <w:color w:val="333333"/>
                <w:sz w:val="20"/>
                <w:szCs w:val="20"/>
              </w:rPr>
              <w:t xml:space="preserve">85%+ Pass Probability Score on PLT 5624, Core Reading 5713, and Core Writing 5723 by July 18, 2026 — MSDE Score Recipient Code 7403</w:t>
            </w:r>
          </w:p>
        </w:tc>
      </w:tr>
    </w:tbl>
    <w:p>
      <w:pPr>
        <w:spacing w:after="80" w:before="80"/>
      </w:pPr>
      <w:r>
        <w:t xml:space="preserve"/>
      </w:r>
    </w:p>
    <w:p>
      <w:pPr>
        <w:spacing w:after="160" w:before="80"/>
        <w:ind w:left="360" w:right="360"/>
      </w:pPr>
      <w:r>
        <w:rPr>
          <w:rFonts w:ascii="Arial" w:cs="Arial" w:eastAsia="Arial" w:hAnsi="Arial"/>
          <w:i/>
          <w:iCs/>
          <w:color w:val="003366"/>
          <w:sz w:val="22"/>
          <w:szCs w:val="22"/>
        </w:rPr>
        <w:t xml:space="preserve">“PraxisPass is the only Praxis prep platform that tells you when you’re ready to book your exam.” The platform is built by a teacher who had to pass it himself — and who is using his own preparation journey as the live test case for every feature deployed.</w:t>
      </w:r>
    </w:p>
    <w:p>
      <w:pPr>
        <w:pageBreakBefore/>
      </w:pPr>
    </w:p>
    <w:p>
      <w:pPr>
        <w:pStyle w:val="Heading1"/>
      </w:pPr>
      <w:r>
        <w:t xml:space="preserve">Section 9: Certification Statement</w:t>
      </w:r>
    </w:p>
    <w:p>
      <w:pPr>
        <w:pBdr>
          <w:bottom w:val="single" w:color="003366" w:sz="12"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CE0" w:sz="4"/>
              <w:left w:val="single" w:color="D9DCE0" w:sz="4"/>
              <w:bottom w:val="single" w:color="D9DCE0" w:sz="4"/>
              <w:right w:val="single" w:color="D9DCE0" w:sz="4"/>
            </w:tcBorders>
            <w:shd w:fill="F2F4F7" w:val="clear"/>
            <w:tcMar>
              <w:top w:type="dxa" w:w="240"/>
              <w:left w:type="dxa" w:w="360"/>
              <w:bottom w:type="dxa" w:w="240"/>
              <w:right w:type="dxa" w:w="360"/>
            </w:tcMar>
          </w:tcPr>
          <w:p>
            <w:pPr>
              <w:spacing w:after="80" w:before="80"/>
            </w:pPr>
            <w:r>
              <w:rPr>
                <w:rFonts w:ascii="Arial" w:cs="Arial" w:eastAsia="Arial" w:hAnsi="Arial"/>
                <w:b/>
                <w:bCs/>
                <w:color w:val="003366"/>
                <w:sz w:val="22"/>
                <w:szCs w:val="22"/>
              </w:rPr>
              <w:t xml:space="preserve">CERTIFICATION OF ACCURACY — FERPA § 99.32 DISCLOSURE LOG</w:t>
            </w:r>
          </w:p>
          <w:p>
            <w:pPr>
              <w:spacing w:after="80" w:before="80"/>
            </w:pPr>
            <w:r>
              <w:rPr>
                <w:rFonts w:ascii="Arial" w:cs="Arial" w:eastAsia="Arial" w:hAnsi="Arial"/>
                <w:color w:val="000000"/>
                <w:sz w:val="22"/>
                <w:szCs w:val="22"/>
              </w:rPr>
              <w:t xml:space="preserve">I, Carlton A. James, Talent Ready Facilitator and FERPA Compliance Officer for the Talent Ready IT Program at Largo High School / Prince George's Community College, certify that the communications, outreach activities, and academic outcomes documented in this Evidence Portfolio are accurate and reflect activities conducted between August 25, 2025 and June 16, 2026 in my role as program facilitator.</w:t>
            </w:r>
          </w:p>
          <w:p>
            <w:pPr>
              <w:spacing w:after="80" w:before="80"/>
            </w:pPr>
            <w:r>
              <w:rPr>
                <w:rFonts w:ascii="Arial" w:cs="Arial" w:eastAsia="Arial" w:hAnsi="Arial"/>
                <w:color w:val="000000"/>
                <w:sz w:val="22"/>
                <w:szCs w:val="22"/>
              </w:rPr>
              <w:t xml:space="preserve">All student academic records contained herein are FERPA-protected education records (20 U.S.C. § 1232g) and are disclosed solely for the purpose of the PGCPS educator evaluation process (Edoctrina EOY Conference Form #1031706 / SGM #131049). No records are disclosed beyond this authorized purpose.</w:t>
            </w:r>
          </w:p>
          <w:p>
            <w:pPr>
              <w:spacing w:after="60" w:before="60"/>
            </w:pPr>
            <w:r>
              <w:t xml:space="preserve"/>
            </w:r>
          </w:p>
          <w:p>
            <w:pPr>
              <w:spacing w:after="60" w:before="60"/>
            </w:pPr>
            <w:r>
              <w:t xml:space="preserve"/>
            </w:r>
          </w:p>
          <w:p>
            <w:pPr>
              <w:spacing w:after="40" w:before="120"/>
            </w:pPr>
            <w:r>
              <w:rPr>
                <w:rFonts w:ascii="Arial" w:cs="Arial" w:eastAsia="Arial" w:hAnsi="Arial"/>
                <w:color w:val="000000"/>
                <w:sz w:val="22"/>
                <w:szCs w:val="22"/>
              </w:rPr>
              <w:t xml:space="preserve">Signature: _______________________________________________     Date: _________________</w:t>
            </w:r>
          </w:p>
          <w:p>
            <w:pPr>
              <w:spacing w:after="80" w:before="80"/>
            </w:pPr>
            <w:r>
              <w:rPr>
                <w:rFonts w:ascii="Arial" w:cs="Arial" w:eastAsia="Arial" w:hAnsi="Arial"/>
                <w:b/>
                <w:bCs/>
                <w:color w:val="003366"/>
                <w:sz w:val="22"/>
                <w:szCs w:val="22"/>
              </w:rPr>
              <w:t xml:space="preserve">Carlton A. James, Talent Ready Facilitator &amp; ElevateED Administrator</w:t>
            </w:r>
          </w:p>
          <w:p>
            <w:pPr>
              <w:spacing w:after="80" w:before="40"/>
            </w:pPr>
            <w:r>
              <w:rPr>
                <w:rFonts w:ascii="Arial" w:cs="Arial" w:eastAsia="Arial" w:hAnsi="Arial"/>
                <w:color w:val="444444"/>
                <w:sz w:val="20"/>
                <w:szCs w:val="20"/>
              </w:rPr>
              <w:t xml:space="preserve">Largo High School  |  PGCPS  |  (301) 583-5400  |  carlton.james@pgcps.org</w:t>
            </w:r>
          </w:p>
          <w:p>
            <w:pPr>
              <w:spacing w:after="60" w:before="60"/>
            </w:pPr>
            <w:r>
              <w:t xml:space="preserve"/>
            </w:r>
          </w:p>
          <w:p>
            <w:pPr>
              <w:spacing w:after="60" w:before="60"/>
            </w:pPr>
            <w:r>
              <w:t xml:space="preserve"/>
            </w:r>
          </w:p>
          <w:p>
            <w:pPr>
              <w:spacing w:after="40" w:before="120"/>
            </w:pPr>
            <w:r>
              <w:rPr>
                <w:rFonts w:ascii="Arial" w:cs="Arial" w:eastAsia="Arial" w:hAnsi="Arial"/>
                <w:color w:val="000000"/>
                <w:sz w:val="22"/>
                <w:szCs w:val="22"/>
              </w:rPr>
              <w:t xml:space="preserve">Supervisor Review: ________________________________________     Date: _________________</w:t>
            </w:r>
          </w:p>
          <w:p>
            <w:pPr>
              <w:spacing w:after="80" w:before="80"/>
            </w:pPr>
            <w:r>
              <w:rPr>
                <w:rFonts w:ascii="Arial" w:cs="Arial" w:eastAsia="Arial" w:hAnsi="Arial"/>
                <w:b/>
                <w:bCs/>
                <w:color w:val="003366"/>
                <w:sz w:val="22"/>
                <w:szCs w:val="22"/>
              </w:rPr>
              <w:t xml:space="preserve">Keith Brice, Instructional Specialist — Computer Science/Engineering/Technology Education, CTE</w:t>
            </w:r>
          </w:p>
        </w:tc>
      </w:tr>
    </w:tbl>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6" w:space="1"/>
      </w:pBdr>
      <w:tabs>
        <w:tab w:val="center" w:pos="4680"/>
        <w:tab w:val="right" w:pos="9360"/>
      </w:tabs>
      <w:spacing w:before="120"/>
    </w:pPr>
    <w:r>
      <w:rPr>
        <w:rFonts w:ascii="Arial" w:cs="Arial" w:eastAsia="Arial" w:hAnsi="Arial"/>
        <w:color w:val="003366"/>
        <w:sz w:val="16"/>
        <w:szCs w:val="16"/>
      </w:rPr>
      <w:t xml:space="preserve">Maryland Blueprint for Maryland's Future  |  FERPA PROTECTED</w:t>
    </w:r>
    <w:r>
      <w:t xml:space="preserve">	</w:t>
    </w:r>
    <w:r>
      <w:rPr>
        <w:rFonts w:ascii="Arial" w:cs="Arial" w:eastAsia="Arial" w:hAnsi="Arial"/>
        <w:color w:val="666666"/>
        <w:sz w:val="16"/>
        <w:szCs w:val="16"/>
      </w:rPr>
      <w:t xml:space="preserve">Page </w:t>
    </w:r>
    <w:fldSimple w:instr="PAGE">
      <w:r>
        <w:rPr>
          <w:rFonts w:ascii="Arial" w:cs="Arial" w:eastAsia="Arial" w:hAnsi="Arial"/>
          <w:color w:val="666666"/>
          <w:sz w:val="16"/>
          <w:szCs w:val="16"/>
        </w:rPr>
      </w:r>
    </w:fldSimple>
    <w:r>
      <w:rPr>
        <w:rFonts w:ascii="Arial" w:cs="Arial" w:eastAsia="Arial" w:hAnsi="Arial"/>
        <w:color w:val="666666"/>
        <w:sz w:val="16"/>
        <w:szCs w:val="16"/>
      </w:rPr>
      <w:t xml:space="preserve"> of </w:t>
    </w:r>
    <w:fldSimple w:instr="NUMPAGES">
      <w:r>
        <w:rPr>
          <w:rFonts w:ascii="Arial" w:cs="Arial" w:eastAsia="Arial" w:hAnsi="Arial"/>
          <w:color w:val="666666"/>
          <w:sz w:val="16"/>
          <w:szCs w:val="16"/>
        </w:rPr>
      </w:r>
    </w:fldSimple>
    <w:r>
      <w:rPr>
        <w:rFonts w:ascii="Arial" w:cs="Arial" w:eastAsia="Arial" w:hAnsi="Arial"/>
        <w:color w:val="666666"/>
        <w:sz w:val="16"/>
        <w:szCs w:val="16"/>
      </w:rPr>
      <w:t xml:space="preserve">	Generated: June 16,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3366" w:sz="6" w:space="1"/>
        <w:right w:val="none" w:color="FFFFFF" w:sz="0"/>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tcMar>
            <w:bottom w:type="dxa" w:w="60"/>
          </w:tcMar>
        </w:tcPr>
        <w:p>
          <w:r>
            <w:rPr>
              <w:rFonts w:ascii="Arial" w:cs="Arial" w:eastAsia="Arial" w:hAnsi="Arial"/>
              <w:b/>
              <w:bCs/>
              <w:color w:val="003366"/>
              <w:sz w:val="18"/>
              <w:szCs w:val="18"/>
            </w:rPr>
            <w:t xml:space="preserve">Talent Ready IT Program  |  Largo High School  |  Prince George's Community College</w:t>
          </w:r>
        </w:p>
      </w:tc>
      <w:tc>
        <w:tcPr>
          <w:tcBorders>
            <w:top w:val="none" w:color="FFFFFF" w:sz="0"/>
            <w:left w:val="none" w:color="FFFFFF" w:sz="0"/>
            <w:bottom w:val="none" w:color="FFFFFF" w:sz="0"/>
            <w:right w:val="none" w:color="FFFFFF" w:sz="0"/>
          </w:tcBorders>
          <w:tcMar>
            <w:bottom w:type="dxa" w:w="60"/>
          </w:tcMar>
        </w:tcPr>
        <w:p>
          <w:pPr>
            <w:jc w:val="right"/>
          </w:pPr>
          <w:r>
            <w:rPr>
              <w:rFonts w:ascii="Arial" w:cs="Arial" w:eastAsia="Arial" w:hAnsi="Arial"/>
              <w:color w:val="666666"/>
              <w:sz w:val="16"/>
              <w:szCs w:val="16"/>
            </w:rPr>
            <w:t xml:space="preserve">AY 2025–2026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Georgia" w:cs="Georgia" w:eastAsia="Georgia" w:hAnsi="Georgia"/>
      <w:b/>
      <w:bCs/>
      <w:color w:val="003366"/>
      <w:sz w:val="36"/>
      <w:szCs w:val="36"/>
    </w:rPr>
  </w:style>
  <w:style w:type="paragraph" w:styleId="Heading2">
    <w:name w:val="Heading 2"/>
    <w:basedOn w:val="Normal"/>
    <w:next w:val="Normal"/>
    <w:qFormat/>
    <w:pPr>
      <w:spacing w:after="160" w:before="240"/>
      <w:outlineLvl w:val="1"/>
    </w:pPr>
    <w:rPr>
      <w:rFonts w:ascii="Georgia" w:cs="Georgia" w:eastAsia="Georgia" w:hAnsi="Georgia"/>
      <w:b/>
      <w:bCs/>
      <w:color w:val="00336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2026-06-16T10:19:39.587Z</dcterms:created>
  <dcterms:modified xsi:type="dcterms:W3CDTF">2026-06-16T10:19:39.588Z</dcterms:modified>
</cp:coreProperties>
</file>

<file path=docProps/custom.xml><?xml version="1.0" encoding="utf-8"?>
<Properties xmlns="http://schemas.openxmlformats.org/officeDocument/2006/custom-properties" xmlns:vt="http://schemas.openxmlformats.org/officeDocument/2006/docPropsVTypes"/>
</file>