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039A5">
      <w:pPr>
        <w:spacing w:before="200" w:after="60"/>
      </w:pPr>
      <w:r>
        <w:rPr>
          <w:rFonts w:ascii="Arial" w:hAnsi="Arial" w:eastAsia="Arial" w:cs="Arial"/>
          <w:b/>
          <w:bCs/>
          <w:color w:val="1F3864"/>
          <w:sz w:val="44"/>
          <w:szCs w:val="44"/>
        </w:rPr>
        <w:t>Does Wealth Drive Happiness?</w:t>
      </w:r>
    </w:p>
    <w:p w14:paraId="2F29AF2E">
      <w:pPr>
        <w:spacing w:before="0" w:after="60"/>
      </w:pPr>
      <w:r>
        <w:rPr>
          <w:rFonts w:ascii="Arial" w:hAnsi="Arial" w:eastAsia="Arial" w:cs="Arial"/>
          <w:i/>
          <w:iCs/>
          <w:color w:val="2E75B6"/>
          <w:sz w:val="28"/>
          <w:szCs w:val="28"/>
        </w:rPr>
        <w:t>The Role of GDP, Freedom, and Institutional Trust</w:t>
      </w:r>
    </w:p>
    <w:p w14:paraId="3FC9478A">
      <w:pPr>
        <w:spacing w:before="0" w:after="40"/>
      </w:pPr>
      <w:r>
        <w:rPr>
          <w:rFonts w:ascii="Arial" w:hAnsi="Arial" w:eastAsia="Arial" w:cs="Arial"/>
          <w:color w:val="888888"/>
          <w:sz w:val="20"/>
          <w:szCs w:val="20"/>
        </w:rPr>
        <w:t>World Happiness Report 2019  ·  Cross-section of 156 Countries  ·  Stata Analysis</w:t>
      </w:r>
    </w:p>
    <w:p w14:paraId="705B8A02">
      <w:pPr>
        <w:pBdr>
          <w:bottom w:val="single" w:color="2E75B6" w:sz="8" w:space="6"/>
        </w:pBdr>
        <w:spacing w:before="0" w:after="360"/>
      </w:pPr>
    </w:p>
    <w:p w14:paraId="5F49A5E5">
      <w:pPr>
        <w:pBdr>
          <w:bottom w:val="single" w:color="2E75B6" w:sz="6" w:space="4"/>
        </w:pBdr>
        <w:spacing w:before="280" w:after="100"/>
      </w:pPr>
      <w:r>
        <w:rPr>
          <w:rFonts w:ascii="Arial" w:hAnsi="Arial" w:eastAsia="Arial" w:cs="Arial"/>
          <w:b/>
          <w:bCs/>
          <w:color w:val="1F3864"/>
          <w:sz w:val="24"/>
          <w:szCs w:val="24"/>
        </w:rPr>
        <w:t>1. RESEARCH QUESTION</w:t>
      </w:r>
    </w:p>
    <w:p w14:paraId="354DEB56">
      <w:pPr>
        <w:spacing w:before="0" w:after="100"/>
      </w:pPr>
    </w:p>
    <w:p w14:paraId="33DC812D">
      <w:pPr>
        <w:spacing w:before="0" w:after="160"/>
        <w:jc w:val="both"/>
      </w:pPr>
      <w:r>
        <w:rPr>
          <w:rFonts w:ascii="Arial" w:hAnsi="Arial" w:eastAsia="Arial" w:cs="Arial"/>
          <w:b/>
          <w:bCs/>
          <w:color w:val="222222"/>
          <w:sz w:val="22"/>
          <w:szCs w:val="22"/>
        </w:rPr>
        <w:t>Does economic wealth — measured by GDP per capita — drive national happiness, and does this effect persist after controlling for social and institutional factors?</w:t>
      </w:r>
    </w:p>
    <w:p w14:paraId="3AC441A8">
      <w:pPr>
        <w:spacing w:before="0" w:after="200"/>
        <w:jc w:val="both"/>
      </w:pPr>
      <w:r>
        <w:rPr>
          <w:rFonts w:ascii="Arial" w:hAnsi="Arial" w:eastAsia="Arial" w:cs="Arial"/>
          <w:color w:val="222222"/>
          <w:sz w:val="22"/>
          <w:szCs w:val="22"/>
        </w:rPr>
        <w:t>Using the 2019 World Happiness Report — a cross-section of 156 countries with a single observation per country — this analysis estimates the independent contribution of GDP per capita to happiness scores, while accounting for social support, healthy life expectancy, freedom, generosity, and perceptions of corruption. The 2019 cross-section is preferred over a multi-year panel to avoid repeated-measures bias that would arise from pooling the same countries across all five years.</w:t>
      </w:r>
    </w:p>
    <w:p w14:paraId="77B58980">
      <w:pPr>
        <w:pBdr>
          <w:bottom w:val="single" w:color="2E75B6" w:sz="6" w:space="4"/>
        </w:pBdr>
        <w:spacing w:before="280" w:after="100"/>
      </w:pPr>
      <w:r>
        <w:rPr>
          <w:rFonts w:ascii="Arial" w:hAnsi="Arial" w:eastAsia="Arial" w:cs="Arial"/>
          <w:b/>
          <w:bCs/>
          <w:color w:val="1F3864"/>
          <w:sz w:val="24"/>
          <w:szCs w:val="24"/>
        </w:rPr>
        <w:t>2. DATA AND VARIABLES</w:t>
      </w:r>
    </w:p>
    <w:p w14:paraId="678C9109">
      <w:pPr>
        <w:spacing w:before="0" w:after="100"/>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960"/>
      </w:tblGrid>
      <w:tr w14:paraId="719A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shd w:val="clear" w:color="auto" w:fill="1F3864"/>
            <w:tcMar>
              <w:top w:w="80" w:type="dxa"/>
              <w:left w:w="140" w:type="dxa"/>
              <w:bottom w:w="80" w:type="dxa"/>
              <w:right w:w="140" w:type="dxa"/>
            </w:tcMar>
          </w:tcPr>
          <w:p w14:paraId="1E2A633F">
            <w:r>
              <w:rPr>
                <w:rFonts w:ascii="Arial" w:hAnsi="Arial" w:eastAsia="Arial" w:cs="Arial"/>
                <w:b/>
                <w:bCs/>
                <w:color w:val="FFFFFF"/>
                <w:sz w:val="20"/>
                <w:szCs w:val="20"/>
              </w:rPr>
              <w:t>Variable</w:t>
            </w:r>
          </w:p>
        </w:tc>
        <w:tc>
          <w:tcPr>
            <w:tcW w:w="6960" w:type="dxa"/>
            <w:tcBorders>
              <w:top w:val="nil"/>
              <w:left w:val="nil"/>
              <w:bottom w:val="nil"/>
              <w:right w:val="nil"/>
            </w:tcBorders>
            <w:shd w:val="clear" w:color="auto" w:fill="1F3864"/>
            <w:tcMar>
              <w:top w:w="80" w:type="dxa"/>
              <w:left w:w="140" w:type="dxa"/>
              <w:bottom w:w="80" w:type="dxa"/>
              <w:right w:w="140" w:type="dxa"/>
            </w:tcMar>
          </w:tcPr>
          <w:p w14:paraId="01E72142">
            <w:r>
              <w:rPr>
                <w:rFonts w:ascii="Arial" w:hAnsi="Arial" w:eastAsia="Arial" w:cs="Arial"/>
                <w:b/>
                <w:bCs/>
                <w:color w:val="FFFFFF"/>
                <w:sz w:val="20"/>
                <w:szCs w:val="20"/>
              </w:rPr>
              <w:t>Description</w:t>
            </w:r>
          </w:p>
        </w:tc>
      </w:tr>
      <w:tr w14:paraId="1E98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shd w:val="clear" w:color="auto" w:fill="F2F2F2"/>
            <w:tcMar>
              <w:top w:w="80" w:type="dxa"/>
              <w:left w:w="140" w:type="dxa"/>
              <w:bottom w:w="80" w:type="dxa"/>
              <w:right w:w="140" w:type="dxa"/>
            </w:tcMar>
          </w:tcPr>
          <w:p w14:paraId="6A46F06E">
            <w:r>
              <w:rPr>
                <w:rFonts w:ascii="Courier New" w:hAnsi="Courier New" w:eastAsia="Courier New" w:cs="Courier New"/>
                <w:color w:val="1F3864"/>
                <w:sz w:val="19"/>
                <w:szCs w:val="19"/>
              </w:rPr>
              <w:t>happiness_score</w:t>
            </w:r>
          </w:p>
        </w:tc>
        <w:tc>
          <w:tcPr>
            <w:tcW w:w="6960" w:type="dxa"/>
            <w:tcBorders>
              <w:top w:val="nil"/>
              <w:left w:val="nil"/>
              <w:bottom w:val="nil"/>
              <w:right w:val="nil"/>
            </w:tcBorders>
            <w:shd w:val="clear" w:color="auto" w:fill="F2F2F2"/>
            <w:tcMar>
              <w:top w:w="80" w:type="dxa"/>
              <w:left w:w="140" w:type="dxa"/>
              <w:bottom w:w="80" w:type="dxa"/>
              <w:right w:w="140" w:type="dxa"/>
            </w:tcMar>
          </w:tcPr>
          <w:p w14:paraId="230AD371">
            <w:r>
              <w:rPr>
                <w:rFonts w:ascii="Arial" w:hAnsi="Arial" w:eastAsia="Arial" w:cs="Arial"/>
                <w:color w:val="222222"/>
                <w:sz w:val="20"/>
                <w:szCs w:val="20"/>
              </w:rPr>
              <w:t>Outcome (Y). National happiness on a 0–10 Cantril ladder scale.</w:t>
            </w:r>
          </w:p>
        </w:tc>
      </w:tr>
      <w:tr w14:paraId="77AC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shd w:val="clear" w:color="auto" w:fill="FFFFFF"/>
            <w:tcMar>
              <w:top w:w="80" w:type="dxa"/>
              <w:left w:w="140" w:type="dxa"/>
              <w:bottom w:w="80" w:type="dxa"/>
              <w:right w:w="140" w:type="dxa"/>
            </w:tcMar>
          </w:tcPr>
          <w:p w14:paraId="7795A6A7">
            <w:r>
              <w:rPr>
                <w:rFonts w:ascii="Courier New" w:hAnsi="Courier New" w:eastAsia="Courier New" w:cs="Courier New"/>
                <w:color w:val="1F3864"/>
                <w:sz w:val="19"/>
                <w:szCs w:val="19"/>
              </w:rPr>
              <w:t>gdp_per_capita</w:t>
            </w:r>
          </w:p>
        </w:tc>
        <w:tc>
          <w:tcPr>
            <w:tcW w:w="6960" w:type="dxa"/>
            <w:tcBorders>
              <w:top w:val="nil"/>
              <w:left w:val="nil"/>
              <w:bottom w:val="nil"/>
              <w:right w:val="nil"/>
            </w:tcBorders>
            <w:shd w:val="clear" w:color="auto" w:fill="FFFFFF"/>
            <w:tcMar>
              <w:top w:w="80" w:type="dxa"/>
              <w:left w:w="140" w:type="dxa"/>
              <w:bottom w:w="80" w:type="dxa"/>
              <w:right w:w="140" w:type="dxa"/>
            </w:tcMar>
          </w:tcPr>
          <w:p w14:paraId="5413F279">
            <w:r>
              <w:rPr>
                <w:rFonts w:ascii="Arial" w:hAnsi="Arial" w:eastAsia="Arial" w:cs="Arial"/>
                <w:color w:val="222222"/>
                <w:sz w:val="20"/>
                <w:szCs w:val="20"/>
              </w:rPr>
              <w:t>Main predictor (X). Log GDP per capita, scaled by the WHR methodology.</w:t>
            </w:r>
          </w:p>
        </w:tc>
      </w:tr>
      <w:tr w14:paraId="1B63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shd w:val="clear" w:color="auto" w:fill="F2F2F2"/>
            <w:tcMar>
              <w:top w:w="80" w:type="dxa"/>
              <w:left w:w="140" w:type="dxa"/>
              <w:bottom w:w="80" w:type="dxa"/>
              <w:right w:w="140" w:type="dxa"/>
            </w:tcMar>
          </w:tcPr>
          <w:p w14:paraId="2EC17057">
            <w:r>
              <w:rPr>
                <w:rFonts w:ascii="Courier New" w:hAnsi="Courier New" w:eastAsia="Courier New" w:cs="Courier New"/>
                <w:color w:val="1F3864"/>
                <w:sz w:val="19"/>
                <w:szCs w:val="19"/>
              </w:rPr>
              <w:t>social_support</w:t>
            </w:r>
          </w:p>
        </w:tc>
        <w:tc>
          <w:tcPr>
            <w:tcW w:w="6960" w:type="dxa"/>
            <w:tcBorders>
              <w:top w:val="nil"/>
              <w:left w:val="nil"/>
              <w:bottom w:val="nil"/>
              <w:right w:val="nil"/>
            </w:tcBorders>
            <w:shd w:val="clear" w:color="auto" w:fill="F2F2F2"/>
            <w:tcMar>
              <w:top w:w="80" w:type="dxa"/>
              <w:left w:w="140" w:type="dxa"/>
              <w:bottom w:w="80" w:type="dxa"/>
              <w:right w:w="140" w:type="dxa"/>
            </w:tcMar>
          </w:tcPr>
          <w:p w14:paraId="756DBA43">
            <w:r>
              <w:rPr>
                <w:rFonts w:ascii="Arial" w:hAnsi="Arial" w:eastAsia="Arial" w:cs="Arial"/>
                <w:color w:val="222222"/>
                <w:sz w:val="20"/>
                <w:szCs w:val="20"/>
              </w:rPr>
              <w:t>Control. Perceived availability of social support in times of need.</w:t>
            </w:r>
          </w:p>
        </w:tc>
      </w:tr>
      <w:tr w14:paraId="0107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shd w:val="clear" w:color="auto" w:fill="FFFFFF"/>
            <w:tcMar>
              <w:top w:w="80" w:type="dxa"/>
              <w:left w:w="140" w:type="dxa"/>
              <w:bottom w:w="80" w:type="dxa"/>
              <w:right w:w="140" w:type="dxa"/>
            </w:tcMar>
          </w:tcPr>
          <w:p w14:paraId="7E89B4CC">
            <w:r>
              <w:rPr>
                <w:rFonts w:ascii="Courier New" w:hAnsi="Courier New" w:eastAsia="Courier New" w:cs="Courier New"/>
                <w:color w:val="1F3864"/>
                <w:sz w:val="19"/>
                <w:szCs w:val="19"/>
              </w:rPr>
              <w:t>life_expectancy</w:t>
            </w:r>
          </w:p>
        </w:tc>
        <w:tc>
          <w:tcPr>
            <w:tcW w:w="6960" w:type="dxa"/>
            <w:tcBorders>
              <w:top w:val="nil"/>
              <w:left w:val="nil"/>
              <w:bottom w:val="nil"/>
              <w:right w:val="nil"/>
            </w:tcBorders>
            <w:shd w:val="clear" w:color="auto" w:fill="FFFFFF"/>
            <w:tcMar>
              <w:top w:w="80" w:type="dxa"/>
              <w:left w:w="140" w:type="dxa"/>
              <w:bottom w:w="80" w:type="dxa"/>
              <w:right w:w="140" w:type="dxa"/>
            </w:tcMar>
          </w:tcPr>
          <w:p w14:paraId="564AA367">
            <w:r>
              <w:rPr>
                <w:rFonts w:ascii="Arial" w:hAnsi="Arial" w:eastAsia="Arial" w:cs="Arial"/>
                <w:color w:val="222222"/>
                <w:sz w:val="20"/>
                <w:szCs w:val="20"/>
              </w:rPr>
              <w:t>Control. Healthy life expectancy at birth (scaled).</w:t>
            </w:r>
          </w:p>
        </w:tc>
      </w:tr>
      <w:tr w14:paraId="6902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shd w:val="clear" w:color="auto" w:fill="F2F2F2"/>
            <w:tcMar>
              <w:top w:w="80" w:type="dxa"/>
              <w:left w:w="140" w:type="dxa"/>
              <w:bottom w:w="80" w:type="dxa"/>
              <w:right w:w="140" w:type="dxa"/>
            </w:tcMar>
          </w:tcPr>
          <w:p w14:paraId="2B48F022">
            <w:r>
              <w:rPr>
                <w:rFonts w:ascii="Courier New" w:hAnsi="Courier New" w:eastAsia="Courier New" w:cs="Courier New"/>
                <w:color w:val="1F3864"/>
                <w:sz w:val="19"/>
                <w:szCs w:val="19"/>
              </w:rPr>
              <w:t>freedom</w:t>
            </w:r>
          </w:p>
        </w:tc>
        <w:tc>
          <w:tcPr>
            <w:tcW w:w="6960" w:type="dxa"/>
            <w:tcBorders>
              <w:top w:val="nil"/>
              <w:left w:val="nil"/>
              <w:bottom w:val="nil"/>
              <w:right w:val="nil"/>
            </w:tcBorders>
            <w:shd w:val="clear" w:color="auto" w:fill="F2F2F2"/>
            <w:tcMar>
              <w:top w:w="80" w:type="dxa"/>
              <w:left w:w="140" w:type="dxa"/>
              <w:bottom w:w="80" w:type="dxa"/>
              <w:right w:w="140" w:type="dxa"/>
            </w:tcMar>
          </w:tcPr>
          <w:p w14:paraId="39A66772">
            <w:r>
              <w:rPr>
                <w:rFonts w:ascii="Arial" w:hAnsi="Arial" w:eastAsia="Arial" w:cs="Arial"/>
                <w:color w:val="222222"/>
                <w:sz w:val="20"/>
                <w:szCs w:val="20"/>
              </w:rPr>
              <w:t>Control &amp; moderator. Freedom to make life choices (0–1 scale).</w:t>
            </w:r>
          </w:p>
        </w:tc>
      </w:tr>
      <w:tr w14:paraId="1B5E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shd w:val="clear" w:color="auto" w:fill="FFFFFF"/>
            <w:tcMar>
              <w:top w:w="80" w:type="dxa"/>
              <w:left w:w="140" w:type="dxa"/>
              <w:bottom w:w="80" w:type="dxa"/>
              <w:right w:w="140" w:type="dxa"/>
            </w:tcMar>
          </w:tcPr>
          <w:p w14:paraId="71AF2E6A">
            <w:r>
              <w:rPr>
                <w:rFonts w:ascii="Courier New" w:hAnsi="Courier New" w:eastAsia="Courier New" w:cs="Courier New"/>
                <w:color w:val="1F3864"/>
                <w:sz w:val="19"/>
                <w:szCs w:val="19"/>
              </w:rPr>
              <w:t>generosity</w:t>
            </w:r>
          </w:p>
        </w:tc>
        <w:tc>
          <w:tcPr>
            <w:tcW w:w="6960" w:type="dxa"/>
            <w:tcBorders>
              <w:top w:val="nil"/>
              <w:left w:val="nil"/>
              <w:bottom w:val="nil"/>
              <w:right w:val="nil"/>
            </w:tcBorders>
            <w:shd w:val="clear" w:color="auto" w:fill="FFFFFF"/>
            <w:tcMar>
              <w:top w:w="80" w:type="dxa"/>
              <w:left w:w="140" w:type="dxa"/>
              <w:bottom w:w="80" w:type="dxa"/>
              <w:right w:w="140" w:type="dxa"/>
            </w:tcMar>
          </w:tcPr>
          <w:p w14:paraId="6EB60B5D">
            <w:r>
              <w:rPr>
                <w:rFonts w:ascii="Arial" w:hAnsi="Arial" w:eastAsia="Arial" w:cs="Arial"/>
                <w:color w:val="222222"/>
                <w:sz w:val="20"/>
                <w:szCs w:val="20"/>
              </w:rPr>
              <w:t>Control. Residual of regressing donations on GDP per capita.</w:t>
            </w:r>
          </w:p>
        </w:tc>
      </w:tr>
      <w:tr w14:paraId="4D97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shd w:val="clear" w:color="auto" w:fill="F2F2F2"/>
            <w:tcMar>
              <w:top w:w="80" w:type="dxa"/>
              <w:left w:w="140" w:type="dxa"/>
              <w:bottom w:w="80" w:type="dxa"/>
              <w:right w:w="140" w:type="dxa"/>
            </w:tcMar>
          </w:tcPr>
          <w:p w14:paraId="75FA486C">
            <w:r>
              <w:rPr>
                <w:rFonts w:ascii="Courier New" w:hAnsi="Courier New" w:eastAsia="Courier New" w:cs="Courier New"/>
                <w:color w:val="1F3864"/>
                <w:sz w:val="19"/>
                <w:szCs w:val="19"/>
              </w:rPr>
              <w:t>corruption</w:t>
            </w:r>
          </w:p>
        </w:tc>
        <w:tc>
          <w:tcPr>
            <w:tcW w:w="6960" w:type="dxa"/>
            <w:tcBorders>
              <w:top w:val="nil"/>
              <w:left w:val="nil"/>
              <w:bottom w:val="nil"/>
              <w:right w:val="nil"/>
            </w:tcBorders>
            <w:shd w:val="clear" w:color="auto" w:fill="F2F2F2"/>
            <w:tcMar>
              <w:top w:w="80" w:type="dxa"/>
              <w:left w:w="140" w:type="dxa"/>
              <w:bottom w:w="80" w:type="dxa"/>
              <w:right w:w="140" w:type="dxa"/>
            </w:tcMar>
          </w:tcPr>
          <w:p w14:paraId="7DD90AEB">
            <w:r>
              <w:rPr>
                <w:rFonts w:ascii="Arial" w:hAnsi="Arial" w:eastAsia="Arial" w:cs="Arial"/>
                <w:color w:val="222222"/>
                <w:sz w:val="20"/>
                <w:szCs w:val="20"/>
              </w:rPr>
              <w:t>Control. Perceptions of corruption in government and business.</w:t>
            </w:r>
          </w:p>
        </w:tc>
      </w:tr>
    </w:tbl>
    <w:p w14:paraId="3200E504">
      <w:pPr>
        <w:spacing w:before="0" w:after="240"/>
      </w:pPr>
    </w:p>
    <w:p w14:paraId="61763EAD">
      <w:pPr>
        <w:pBdr>
          <w:bottom w:val="single" w:color="2E75B6" w:sz="6" w:space="4"/>
        </w:pBdr>
        <w:spacing w:before="280" w:after="100"/>
      </w:pPr>
      <w:r>
        <w:rPr>
          <w:rFonts w:ascii="Arial" w:hAnsi="Arial" w:eastAsia="Arial" w:cs="Arial"/>
          <w:b/>
          <w:bCs/>
          <w:color w:val="1F3864"/>
          <w:sz w:val="24"/>
          <w:szCs w:val="24"/>
        </w:rPr>
        <w:t>3. REGRESSION RESULTS</w:t>
      </w:r>
    </w:p>
    <w:p w14:paraId="6130D940">
      <w:pPr>
        <w:spacing w:before="0" w:after="100"/>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1600"/>
        <w:gridCol w:w="1700"/>
        <w:gridCol w:w="1660"/>
      </w:tblGrid>
      <w:tr w14:paraId="3D47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160" w:type="dxa"/>
            <w:gridSpan w:val="5"/>
            <w:tcBorders>
              <w:top w:val="nil"/>
              <w:left w:val="nil"/>
              <w:bottom w:val="nil"/>
              <w:right w:val="nil"/>
            </w:tcBorders>
            <w:shd w:val="clear" w:color="auto" w:fill="1F3864"/>
            <w:tcMar>
              <w:top w:w="80" w:type="dxa"/>
              <w:left w:w="140" w:type="dxa"/>
              <w:bottom w:w="80" w:type="dxa"/>
              <w:right w:w="140" w:type="dxa"/>
            </w:tcMar>
            <w:vAlign w:val="center"/>
          </w:tcPr>
          <w:p w14:paraId="079DCA05">
            <w:pPr>
              <w:jc w:val="center"/>
            </w:pPr>
            <w:r>
              <w:rPr>
                <w:rFonts w:ascii="Arial" w:hAnsi="Arial" w:eastAsia="Arial" w:cs="Arial"/>
                <w:b/>
                <w:bCs/>
                <w:color w:val="FFFFFF"/>
                <w:sz w:val="20"/>
                <w:szCs w:val="20"/>
              </w:rPr>
              <w:t>Table 1. Determinants of Happiness Score (2019)</w:t>
            </w:r>
          </w:p>
        </w:tc>
      </w:tr>
      <w:tr w14:paraId="2E8D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2E75B6"/>
            <w:tcMar>
              <w:top w:w="80" w:type="dxa"/>
              <w:left w:w="140" w:type="dxa"/>
              <w:bottom w:w="80" w:type="dxa"/>
              <w:right w:w="140" w:type="dxa"/>
            </w:tcMar>
          </w:tcPr>
          <w:p w14:paraId="53A9C32C">
            <w:pPr>
              <w:jc w:val="left"/>
            </w:pPr>
            <w:r>
              <w:rPr>
                <w:rFonts w:ascii="Arial" w:hAnsi="Arial" w:eastAsia="Arial" w:cs="Arial"/>
                <w:b/>
                <w:bCs/>
                <w:i/>
                <w:iCs/>
                <w:color w:val="FFFFFF"/>
                <w:sz w:val="18"/>
                <w:szCs w:val="18"/>
              </w:rPr>
              <w:t>Variable</w:t>
            </w:r>
          </w:p>
        </w:tc>
        <w:tc>
          <w:tcPr>
            <w:tcW w:w="1600" w:type="dxa"/>
            <w:tcBorders>
              <w:top w:val="nil"/>
              <w:left w:val="nil"/>
              <w:bottom w:val="nil"/>
              <w:right w:val="nil"/>
            </w:tcBorders>
            <w:shd w:val="clear" w:color="auto" w:fill="2E75B6"/>
            <w:tcMar>
              <w:top w:w="80" w:type="dxa"/>
              <w:left w:w="140" w:type="dxa"/>
              <w:bottom w:w="80" w:type="dxa"/>
              <w:right w:w="140" w:type="dxa"/>
            </w:tcMar>
          </w:tcPr>
          <w:p w14:paraId="52E2F2C1">
            <w:pPr>
              <w:jc w:val="center"/>
            </w:pPr>
            <w:r>
              <w:rPr>
                <w:rFonts w:ascii="Arial" w:hAnsi="Arial" w:eastAsia="Arial" w:cs="Arial"/>
                <w:b/>
                <w:bCs/>
                <w:i w:val="0"/>
                <w:iCs w:val="0"/>
                <w:color w:val="FFFFFF"/>
                <w:sz w:val="18"/>
                <w:szCs w:val="18"/>
              </w:rPr>
              <w:t>(1) Bivariate</w:t>
            </w:r>
          </w:p>
        </w:tc>
        <w:tc>
          <w:tcPr>
            <w:tcW w:w="1600" w:type="dxa"/>
            <w:tcBorders>
              <w:top w:val="nil"/>
              <w:left w:val="nil"/>
              <w:bottom w:val="nil"/>
              <w:right w:val="nil"/>
            </w:tcBorders>
            <w:shd w:val="clear" w:color="auto" w:fill="2E75B6"/>
            <w:tcMar>
              <w:top w:w="80" w:type="dxa"/>
              <w:left w:w="140" w:type="dxa"/>
              <w:bottom w:w="80" w:type="dxa"/>
              <w:right w:w="140" w:type="dxa"/>
            </w:tcMar>
          </w:tcPr>
          <w:p w14:paraId="44DF1426">
            <w:pPr>
              <w:jc w:val="center"/>
            </w:pPr>
            <w:r>
              <w:rPr>
                <w:rFonts w:ascii="Arial" w:hAnsi="Arial" w:eastAsia="Arial" w:cs="Arial"/>
                <w:b/>
                <w:bCs/>
                <w:i w:val="0"/>
                <w:iCs w:val="0"/>
                <w:color w:val="FFFFFF"/>
                <w:sz w:val="18"/>
                <w:szCs w:val="18"/>
              </w:rPr>
              <w:t>(2) Full Model</w:t>
            </w:r>
          </w:p>
        </w:tc>
        <w:tc>
          <w:tcPr>
            <w:tcW w:w="1700" w:type="dxa"/>
            <w:tcBorders>
              <w:top w:val="nil"/>
              <w:left w:val="nil"/>
              <w:bottom w:val="nil"/>
              <w:right w:val="nil"/>
            </w:tcBorders>
            <w:shd w:val="clear" w:color="auto" w:fill="2E75B6"/>
            <w:tcMar>
              <w:top w:w="80" w:type="dxa"/>
              <w:left w:w="140" w:type="dxa"/>
              <w:bottom w:w="80" w:type="dxa"/>
              <w:right w:w="140" w:type="dxa"/>
            </w:tcMar>
          </w:tcPr>
          <w:p w14:paraId="7277332A">
            <w:pPr>
              <w:jc w:val="center"/>
            </w:pPr>
            <w:r>
              <w:rPr>
                <w:rFonts w:ascii="Arial" w:hAnsi="Arial" w:eastAsia="Arial" w:cs="Arial"/>
                <w:b/>
                <w:bCs/>
                <w:i w:val="0"/>
                <w:iCs w:val="0"/>
                <w:color w:val="FFFFFF"/>
                <w:sz w:val="18"/>
                <w:szCs w:val="18"/>
              </w:rPr>
              <w:t>(3) GDP×Freedom</w:t>
            </w:r>
          </w:p>
        </w:tc>
        <w:tc>
          <w:tcPr>
            <w:tcW w:w="1660" w:type="dxa"/>
            <w:tcBorders>
              <w:top w:val="nil"/>
              <w:left w:val="nil"/>
              <w:bottom w:val="nil"/>
              <w:right w:val="nil"/>
            </w:tcBorders>
            <w:shd w:val="clear" w:color="auto" w:fill="2E75B6"/>
            <w:tcMar>
              <w:top w:w="80" w:type="dxa"/>
              <w:left w:w="140" w:type="dxa"/>
              <w:bottom w:w="80" w:type="dxa"/>
              <w:right w:w="140" w:type="dxa"/>
            </w:tcMar>
          </w:tcPr>
          <w:p w14:paraId="4B162C6E">
            <w:pPr>
              <w:jc w:val="center"/>
            </w:pPr>
            <w:r>
              <w:rPr>
                <w:rFonts w:ascii="Arial" w:hAnsi="Arial" w:eastAsia="Arial" w:cs="Arial"/>
                <w:b/>
                <w:bCs/>
                <w:i w:val="0"/>
                <w:iCs w:val="0"/>
                <w:color w:val="FFFFFF"/>
                <w:sz w:val="18"/>
                <w:szCs w:val="18"/>
              </w:rPr>
              <w:t>(4) Log-Linear</w:t>
            </w:r>
          </w:p>
        </w:tc>
      </w:tr>
      <w:tr w14:paraId="4DF9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3603BBE5">
            <w:r>
              <w:rPr>
                <w:rFonts w:ascii="Arial" w:hAnsi="Arial" w:eastAsia="Arial" w:cs="Arial"/>
                <w:b w:val="0"/>
                <w:bCs w:val="0"/>
                <w:color w:val="222222"/>
                <w:sz w:val="20"/>
                <w:szCs w:val="20"/>
              </w:rPr>
              <w:t>GDP per capita</w:t>
            </w:r>
          </w:p>
        </w:tc>
        <w:tc>
          <w:tcPr>
            <w:tcW w:w="1600" w:type="dxa"/>
            <w:tcBorders>
              <w:top w:val="nil"/>
              <w:left w:val="nil"/>
              <w:bottom w:val="nil"/>
              <w:right w:val="nil"/>
            </w:tcBorders>
            <w:shd w:val="clear" w:color="auto" w:fill="FFFFFF"/>
            <w:tcMar>
              <w:top w:w="80" w:type="dxa"/>
              <w:left w:w="140" w:type="dxa"/>
              <w:bottom w:w="80" w:type="dxa"/>
              <w:right w:w="140" w:type="dxa"/>
            </w:tcMar>
          </w:tcPr>
          <w:p w14:paraId="1DC1ECCC">
            <w:pPr>
              <w:jc w:val="center"/>
            </w:pPr>
            <w:r>
              <w:rPr>
                <w:rFonts w:ascii="Arial" w:hAnsi="Arial" w:eastAsia="Arial" w:cs="Arial"/>
                <w:b/>
                <w:bCs/>
                <w:color w:val="1F3864"/>
                <w:sz w:val="20"/>
                <w:szCs w:val="20"/>
              </w:rPr>
              <w:t>2.218***</w:t>
            </w:r>
          </w:p>
        </w:tc>
        <w:tc>
          <w:tcPr>
            <w:tcW w:w="1600" w:type="dxa"/>
            <w:tcBorders>
              <w:top w:val="nil"/>
              <w:left w:val="nil"/>
              <w:bottom w:val="nil"/>
              <w:right w:val="nil"/>
            </w:tcBorders>
            <w:shd w:val="clear" w:color="auto" w:fill="FFFFFF"/>
            <w:tcMar>
              <w:top w:w="80" w:type="dxa"/>
              <w:left w:w="140" w:type="dxa"/>
              <w:bottom w:w="80" w:type="dxa"/>
              <w:right w:w="140" w:type="dxa"/>
            </w:tcMar>
          </w:tcPr>
          <w:p w14:paraId="174236C2">
            <w:pPr>
              <w:jc w:val="center"/>
            </w:pPr>
            <w:r>
              <w:rPr>
                <w:rFonts w:ascii="Arial" w:hAnsi="Arial" w:eastAsia="Arial" w:cs="Arial"/>
                <w:b/>
                <w:bCs/>
                <w:color w:val="1F3864"/>
                <w:sz w:val="20"/>
                <w:szCs w:val="20"/>
              </w:rPr>
              <w:t>0.775***</w:t>
            </w:r>
          </w:p>
        </w:tc>
        <w:tc>
          <w:tcPr>
            <w:tcW w:w="1700" w:type="dxa"/>
            <w:tcBorders>
              <w:top w:val="nil"/>
              <w:left w:val="nil"/>
              <w:bottom w:val="nil"/>
              <w:right w:val="nil"/>
            </w:tcBorders>
            <w:shd w:val="clear" w:color="auto" w:fill="FFFFFF"/>
            <w:tcMar>
              <w:top w:w="80" w:type="dxa"/>
              <w:left w:w="140" w:type="dxa"/>
              <w:bottom w:w="80" w:type="dxa"/>
              <w:right w:w="140" w:type="dxa"/>
            </w:tcMar>
          </w:tcPr>
          <w:p w14:paraId="3666867A">
            <w:pPr>
              <w:jc w:val="center"/>
            </w:pPr>
            <w:r>
              <w:rPr>
                <w:rFonts w:ascii="Arial" w:hAnsi="Arial" w:eastAsia="Arial" w:cs="Arial"/>
                <w:b w:val="0"/>
                <w:bCs w:val="0"/>
                <w:color w:val="222222"/>
                <w:sz w:val="20"/>
                <w:szCs w:val="20"/>
              </w:rPr>
              <w:t>−0.014</w:t>
            </w:r>
          </w:p>
        </w:tc>
        <w:tc>
          <w:tcPr>
            <w:tcW w:w="1660" w:type="dxa"/>
            <w:tcBorders>
              <w:top w:val="nil"/>
              <w:left w:val="nil"/>
              <w:bottom w:val="nil"/>
              <w:right w:val="nil"/>
            </w:tcBorders>
            <w:shd w:val="clear" w:color="auto" w:fill="FFFFFF"/>
            <w:tcMar>
              <w:top w:w="80" w:type="dxa"/>
              <w:left w:w="140" w:type="dxa"/>
              <w:bottom w:w="80" w:type="dxa"/>
              <w:right w:w="140" w:type="dxa"/>
            </w:tcMar>
          </w:tcPr>
          <w:p w14:paraId="35AD0381">
            <w:pPr>
              <w:jc w:val="center"/>
            </w:pPr>
            <w:r>
              <w:rPr>
                <w:rFonts w:ascii="Arial" w:hAnsi="Arial" w:eastAsia="Arial" w:cs="Arial"/>
                <w:b/>
                <w:bCs/>
                <w:color w:val="1F3864"/>
                <w:sz w:val="20"/>
                <w:szCs w:val="20"/>
              </w:rPr>
              <w:t>0.142***</w:t>
            </w:r>
          </w:p>
        </w:tc>
      </w:tr>
      <w:tr w14:paraId="3F81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59484982"/>
        </w:tc>
        <w:tc>
          <w:tcPr>
            <w:tcW w:w="1600" w:type="dxa"/>
            <w:tcBorders>
              <w:top w:val="nil"/>
              <w:left w:val="nil"/>
              <w:bottom w:val="nil"/>
              <w:right w:val="nil"/>
            </w:tcBorders>
            <w:shd w:val="clear" w:color="auto" w:fill="FFFFFF"/>
            <w:tcMar>
              <w:top w:w="80" w:type="dxa"/>
              <w:left w:w="140" w:type="dxa"/>
              <w:bottom w:w="80" w:type="dxa"/>
              <w:right w:w="140" w:type="dxa"/>
            </w:tcMar>
          </w:tcPr>
          <w:p w14:paraId="43360E18">
            <w:pPr>
              <w:jc w:val="center"/>
            </w:pPr>
            <w:r>
              <w:rPr>
                <w:rFonts w:ascii="Arial" w:hAnsi="Arial" w:eastAsia="Arial" w:cs="Arial"/>
                <w:b w:val="0"/>
                <w:bCs w:val="0"/>
                <w:color w:val="222222"/>
                <w:sz w:val="20"/>
                <w:szCs w:val="20"/>
              </w:rPr>
              <w:t>(0.137)</w:t>
            </w:r>
          </w:p>
        </w:tc>
        <w:tc>
          <w:tcPr>
            <w:tcW w:w="1600" w:type="dxa"/>
            <w:tcBorders>
              <w:top w:val="nil"/>
              <w:left w:val="nil"/>
              <w:bottom w:val="nil"/>
              <w:right w:val="nil"/>
            </w:tcBorders>
            <w:shd w:val="clear" w:color="auto" w:fill="FFFFFF"/>
            <w:tcMar>
              <w:top w:w="80" w:type="dxa"/>
              <w:left w:w="140" w:type="dxa"/>
              <w:bottom w:w="80" w:type="dxa"/>
              <w:right w:w="140" w:type="dxa"/>
            </w:tcMar>
          </w:tcPr>
          <w:p w14:paraId="2B5A9BDC">
            <w:pPr>
              <w:jc w:val="center"/>
            </w:pPr>
            <w:r>
              <w:rPr>
                <w:rFonts w:ascii="Arial" w:hAnsi="Arial" w:eastAsia="Arial" w:cs="Arial"/>
                <w:b w:val="0"/>
                <w:bCs w:val="0"/>
                <w:color w:val="222222"/>
                <w:sz w:val="20"/>
                <w:szCs w:val="20"/>
              </w:rPr>
              <w:t>(0.218)</w:t>
            </w:r>
          </w:p>
        </w:tc>
        <w:tc>
          <w:tcPr>
            <w:tcW w:w="1700" w:type="dxa"/>
            <w:tcBorders>
              <w:top w:val="nil"/>
              <w:left w:val="nil"/>
              <w:bottom w:val="nil"/>
              <w:right w:val="nil"/>
            </w:tcBorders>
            <w:shd w:val="clear" w:color="auto" w:fill="FFFFFF"/>
            <w:tcMar>
              <w:top w:w="80" w:type="dxa"/>
              <w:left w:w="140" w:type="dxa"/>
              <w:bottom w:w="80" w:type="dxa"/>
              <w:right w:w="140" w:type="dxa"/>
            </w:tcMar>
          </w:tcPr>
          <w:p w14:paraId="3469F231">
            <w:pPr>
              <w:jc w:val="center"/>
            </w:pPr>
            <w:r>
              <w:rPr>
                <w:rFonts w:ascii="Arial" w:hAnsi="Arial" w:eastAsia="Arial" w:cs="Arial"/>
                <w:b w:val="0"/>
                <w:bCs w:val="0"/>
                <w:color w:val="222222"/>
                <w:sz w:val="20"/>
                <w:szCs w:val="20"/>
              </w:rPr>
              <w:t>(0.411)</w:t>
            </w:r>
          </w:p>
        </w:tc>
        <w:tc>
          <w:tcPr>
            <w:tcW w:w="1660" w:type="dxa"/>
            <w:tcBorders>
              <w:top w:val="nil"/>
              <w:left w:val="nil"/>
              <w:bottom w:val="nil"/>
              <w:right w:val="nil"/>
            </w:tcBorders>
            <w:shd w:val="clear" w:color="auto" w:fill="FFFFFF"/>
            <w:tcMar>
              <w:top w:w="80" w:type="dxa"/>
              <w:left w:w="140" w:type="dxa"/>
              <w:bottom w:w="80" w:type="dxa"/>
              <w:right w:w="140" w:type="dxa"/>
            </w:tcMar>
          </w:tcPr>
          <w:p w14:paraId="3A5A6C27">
            <w:pPr>
              <w:jc w:val="center"/>
            </w:pPr>
            <w:r>
              <w:rPr>
                <w:rFonts w:ascii="Arial" w:hAnsi="Arial" w:eastAsia="Arial" w:cs="Arial"/>
                <w:b w:val="0"/>
                <w:bCs w:val="0"/>
                <w:color w:val="222222"/>
                <w:sz w:val="20"/>
                <w:szCs w:val="20"/>
              </w:rPr>
              <w:t>(0.043)</w:t>
            </w:r>
          </w:p>
        </w:tc>
      </w:tr>
      <w:tr w14:paraId="12CB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4F9A0464">
            <w:r>
              <w:rPr>
                <w:rFonts w:ascii="Arial" w:hAnsi="Arial" w:eastAsia="Arial" w:cs="Arial"/>
                <w:b w:val="0"/>
                <w:bCs w:val="0"/>
                <w:color w:val="222222"/>
                <w:sz w:val="20"/>
                <w:szCs w:val="20"/>
              </w:rPr>
              <w:t>Social support</w:t>
            </w:r>
          </w:p>
        </w:tc>
        <w:tc>
          <w:tcPr>
            <w:tcW w:w="1600" w:type="dxa"/>
            <w:tcBorders>
              <w:top w:val="nil"/>
              <w:left w:val="nil"/>
              <w:bottom w:val="nil"/>
              <w:right w:val="nil"/>
            </w:tcBorders>
            <w:shd w:val="clear" w:color="auto" w:fill="F2F2F2"/>
            <w:tcMar>
              <w:top w:w="80" w:type="dxa"/>
              <w:left w:w="140" w:type="dxa"/>
              <w:bottom w:w="80" w:type="dxa"/>
              <w:right w:w="140" w:type="dxa"/>
            </w:tcMar>
          </w:tcPr>
          <w:p w14:paraId="11ECA264">
            <w:pPr>
              <w:jc w:val="center"/>
            </w:pPr>
          </w:p>
        </w:tc>
        <w:tc>
          <w:tcPr>
            <w:tcW w:w="1600" w:type="dxa"/>
            <w:tcBorders>
              <w:top w:val="nil"/>
              <w:left w:val="nil"/>
              <w:bottom w:val="nil"/>
              <w:right w:val="nil"/>
            </w:tcBorders>
            <w:shd w:val="clear" w:color="auto" w:fill="F2F2F2"/>
            <w:tcMar>
              <w:top w:w="80" w:type="dxa"/>
              <w:left w:w="140" w:type="dxa"/>
              <w:bottom w:w="80" w:type="dxa"/>
              <w:right w:w="140" w:type="dxa"/>
            </w:tcMar>
          </w:tcPr>
          <w:p w14:paraId="02C88566">
            <w:pPr>
              <w:jc w:val="center"/>
            </w:pPr>
            <w:r>
              <w:rPr>
                <w:rFonts w:ascii="Arial" w:hAnsi="Arial" w:eastAsia="Arial" w:cs="Arial"/>
                <w:b/>
                <w:bCs/>
                <w:color w:val="1F3864"/>
                <w:sz w:val="20"/>
                <w:szCs w:val="20"/>
              </w:rPr>
              <w:t>1.124***</w:t>
            </w:r>
          </w:p>
        </w:tc>
        <w:tc>
          <w:tcPr>
            <w:tcW w:w="1700" w:type="dxa"/>
            <w:tcBorders>
              <w:top w:val="nil"/>
              <w:left w:val="nil"/>
              <w:bottom w:val="nil"/>
              <w:right w:val="nil"/>
            </w:tcBorders>
            <w:shd w:val="clear" w:color="auto" w:fill="F2F2F2"/>
            <w:tcMar>
              <w:top w:w="80" w:type="dxa"/>
              <w:left w:w="140" w:type="dxa"/>
              <w:bottom w:w="80" w:type="dxa"/>
              <w:right w:w="140" w:type="dxa"/>
            </w:tcMar>
          </w:tcPr>
          <w:p w14:paraId="05576BCF">
            <w:pPr>
              <w:jc w:val="center"/>
            </w:pPr>
            <w:r>
              <w:rPr>
                <w:rFonts w:ascii="Arial" w:hAnsi="Arial" w:eastAsia="Arial" w:cs="Arial"/>
                <w:b/>
                <w:bCs/>
                <w:color w:val="1F3864"/>
                <w:sz w:val="20"/>
                <w:szCs w:val="20"/>
              </w:rPr>
              <w:t>1.164***</w:t>
            </w:r>
          </w:p>
        </w:tc>
        <w:tc>
          <w:tcPr>
            <w:tcW w:w="1660" w:type="dxa"/>
            <w:tcBorders>
              <w:top w:val="nil"/>
              <w:left w:val="nil"/>
              <w:bottom w:val="nil"/>
              <w:right w:val="nil"/>
            </w:tcBorders>
            <w:shd w:val="clear" w:color="auto" w:fill="F2F2F2"/>
            <w:tcMar>
              <w:top w:w="80" w:type="dxa"/>
              <w:left w:w="140" w:type="dxa"/>
              <w:bottom w:w="80" w:type="dxa"/>
              <w:right w:w="140" w:type="dxa"/>
            </w:tcMar>
          </w:tcPr>
          <w:p w14:paraId="662DA751">
            <w:pPr>
              <w:jc w:val="center"/>
            </w:pPr>
            <w:r>
              <w:rPr>
                <w:rFonts w:ascii="Arial" w:hAnsi="Arial" w:eastAsia="Arial" w:cs="Arial"/>
                <w:b/>
                <w:bCs/>
                <w:color w:val="1F3864"/>
                <w:sz w:val="20"/>
                <w:szCs w:val="20"/>
              </w:rPr>
              <w:t>0.235***</w:t>
            </w:r>
          </w:p>
        </w:tc>
      </w:tr>
      <w:tr w14:paraId="6C04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7816030C"/>
        </w:tc>
        <w:tc>
          <w:tcPr>
            <w:tcW w:w="1600" w:type="dxa"/>
            <w:tcBorders>
              <w:top w:val="nil"/>
              <w:left w:val="nil"/>
              <w:bottom w:val="nil"/>
              <w:right w:val="nil"/>
            </w:tcBorders>
            <w:shd w:val="clear" w:color="auto" w:fill="F2F2F2"/>
            <w:tcMar>
              <w:top w:w="80" w:type="dxa"/>
              <w:left w:w="140" w:type="dxa"/>
              <w:bottom w:w="80" w:type="dxa"/>
              <w:right w:w="140" w:type="dxa"/>
            </w:tcMar>
          </w:tcPr>
          <w:p w14:paraId="10E5D746">
            <w:pPr>
              <w:jc w:val="center"/>
            </w:pPr>
          </w:p>
        </w:tc>
        <w:tc>
          <w:tcPr>
            <w:tcW w:w="1600" w:type="dxa"/>
            <w:tcBorders>
              <w:top w:val="nil"/>
              <w:left w:val="nil"/>
              <w:bottom w:val="nil"/>
              <w:right w:val="nil"/>
            </w:tcBorders>
            <w:shd w:val="clear" w:color="auto" w:fill="F2F2F2"/>
            <w:tcMar>
              <w:top w:w="80" w:type="dxa"/>
              <w:left w:w="140" w:type="dxa"/>
              <w:bottom w:w="80" w:type="dxa"/>
              <w:right w:w="140" w:type="dxa"/>
            </w:tcMar>
          </w:tcPr>
          <w:p w14:paraId="75592FE8">
            <w:pPr>
              <w:jc w:val="center"/>
            </w:pPr>
            <w:r>
              <w:rPr>
                <w:rFonts w:ascii="Arial" w:hAnsi="Arial" w:eastAsia="Arial" w:cs="Arial"/>
                <w:b w:val="0"/>
                <w:bCs w:val="0"/>
                <w:color w:val="222222"/>
                <w:sz w:val="20"/>
                <w:szCs w:val="20"/>
              </w:rPr>
              <w:t>(0.237)</w:t>
            </w:r>
          </w:p>
        </w:tc>
        <w:tc>
          <w:tcPr>
            <w:tcW w:w="1700" w:type="dxa"/>
            <w:tcBorders>
              <w:top w:val="nil"/>
              <w:left w:val="nil"/>
              <w:bottom w:val="nil"/>
              <w:right w:val="nil"/>
            </w:tcBorders>
            <w:shd w:val="clear" w:color="auto" w:fill="F2F2F2"/>
            <w:tcMar>
              <w:top w:w="80" w:type="dxa"/>
              <w:left w:w="140" w:type="dxa"/>
              <w:bottom w:w="80" w:type="dxa"/>
              <w:right w:w="140" w:type="dxa"/>
            </w:tcMar>
          </w:tcPr>
          <w:p w14:paraId="437E5489">
            <w:pPr>
              <w:jc w:val="center"/>
            </w:pPr>
            <w:r>
              <w:rPr>
                <w:rFonts w:ascii="Arial" w:hAnsi="Arial" w:eastAsia="Arial" w:cs="Arial"/>
                <w:b w:val="0"/>
                <w:bCs w:val="0"/>
                <w:color w:val="222222"/>
                <w:sz w:val="20"/>
                <w:szCs w:val="20"/>
              </w:rPr>
              <w:t>(0.234)</w:t>
            </w:r>
          </w:p>
        </w:tc>
        <w:tc>
          <w:tcPr>
            <w:tcW w:w="1660" w:type="dxa"/>
            <w:tcBorders>
              <w:top w:val="nil"/>
              <w:left w:val="nil"/>
              <w:bottom w:val="nil"/>
              <w:right w:val="nil"/>
            </w:tcBorders>
            <w:shd w:val="clear" w:color="auto" w:fill="F2F2F2"/>
            <w:tcMar>
              <w:top w:w="80" w:type="dxa"/>
              <w:left w:w="140" w:type="dxa"/>
              <w:bottom w:w="80" w:type="dxa"/>
              <w:right w:w="140" w:type="dxa"/>
            </w:tcMar>
          </w:tcPr>
          <w:p w14:paraId="381D318D">
            <w:pPr>
              <w:jc w:val="center"/>
            </w:pPr>
            <w:r>
              <w:rPr>
                <w:rFonts w:ascii="Arial" w:hAnsi="Arial" w:eastAsia="Arial" w:cs="Arial"/>
                <w:b w:val="0"/>
                <w:bCs w:val="0"/>
                <w:color w:val="222222"/>
                <w:sz w:val="20"/>
                <w:szCs w:val="20"/>
              </w:rPr>
              <w:t>(0.046)</w:t>
            </w:r>
          </w:p>
        </w:tc>
      </w:tr>
      <w:tr w14:paraId="1ABE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48F0373F">
            <w:r>
              <w:rPr>
                <w:rFonts w:ascii="Arial" w:hAnsi="Arial" w:eastAsia="Arial" w:cs="Arial"/>
                <w:b w:val="0"/>
                <w:bCs w:val="0"/>
                <w:color w:val="222222"/>
                <w:sz w:val="20"/>
                <w:szCs w:val="20"/>
              </w:rPr>
              <w:t>Life expectancy</w:t>
            </w:r>
          </w:p>
        </w:tc>
        <w:tc>
          <w:tcPr>
            <w:tcW w:w="1600" w:type="dxa"/>
            <w:tcBorders>
              <w:top w:val="nil"/>
              <w:left w:val="nil"/>
              <w:bottom w:val="nil"/>
              <w:right w:val="nil"/>
            </w:tcBorders>
            <w:shd w:val="clear" w:color="auto" w:fill="FFFFFF"/>
            <w:tcMar>
              <w:top w:w="80" w:type="dxa"/>
              <w:left w:w="140" w:type="dxa"/>
              <w:bottom w:w="80" w:type="dxa"/>
              <w:right w:w="140" w:type="dxa"/>
            </w:tcMar>
          </w:tcPr>
          <w:p w14:paraId="361A64E5">
            <w:pPr>
              <w:jc w:val="center"/>
            </w:pPr>
          </w:p>
        </w:tc>
        <w:tc>
          <w:tcPr>
            <w:tcW w:w="1600" w:type="dxa"/>
            <w:tcBorders>
              <w:top w:val="nil"/>
              <w:left w:val="nil"/>
              <w:bottom w:val="nil"/>
              <w:right w:val="nil"/>
            </w:tcBorders>
            <w:shd w:val="clear" w:color="auto" w:fill="FFFFFF"/>
            <w:tcMar>
              <w:top w:w="80" w:type="dxa"/>
              <w:left w:w="140" w:type="dxa"/>
              <w:bottom w:w="80" w:type="dxa"/>
              <w:right w:w="140" w:type="dxa"/>
            </w:tcMar>
          </w:tcPr>
          <w:p w14:paraId="40E86C09">
            <w:pPr>
              <w:jc w:val="center"/>
            </w:pPr>
            <w:r>
              <w:rPr>
                <w:rFonts w:ascii="Arial" w:hAnsi="Arial" w:eastAsia="Arial" w:cs="Arial"/>
                <w:b/>
                <w:bCs/>
                <w:color w:val="1F3864"/>
                <w:sz w:val="20"/>
                <w:szCs w:val="20"/>
              </w:rPr>
              <w:t>1.078***</w:t>
            </w:r>
          </w:p>
        </w:tc>
        <w:tc>
          <w:tcPr>
            <w:tcW w:w="1700" w:type="dxa"/>
            <w:tcBorders>
              <w:top w:val="nil"/>
              <w:left w:val="nil"/>
              <w:bottom w:val="nil"/>
              <w:right w:val="nil"/>
            </w:tcBorders>
            <w:shd w:val="clear" w:color="auto" w:fill="FFFFFF"/>
            <w:tcMar>
              <w:top w:w="80" w:type="dxa"/>
              <w:left w:w="140" w:type="dxa"/>
              <w:bottom w:w="80" w:type="dxa"/>
              <w:right w:w="140" w:type="dxa"/>
            </w:tcMar>
          </w:tcPr>
          <w:p w14:paraId="67E4A4C7">
            <w:pPr>
              <w:jc w:val="center"/>
            </w:pPr>
            <w:r>
              <w:rPr>
                <w:rFonts w:ascii="Arial" w:hAnsi="Arial" w:eastAsia="Arial" w:cs="Arial"/>
                <w:b/>
                <w:bCs/>
                <w:color w:val="1F3864"/>
                <w:sz w:val="20"/>
                <w:szCs w:val="20"/>
              </w:rPr>
              <w:t>1.171***</w:t>
            </w:r>
          </w:p>
        </w:tc>
        <w:tc>
          <w:tcPr>
            <w:tcW w:w="1660" w:type="dxa"/>
            <w:tcBorders>
              <w:top w:val="nil"/>
              <w:left w:val="nil"/>
              <w:bottom w:val="nil"/>
              <w:right w:val="nil"/>
            </w:tcBorders>
            <w:shd w:val="clear" w:color="auto" w:fill="FFFFFF"/>
            <w:tcMar>
              <w:top w:w="80" w:type="dxa"/>
              <w:left w:w="140" w:type="dxa"/>
              <w:bottom w:w="80" w:type="dxa"/>
              <w:right w:w="140" w:type="dxa"/>
            </w:tcMar>
          </w:tcPr>
          <w:p w14:paraId="6D39217C">
            <w:pPr>
              <w:jc w:val="center"/>
            </w:pPr>
            <w:r>
              <w:rPr>
                <w:rFonts w:ascii="Arial" w:hAnsi="Arial" w:eastAsia="Arial" w:cs="Arial"/>
                <w:b/>
                <w:bCs/>
                <w:color w:val="1F3864"/>
                <w:sz w:val="20"/>
                <w:szCs w:val="20"/>
              </w:rPr>
              <w:t>0.211***</w:t>
            </w:r>
          </w:p>
        </w:tc>
      </w:tr>
      <w:tr w14:paraId="5841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3D9DA282"/>
        </w:tc>
        <w:tc>
          <w:tcPr>
            <w:tcW w:w="1600" w:type="dxa"/>
            <w:tcBorders>
              <w:top w:val="nil"/>
              <w:left w:val="nil"/>
              <w:bottom w:val="nil"/>
              <w:right w:val="nil"/>
            </w:tcBorders>
            <w:shd w:val="clear" w:color="auto" w:fill="FFFFFF"/>
            <w:tcMar>
              <w:top w:w="80" w:type="dxa"/>
              <w:left w:w="140" w:type="dxa"/>
              <w:bottom w:w="80" w:type="dxa"/>
              <w:right w:w="140" w:type="dxa"/>
            </w:tcMar>
          </w:tcPr>
          <w:p w14:paraId="5B3E10D6">
            <w:pPr>
              <w:jc w:val="center"/>
            </w:pPr>
          </w:p>
        </w:tc>
        <w:tc>
          <w:tcPr>
            <w:tcW w:w="1600" w:type="dxa"/>
            <w:tcBorders>
              <w:top w:val="nil"/>
              <w:left w:val="nil"/>
              <w:bottom w:val="nil"/>
              <w:right w:val="nil"/>
            </w:tcBorders>
            <w:shd w:val="clear" w:color="auto" w:fill="FFFFFF"/>
            <w:tcMar>
              <w:top w:w="80" w:type="dxa"/>
              <w:left w:w="140" w:type="dxa"/>
              <w:bottom w:w="80" w:type="dxa"/>
              <w:right w:w="140" w:type="dxa"/>
            </w:tcMar>
          </w:tcPr>
          <w:p w14:paraId="25B846A4">
            <w:pPr>
              <w:jc w:val="center"/>
            </w:pPr>
            <w:r>
              <w:rPr>
                <w:rFonts w:ascii="Arial" w:hAnsi="Arial" w:eastAsia="Arial" w:cs="Arial"/>
                <w:b w:val="0"/>
                <w:bCs w:val="0"/>
                <w:color w:val="222222"/>
                <w:sz w:val="20"/>
                <w:szCs w:val="20"/>
              </w:rPr>
              <w:t>(0.335)</w:t>
            </w:r>
          </w:p>
        </w:tc>
        <w:tc>
          <w:tcPr>
            <w:tcW w:w="1700" w:type="dxa"/>
            <w:tcBorders>
              <w:top w:val="nil"/>
              <w:left w:val="nil"/>
              <w:bottom w:val="nil"/>
              <w:right w:val="nil"/>
            </w:tcBorders>
            <w:shd w:val="clear" w:color="auto" w:fill="FFFFFF"/>
            <w:tcMar>
              <w:top w:w="80" w:type="dxa"/>
              <w:left w:w="140" w:type="dxa"/>
              <w:bottom w:w="80" w:type="dxa"/>
              <w:right w:w="140" w:type="dxa"/>
            </w:tcMar>
          </w:tcPr>
          <w:p w14:paraId="68F361F7">
            <w:pPr>
              <w:jc w:val="center"/>
            </w:pPr>
            <w:r>
              <w:rPr>
                <w:rFonts w:ascii="Arial" w:hAnsi="Arial" w:eastAsia="Arial" w:cs="Arial"/>
                <w:b w:val="0"/>
                <w:bCs w:val="0"/>
                <w:color w:val="222222"/>
                <w:sz w:val="20"/>
                <w:szCs w:val="20"/>
              </w:rPr>
              <w:t>(0.333)</w:t>
            </w:r>
          </w:p>
        </w:tc>
        <w:tc>
          <w:tcPr>
            <w:tcW w:w="1660" w:type="dxa"/>
            <w:tcBorders>
              <w:top w:val="nil"/>
              <w:left w:val="nil"/>
              <w:bottom w:val="nil"/>
              <w:right w:val="nil"/>
            </w:tcBorders>
            <w:shd w:val="clear" w:color="auto" w:fill="FFFFFF"/>
            <w:tcMar>
              <w:top w:w="80" w:type="dxa"/>
              <w:left w:w="140" w:type="dxa"/>
              <w:bottom w:w="80" w:type="dxa"/>
              <w:right w:w="140" w:type="dxa"/>
            </w:tcMar>
          </w:tcPr>
          <w:p w14:paraId="2A199C81">
            <w:pPr>
              <w:jc w:val="center"/>
            </w:pPr>
            <w:r>
              <w:rPr>
                <w:rFonts w:ascii="Arial" w:hAnsi="Arial" w:eastAsia="Arial" w:cs="Arial"/>
                <w:b w:val="0"/>
                <w:bCs w:val="0"/>
                <w:color w:val="222222"/>
                <w:sz w:val="20"/>
                <w:szCs w:val="20"/>
              </w:rPr>
              <w:t>(0.065)</w:t>
            </w:r>
          </w:p>
        </w:tc>
      </w:tr>
      <w:tr w14:paraId="6E62C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7B6515C7">
            <w:r>
              <w:rPr>
                <w:rFonts w:ascii="Arial" w:hAnsi="Arial" w:eastAsia="Arial" w:cs="Arial"/>
                <w:b w:val="0"/>
                <w:bCs w:val="0"/>
                <w:color w:val="222222"/>
                <w:sz w:val="20"/>
                <w:szCs w:val="20"/>
              </w:rPr>
              <w:t>Freedom</w:t>
            </w:r>
          </w:p>
        </w:tc>
        <w:tc>
          <w:tcPr>
            <w:tcW w:w="1600" w:type="dxa"/>
            <w:tcBorders>
              <w:top w:val="nil"/>
              <w:left w:val="nil"/>
              <w:bottom w:val="nil"/>
              <w:right w:val="nil"/>
            </w:tcBorders>
            <w:shd w:val="clear" w:color="auto" w:fill="F2F2F2"/>
            <w:tcMar>
              <w:top w:w="80" w:type="dxa"/>
              <w:left w:w="140" w:type="dxa"/>
              <w:bottom w:w="80" w:type="dxa"/>
              <w:right w:w="140" w:type="dxa"/>
            </w:tcMar>
          </w:tcPr>
          <w:p w14:paraId="2F63714D">
            <w:pPr>
              <w:jc w:val="center"/>
            </w:pPr>
          </w:p>
        </w:tc>
        <w:tc>
          <w:tcPr>
            <w:tcW w:w="1600" w:type="dxa"/>
            <w:tcBorders>
              <w:top w:val="nil"/>
              <w:left w:val="nil"/>
              <w:bottom w:val="nil"/>
              <w:right w:val="nil"/>
            </w:tcBorders>
            <w:shd w:val="clear" w:color="auto" w:fill="F2F2F2"/>
            <w:tcMar>
              <w:top w:w="80" w:type="dxa"/>
              <w:left w:w="140" w:type="dxa"/>
              <w:bottom w:w="80" w:type="dxa"/>
              <w:right w:w="140" w:type="dxa"/>
            </w:tcMar>
          </w:tcPr>
          <w:p w14:paraId="47299B3D">
            <w:pPr>
              <w:jc w:val="center"/>
            </w:pPr>
            <w:r>
              <w:rPr>
                <w:rFonts w:ascii="Arial" w:hAnsi="Arial" w:eastAsia="Arial" w:cs="Arial"/>
                <w:b/>
                <w:bCs/>
                <w:color w:val="1F3864"/>
                <w:sz w:val="20"/>
                <w:szCs w:val="20"/>
              </w:rPr>
              <w:t>1.455***</w:t>
            </w:r>
          </w:p>
        </w:tc>
        <w:tc>
          <w:tcPr>
            <w:tcW w:w="1700" w:type="dxa"/>
            <w:tcBorders>
              <w:top w:val="nil"/>
              <w:left w:val="nil"/>
              <w:bottom w:val="nil"/>
              <w:right w:val="nil"/>
            </w:tcBorders>
            <w:shd w:val="clear" w:color="auto" w:fill="F2F2F2"/>
            <w:tcMar>
              <w:top w:w="80" w:type="dxa"/>
              <w:left w:w="140" w:type="dxa"/>
              <w:bottom w:w="80" w:type="dxa"/>
              <w:right w:w="140" w:type="dxa"/>
            </w:tcMar>
          </w:tcPr>
          <w:p w14:paraId="1046F2A2">
            <w:pPr>
              <w:jc w:val="center"/>
            </w:pPr>
            <w:r>
              <w:rPr>
                <w:rFonts w:ascii="Arial" w:hAnsi="Arial" w:eastAsia="Arial" w:cs="Arial"/>
                <w:b w:val="0"/>
                <w:bCs w:val="0"/>
                <w:color w:val="222222"/>
                <w:sz w:val="20"/>
                <w:szCs w:val="20"/>
              </w:rPr>
              <w:t>0.045</w:t>
            </w:r>
          </w:p>
        </w:tc>
        <w:tc>
          <w:tcPr>
            <w:tcW w:w="1660" w:type="dxa"/>
            <w:tcBorders>
              <w:top w:val="nil"/>
              <w:left w:val="nil"/>
              <w:bottom w:val="nil"/>
              <w:right w:val="nil"/>
            </w:tcBorders>
            <w:shd w:val="clear" w:color="auto" w:fill="F2F2F2"/>
            <w:tcMar>
              <w:top w:w="80" w:type="dxa"/>
              <w:left w:w="140" w:type="dxa"/>
              <w:bottom w:w="80" w:type="dxa"/>
              <w:right w:w="140" w:type="dxa"/>
            </w:tcMar>
          </w:tcPr>
          <w:p w14:paraId="74A3BB8E">
            <w:pPr>
              <w:jc w:val="center"/>
            </w:pPr>
            <w:r>
              <w:rPr>
                <w:rFonts w:ascii="Arial" w:hAnsi="Arial" w:eastAsia="Arial" w:cs="Arial"/>
                <w:b/>
                <w:bCs/>
                <w:color w:val="1F3864"/>
                <w:sz w:val="20"/>
                <w:szCs w:val="20"/>
              </w:rPr>
              <w:t>0.310***</w:t>
            </w:r>
          </w:p>
        </w:tc>
      </w:tr>
      <w:tr w14:paraId="2472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04DE2406"/>
        </w:tc>
        <w:tc>
          <w:tcPr>
            <w:tcW w:w="1600" w:type="dxa"/>
            <w:tcBorders>
              <w:top w:val="nil"/>
              <w:left w:val="nil"/>
              <w:bottom w:val="nil"/>
              <w:right w:val="nil"/>
            </w:tcBorders>
            <w:shd w:val="clear" w:color="auto" w:fill="F2F2F2"/>
            <w:tcMar>
              <w:top w:w="80" w:type="dxa"/>
              <w:left w:w="140" w:type="dxa"/>
              <w:bottom w:w="80" w:type="dxa"/>
              <w:right w:w="140" w:type="dxa"/>
            </w:tcMar>
          </w:tcPr>
          <w:p w14:paraId="69067ECD">
            <w:pPr>
              <w:jc w:val="center"/>
            </w:pPr>
          </w:p>
        </w:tc>
        <w:tc>
          <w:tcPr>
            <w:tcW w:w="1600" w:type="dxa"/>
            <w:tcBorders>
              <w:top w:val="nil"/>
              <w:left w:val="nil"/>
              <w:bottom w:val="nil"/>
              <w:right w:val="nil"/>
            </w:tcBorders>
            <w:shd w:val="clear" w:color="auto" w:fill="F2F2F2"/>
            <w:tcMar>
              <w:top w:w="80" w:type="dxa"/>
              <w:left w:w="140" w:type="dxa"/>
              <w:bottom w:w="80" w:type="dxa"/>
              <w:right w:w="140" w:type="dxa"/>
            </w:tcMar>
          </w:tcPr>
          <w:p w14:paraId="31ECA11C">
            <w:pPr>
              <w:jc w:val="center"/>
            </w:pPr>
            <w:r>
              <w:rPr>
                <w:rFonts w:ascii="Arial" w:hAnsi="Arial" w:eastAsia="Arial" w:cs="Arial"/>
                <w:b w:val="0"/>
                <w:bCs w:val="0"/>
                <w:color w:val="222222"/>
                <w:sz w:val="20"/>
                <w:szCs w:val="20"/>
              </w:rPr>
              <w:t>(0.375)</w:t>
            </w:r>
          </w:p>
        </w:tc>
        <w:tc>
          <w:tcPr>
            <w:tcW w:w="1700" w:type="dxa"/>
            <w:tcBorders>
              <w:top w:val="nil"/>
              <w:left w:val="nil"/>
              <w:bottom w:val="nil"/>
              <w:right w:val="nil"/>
            </w:tcBorders>
            <w:shd w:val="clear" w:color="auto" w:fill="F2F2F2"/>
            <w:tcMar>
              <w:top w:w="80" w:type="dxa"/>
              <w:left w:w="140" w:type="dxa"/>
              <w:bottom w:w="80" w:type="dxa"/>
              <w:right w:w="140" w:type="dxa"/>
            </w:tcMar>
          </w:tcPr>
          <w:p w14:paraId="424FE7AD">
            <w:pPr>
              <w:jc w:val="center"/>
            </w:pPr>
            <w:r>
              <w:rPr>
                <w:rFonts w:ascii="Arial" w:hAnsi="Arial" w:eastAsia="Arial" w:cs="Arial"/>
                <w:b w:val="0"/>
                <w:bCs w:val="0"/>
                <w:color w:val="222222"/>
                <w:sz w:val="20"/>
                <w:szCs w:val="20"/>
              </w:rPr>
              <w:t>(0.727)</w:t>
            </w:r>
          </w:p>
        </w:tc>
        <w:tc>
          <w:tcPr>
            <w:tcW w:w="1660" w:type="dxa"/>
            <w:tcBorders>
              <w:top w:val="nil"/>
              <w:left w:val="nil"/>
              <w:bottom w:val="nil"/>
              <w:right w:val="nil"/>
            </w:tcBorders>
            <w:shd w:val="clear" w:color="auto" w:fill="F2F2F2"/>
            <w:tcMar>
              <w:top w:w="80" w:type="dxa"/>
              <w:left w:w="140" w:type="dxa"/>
              <w:bottom w:w="80" w:type="dxa"/>
              <w:right w:w="140" w:type="dxa"/>
            </w:tcMar>
          </w:tcPr>
          <w:p w14:paraId="0718697C">
            <w:pPr>
              <w:jc w:val="center"/>
            </w:pPr>
            <w:r>
              <w:rPr>
                <w:rFonts w:ascii="Arial" w:hAnsi="Arial" w:eastAsia="Arial" w:cs="Arial"/>
                <w:b w:val="0"/>
                <w:bCs w:val="0"/>
                <w:color w:val="222222"/>
                <w:sz w:val="20"/>
                <w:szCs w:val="20"/>
              </w:rPr>
              <w:t>(0.073)</w:t>
            </w:r>
          </w:p>
        </w:tc>
      </w:tr>
      <w:tr w14:paraId="7E8A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3A29DB7A">
            <w:r>
              <w:rPr>
                <w:rFonts w:ascii="Arial" w:hAnsi="Arial" w:eastAsia="Arial" w:cs="Arial"/>
                <w:b w:val="0"/>
                <w:bCs w:val="0"/>
                <w:color w:val="222222"/>
                <w:sz w:val="20"/>
                <w:szCs w:val="20"/>
              </w:rPr>
              <w:t>Generosity</w:t>
            </w:r>
          </w:p>
        </w:tc>
        <w:tc>
          <w:tcPr>
            <w:tcW w:w="1600" w:type="dxa"/>
            <w:tcBorders>
              <w:top w:val="nil"/>
              <w:left w:val="nil"/>
              <w:bottom w:val="nil"/>
              <w:right w:val="nil"/>
            </w:tcBorders>
            <w:shd w:val="clear" w:color="auto" w:fill="FFFFFF"/>
            <w:tcMar>
              <w:top w:w="80" w:type="dxa"/>
              <w:left w:w="140" w:type="dxa"/>
              <w:bottom w:w="80" w:type="dxa"/>
              <w:right w:w="140" w:type="dxa"/>
            </w:tcMar>
          </w:tcPr>
          <w:p w14:paraId="062D003D">
            <w:pPr>
              <w:jc w:val="center"/>
            </w:pPr>
          </w:p>
        </w:tc>
        <w:tc>
          <w:tcPr>
            <w:tcW w:w="1600" w:type="dxa"/>
            <w:tcBorders>
              <w:top w:val="nil"/>
              <w:left w:val="nil"/>
              <w:bottom w:val="nil"/>
              <w:right w:val="nil"/>
            </w:tcBorders>
            <w:shd w:val="clear" w:color="auto" w:fill="FFFFFF"/>
            <w:tcMar>
              <w:top w:w="80" w:type="dxa"/>
              <w:left w:w="140" w:type="dxa"/>
              <w:bottom w:w="80" w:type="dxa"/>
              <w:right w:w="140" w:type="dxa"/>
            </w:tcMar>
          </w:tcPr>
          <w:p w14:paraId="1EA19C4F">
            <w:pPr>
              <w:jc w:val="center"/>
            </w:pPr>
            <w:r>
              <w:rPr>
                <w:rFonts w:ascii="Arial" w:hAnsi="Arial" w:eastAsia="Arial" w:cs="Arial"/>
                <w:b w:val="0"/>
                <w:bCs w:val="0"/>
                <w:color w:val="222222"/>
                <w:sz w:val="20"/>
                <w:szCs w:val="20"/>
              </w:rPr>
              <w:t>0.490</w:t>
            </w:r>
          </w:p>
        </w:tc>
        <w:tc>
          <w:tcPr>
            <w:tcW w:w="1700" w:type="dxa"/>
            <w:tcBorders>
              <w:top w:val="nil"/>
              <w:left w:val="nil"/>
              <w:bottom w:val="nil"/>
              <w:right w:val="nil"/>
            </w:tcBorders>
            <w:shd w:val="clear" w:color="auto" w:fill="FFFFFF"/>
            <w:tcMar>
              <w:top w:w="80" w:type="dxa"/>
              <w:left w:w="140" w:type="dxa"/>
              <w:bottom w:w="80" w:type="dxa"/>
              <w:right w:w="140" w:type="dxa"/>
            </w:tcMar>
          </w:tcPr>
          <w:p w14:paraId="145AB750">
            <w:pPr>
              <w:jc w:val="center"/>
            </w:pPr>
            <w:r>
              <w:rPr>
                <w:rFonts w:ascii="Arial" w:hAnsi="Arial" w:eastAsia="Arial" w:cs="Arial"/>
                <w:b w:val="0"/>
                <w:bCs w:val="0"/>
                <w:color w:val="222222"/>
                <w:sz w:val="20"/>
                <w:szCs w:val="20"/>
              </w:rPr>
              <w:t>0.238</w:t>
            </w:r>
          </w:p>
        </w:tc>
        <w:tc>
          <w:tcPr>
            <w:tcW w:w="1660" w:type="dxa"/>
            <w:tcBorders>
              <w:top w:val="nil"/>
              <w:left w:val="nil"/>
              <w:bottom w:val="nil"/>
              <w:right w:val="nil"/>
            </w:tcBorders>
            <w:shd w:val="clear" w:color="auto" w:fill="FFFFFF"/>
            <w:tcMar>
              <w:top w:w="80" w:type="dxa"/>
              <w:left w:w="140" w:type="dxa"/>
              <w:bottom w:w="80" w:type="dxa"/>
              <w:right w:w="140" w:type="dxa"/>
            </w:tcMar>
          </w:tcPr>
          <w:p w14:paraId="26DCB317">
            <w:pPr>
              <w:jc w:val="center"/>
            </w:pPr>
            <w:r>
              <w:rPr>
                <w:rFonts w:ascii="Arial" w:hAnsi="Arial" w:eastAsia="Arial" w:cs="Arial"/>
                <w:b w:val="0"/>
                <w:bCs w:val="0"/>
                <w:color w:val="222222"/>
                <w:sz w:val="20"/>
                <w:szCs w:val="20"/>
              </w:rPr>
              <w:t>0.054</w:t>
            </w:r>
          </w:p>
        </w:tc>
      </w:tr>
      <w:tr w14:paraId="56FE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17B82894"/>
        </w:tc>
        <w:tc>
          <w:tcPr>
            <w:tcW w:w="1600" w:type="dxa"/>
            <w:tcBorders>
              <w:top w:val="nil"/>
              <w:left w:val="nil"/>
              <w:bottom w:val="nil"/>
              <w:right w:val="nil"/>
            </w:tcBorders>
            <w:shd w:val="clear" w:color="auto" w:fill="FFFFFF"/>
            <w:tcMar>
              <w:top w:w="80" w:type="dxa"/>
              <w:left w:w="140" w:type="dxa"/>
              <w:bottom w:w="80" w:type="dxa"/>
              <w:right w:w="140" w:type="dxa"/>
            </w:tcMar>
          </w:tcPr>
          <w:p w14:paraId="7A50F3C9">
            <w:pPr>
              <w:jc w:val="center"/>
            </w:pPr>
          </w:p>
        </w:tc>
        <w:tc>
          <w:tcPr>
            <w:tcW w:w="1600" w:type="dxa"/>
            <w:tcBorders>
              <w:top w:val="nil"/>
              <w:left w:val="nil"/>
              <w:bottom w:val="nil"/>
              <w:right w:val="nil"/>
            </w:tcBorders>
            <w:shd w:val="clear" w:color="auto" w:fill="FFFFFF"/>
            <w:tcMar>
              <w:top w:w="80" w:type="dxa"/>
              <w:left w:w="140" w:type="dxa"/>
              <w:bottom w:w="80" w:type="dxa"/>
              <w:right w:w="140" w:type="dxa"/>
            </w:tcMar>
          </w:tcPr>
          <w:p w14:paraId="339BDB39">
            <w:pPr>
              <w:jc w:val="center"/>
            </w:pPr>
            <w:r>
              <w:rPr>
                <w:rFonts w:ascii="Arial" w:hAnsi="Arial" w:eastAsia="Arial" w:cs="Arial"/>
                <w:b w:val="0"/>
                <w:bCs w:val="0"/>
                <w:color w:val="222222"/>
                <w:sz w:val="20"/>
                <w:szCs w:val="20"/>
              </w:rPr>
              <w:t>(0.498)</w:t>
            </w:r>
          </w:p>
        </w:tc>
        <w:tc>
          <w:tcPr>
            <w:tcW w:w="1700" w:type="dxa"/>
            <w:tcBorders>
              <w:top w:val="nil"/>
              <w:left w:val="nil"/>
              <w:bottom w:val="nil"/>
              <w:right w:val="nil"/>
            </w:tcBorders>
            <w:shd w:val="clear" w:color="auto" w:fill="FFFFFF"/>
            <w:tcMar>
              <w:top w:w="80" w:type="dxa"/>
              <w:left w:w="140" w:type="dxa"/>
              <w:bottom w:w="80" w:type="dxa"/>
              <w:right w:w="140" w:type="dxa"/>
            </w:tcMar>
          </w:tcPr>
          <w:p w14:paraId="5BEB1EE9">
            <w:pPr>
              <w:jc w:val="center"/>
            </w:pPr>
            <w:r>
              <w:rPr>
                <w:rFonts w:ascii="Arial" w:hAnsi="Arial" w:eastAsia="Arial" w:cs="Arial"/>
                <w:b w:val="0"/>
                <w:bCs w:val="0"/>
                <w:color w:val="222222"/>
                <w:sz w:val="20"/>
                <w:szCs w:val="20"/>
              </w:rPr>
              <w:t>(0.504)</w:t>
            </w:r>
          </w:p>
        </w:tc>
        <w:tc>
          <w:tcPr>
            <w:tcW w:w="1660" w:type="dxa"/>
            <w:tcBorders>
              <w:top w:val="nil"/>
              <w:left w:val="nil"/>
              <w:bottom w:val="nil"/>
              <w:right w:val="nil"/>
            </w:tcBorders>
            <w:shd w:val="clear" w:color="auto" w:fill="FFFFFF"/>
            <w:tcMar>
              <w:top w:w="80" w:type="dxa"/>
              <w:left w:w="140" w:type="dxa"/>
              <w:bottom w:w="80" w:type="dxa"/>
              <w:right w:w="140" w:type="dxa"/>
            </w:tcMar>
          </w:tcPr>
          <w:p w14:paraId="1434272A">
            <w:pPr>
              <w:jc w:val="center"/>
            </w:pPr>
            <w:r>
              <w:rPr>
                <w:rFonts w:ascii="Arial" w:hAnsi="Arial" w:eastAsia="Arial" w:cs="Arial"/>
                <w:b w:val="0"/>
                <w:bCs w:val="0"/>
                <w:color w:val="222222"/>
                <w:sz w:val="20"/>
                <w:szCs w:val="20"/>
              </w:rPr>
              <w:t>(0.097)</w:t>
            </w:r>
          </w:p>
        </w:tc>
      </w:tr>
      <w:tr w14:paraId="73A3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7AC07EC3">
            <w:r>
              <w:rPr>
                <w:rFonts w:ascii="Arial" w:hAnsi="Arial" w:eastAsia="Arial" w:cs="Arial"/>
                <w:b w:val="0"/>
                <w:bCs w:val="0"/>
                <w:color w:val="222222"/>
                <w:sz w:val="20"/>
                <w:szCs w:val="20"/>
              </w:rPr>
              <w:t>Corruption</w:t>
            </w:r>
          </w:p>
        </w:tc>
        <w:tc>
          <w:tcPr>
            <w:tcW w:w="1600" w:type="dxa"/>
            <w:tcBorders>
              <w:top w:val="nil"/>
              <w:left w:val="nil"/>
              <w:bottom w:val="nil"/>
              <w:right w:val="nil"/>
            </w:tcBorders>
            <w:shd w:val="clear" w:color="auto" w:fill="F2F2F2"/>
            <w:tcMar>
              <w:top w:w="80" w:type="dxa"/>
              <w:left w:w="140" w:type="dxa"/>
              <w:bottom w:w="80" w:type="dxa"/>
              <w:right w:w="140" w:type="dxa"/>
            </w:tcMar>
          </w:tcPr>
          <w:p w14:paraId="0AD49DB8">
            <w:pPr>
              <w:jc w:val="center"/>
            </w:pPr>
          </w:p>
        </w:tc>
        <w:tc>
          <w:tcPr>
            <w:tcW w:w="1600" w:type="dxa"/>
            <w:tcBorders>
              <w:top w:val="nil"/>
              <w:left w:val="nil"/>
              <w:bottom w:val="nil"/>
              <w:right w:val="nil"/>
            </w:tcBorders>
            <w:shd w:val="clear" w:color="auto" w:fill="F2F2F2"/>
            <w:tcMar>
              <w:top w:w="80" w:type="dxa"/>
              <w:left w:w="140" w:type="dxa"/>
              <w:bottom w:w="80" w:type="dxa"/>
              <w:right w:w="140" w:type="dxa"/>
            </w:tcMar>
          </w:tcPr>
          <w:p w14:paraId="2DC776DF">
            <w:pPr>
              <w:jc w:val="center"/>
            </w:pPr>
            <w:r>
              <w:rPr>
                <w:rFonts w:ascii="Arial" w:hAnsi="Arial" w:eastAsia="Arial" w:cs="Arial"/>
                <w:b/>
                <w:bCs/>
                <w:color w:val="1F3864"/>
                <w:sz w:val="20"/>
                <w:szCs w:val="20"/>
              </w:rPr>
              <w:t>0.972*</w:t>
            </w:r>
          </w:p>
        </w:tc>
        <w:tc>
          <w:tcPr>
            <w:tcW w:w="1700" w:type="dxa"/>
            <w:tcBorders>
              <w:top w:val="nil"/>
              <w:left w:val="nil"/>
              <w:bottom w:val="nil"/>
              <w:right w:val="nil"/>
            </w:tcBorders>
            <w:shd w:val="clear" w:color="auto" w:fill="F2F2F2"/>
            <w:tcMar>
              <w:top w:w="80" w:type="dxa"/>
              <w:left w:w="140" w:type="dxa"/>
              <w:bottom w:w="80" w:type="dxa"/>
              <w:right w:w="140" w:type="dxa"/>
            </w:tcMar>
          </w:tcPr>
          <w:p w14:paraId="59737A0A">
            <w:pPr>
              <w:jc w:val="center"/>
            </w:pPr>
            <w:r>
              <w:rPr>
                <w:rFonts w:ascii="Arial" w:hAnsi="Arial" w:eastAsia="Arial" w:cs="Arial"/>
                <w:b w:val="0"/>
                <w:bCs w:val="0"/>
                <w:color w:val="222222"/>
                <w:sz w:val="20"/>
                <w:szCs w:val="20"/>
              </w:rPr>
              <w:t>0.617</w:t>
            </w:r>
          </w:p>
        </w:tc>
        <w:tc>
          <w:tcPr>
            <w:tcW w:w="1660" w:type="dxa"/>
            <w:tcBorders>
              <w:top w:val="nil"/>
              <w:left w:val="nil"/>
              <w:bottom w:val="nil"/>
              <w:right w:val="nil"/>
            </w:tcBorders>
            <w:shd w:val="clear" w:color="auto" w:fill="F2F2F2"/>
            <w:tcMar>
              <w:top w:w="80" w:type="dxa"/>
              <w:left w:w="140" w:type="dxa"/>
              <w:bottom w:w="80" w:type="dxa"/>
              <w:right w:w="140" w:type="dxa"/>
            </w:tcMar>
          </w:tcPr>
          <w:p w14:paraId="252F5427">
            <w:pPr>
              <w:jc w:val="center"/>
            </w:pPr>
            <w:r>
              <w:rPr>
                <w:rFonts w:ascii="Arial" w:hAnsi="Arial" w:eastAsia="Arial" w:cs="Arial"/>
                <w:b w:val="0"/>
                <w:bCs w:val="0"/>
                <w:color w:val="222222"/>
                <w:sz w:val="20"/>
                <w:szCs w:val="20"/>
              </w:rPr>
              <w:t>0.040</w:t>
            </w:r>
          </w:p>
        </w:tc>
      </w:tr>
      <w:tr w14:paraId="0FD9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1E3AA4F6"/>
        </w:tc>
        <w:tc>
          <w:tcPr>
            <w:tcW w:w="1600" w:type="dxa"/>
            <w:tcBorders>
              <w:top w:val="nil"/>
              <w:left w:val="nil"/>
              <w:bottom w:val="nil"/>
              <w:right w:val="nil"/>
            </w:tcBorders>
            <w:shd w:val="clear" w:color="auto" w:fill="F2F2F2"/>
            <w:tcMar>
              <w:top w:w="80" w:type="dxa"/>
              <w:left w:w="140" w:type="dxa"/>
              <w:bottom w:w="80" w:type="dxa"/>
              <w:right w:w="140" w:type="dxa"/>
            </w:tcMar>
          </w:tcPr>
          <w:p w14:paraId="56103391">
            <w:pPr>
              <w:jc w:val="center"/>
            </w:pPr>
          </w:p>
        </w:tc>
        <w:tc>
          <w:tcPr>
            <w:tcW w:w="1600" w:type="dxa"/>
            <w:tcBorders>
              <w:top w:val="nil"/>
              <w:left w:val="nil"/>
              <w:bottom w:val="nil"/>
              <w:right w:val="nil"/>
            </w:tcBorders>
            <w:shd w:val="clear" w:color="auto" w:fill="F2F2F2"/>
            <w:tcMar>
              <w:top w:w="80" w:type="dxa"/>
              <w:left w:w="140" w:type="dxa"/>
              <w:bottom w:w="80" w:type="dxa"/>
              <w:right w:w="140" w:type="dxa"/>
            </w:tcMar>
          </w:tcPr>
          <w:p w14:paraId="647DC5C6">
            <w:pPr>
              <w:jc w:val="center"/>
            </w:pPr>
            <w:r>
              <w:rPr>
                <w:rFonts w:ascii="Arial" w:hAnsi="Arial" w:eastAsia="Arial" w:cs="Arial"/>
                <w:b w:val="0"/>
                <w:bCs w:val="0"/>
                <w:color w:val="222222"/>
                <w:sz w:val="20"/>
                <w:szCs w:val="20"/>
              </w:rPr>
              <w:t>(0.542)</w:t>
            </w:r>
          </w:p>
        </w:tc>
        <w:tc>
          <w:tcPr>
            <w:tcW w:w="1700" w:type="dxa"/>
            <w:tcBorders>
              <w:top w:val="nil"/>
              <w:left w:val="nil"/>
              <w:bottom w:val="nil"/>
              <w:right w:val="nil"/>
            </w:tcBorders>
            <w:shd w:val="clear" w:color="auto" w:fill="F2F2F2"/>
            <w:tcMar>
              <w:top w:w="80" w:type="dxa"/>
              <w:left w:w="140" w:type="dxa"/>
              <w:bottom w:w="80" w:type="dxa"/>
              <w:right w:w="140" w:type="dxa"/>
            </w:tcMar>
          </w:tcPr>
          <w:p w14:paraId="27DA98D7">
            <w:pPr>
              <w:jc w:val="center"/>
            </w:pPr>
            <w:r>
              <w:rPr>
                <w:rFonts w:ascii="Arial" w:hAnsi="Arial" w:eastAsia="Arial" w:cs="Arial"/>
                <w:b w:val="0"/>
                <w:bCs w:val="0"/>
                <w:color w:val="222222"/>
                <w:sz w:val="20"/>
                <w:szCs w:val="20"/>
              </w:rPr>
              <w:t>(0.558)</w:t>
            </w:r>
          </w:p>
        </w:tc>
        <w:tc>
          <w:tcPr>
            <w:tcW w:w="1660" w:type="dxa"/>
            <w:tcBorders>
              <w:top w:val="nil"/>
              <w:left w:val="nil"/>
              <w:bottom w:val="nil"/>
              <w:right w:val="nil"/>
            </w:tcBorders>
            <w:shd w:val="clear" w:color="auto" w:fill="F2F2F2"/>
            <w:tcMar>
              <w:top w:w="80" w:type="dxa"/>
              <w:left w:w="140" w:type="dxa"/>
              <w:bottom w:w="80" w:type="dxa"/>
              <w:right w:w="140" w:type="dxa"/>
            </w:tcMar>
          </w:tcPr>
          <w:p w14:paraId="292DD8E1">
            <w:pPr>
              <w:jc w:val="center"/>
            </w:pPr>
            <w:r>
              <w:rPr>
                <w:rFonts w:ascii="Arial" w:hAnsi="Arial" w:eastAsia="Arial" w:cs="Arial"/>
                <w:b w:val="0"/>
                <w:bCs w:val="0"/>
                <w:color w:val="222222"/>
                <w:sz w:val="20"/>
                <w:szCs w:val="20"/>
              </w:rPr>
              <w:t>(0.106)</w:t>
            </w:r>
          </w:p>
        </w:tc>
      </w:tr>
      <w:tr w14:paraId="4F02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15D02512">
            <w:r>
              <w:rPr>
                <w:rFonts w:ascii="Arial" w:hAnsi="Arial" w:eastAsia="Arial" w:cs="Arial"/>
                <w:b w:val="0"/>
                <w:bCs w:val="0"/>
                <w:color w:val="222222"/>
                <w:sz w:val="20"/>
                <w:szCs w:val="20"/>
              </w:rPr>
              <w:t>GDP × Freedom</w:t>
            </w:r>
          </w:p>
        </w:tc>
        <w:tc>
          <w:tcPr>
            <w:tcW w:w="1600" w:type="dxa"/>
            <w:tcBorders>
              <w:top w:val="nil"/>
              <w:left w:val="nil"/>
              <w:bottom w:val="nil"/>
              <w:right w:val="nil"/>
            </w:tcBorders>
            <w:shd w:val="clear" w:color="auto" w:fill="FFFFFF"/>
            <w:tcMar>
              <w:top w:w="80" w:type="dxa"/>
              <w:left w:w="140" w:type="dxa"/>
              <w:bottom w:w="80" w:type="dxa"/>
              <w:right w:w="140" w:type="dxa"/>
            </w:tcMar>
          </w:tcPr>
          <w:p w14:paraId="7688E9CA">
            <w:pPr>
              <w:jc w:val="center"/>
            </w:pPr>
          </w:p>
        </w:tc>
        <w:tc>
          <w:tcPr>
            <w:tcW w:w="1600" w:type="dxa"/>
            <w:tcBorders>
              <w:top w:val="nil"/>
              <w:left w:val="nil"/>
              <w:bottom w:val="nil"/>
              <w:right w:val="nil"/>
            </w:tcBorders>
            <w:shd w:val="clear" w:color="auto" w:fill="FFFFFF"/>
            <w:tcMar>
              <w:top w:w="80" w:type="dxa"/>
              <w:left w:w="140" w:type="dxa"/>
              <w:bottom w:w="80" w:type="dxa"/>
              <w:right w:w="140" w:type="dxa"/>
            </w:tcMar>
          </w:tcPr>
          <w:p w14:paraId="7EB34662">
            <w:pPr>
              <w:jc w:val="center"/>
            </w:pPr>
          </w:p>
        </w:tc>
        <w:tc>
          <w:tcPr>
            <w:tcW w:w="1700" w:type="dxa"/>
            <w:tcBorders>
              <w:top w:val="nil"/>
              <w:left w:val="nil"/>
              <w:bottom w:val="nil"/>
              <w:right w:val="nil"/>
            </w:tcBorders>
            <w:shd w:val="clear" w:color="auto" w:fill="FFFFFF"/>
            <w:tcMar>
              <w:top w:w="80" w:type="dxa"/>
              <w:left w:w="140" w:type="dxa"/>
              <w:bottom w:w="80" w:type="dxa"/>
              <w:right w:w="140" w:type="dxa"/>
            </w:tcMar>
          </w:tcPr>
          <w:p w14:paraId="3528D140">
            <w:pPr>
              <w:jc w:val="center"/>
            </w:pPr>
            <w:r>
              <w:rPr>
                <w:rFonts w:ascii="Arial" w:hAnsi="Arial" w:eastAsia="Arial" w:cs="Arial"/>
                <w:b/>
                <w:bCs/>
                <w:color w:val="1F3864"/>
                <w:sz w:val="20"/>
                <w:szCs w:val="20"/>
              </w:rPr>
              <w:t>1.828**</w:t>
            </w:r>
          </w:p>
        </w:tc>
        <w:tc>
          <w:tcPr>
            <w:tcW w:w="1660" w:type="dxa"/>
            <w:tcBorders>
              <w:top w:val="nil"/>
              <w:left w:val="nil"/>
              <w:bottom w:val="nil"/>
              <w:right w:val="nil"/>
            </w:tcBorders>
            <w:shd w:val="clear" w:color="auto" w:fill="FFFFFF"/>
            <w:tcMar>
              <w:top w:w="80" w:type="dxa"/>
              <w:left w:w="140" w:type="dxa"/>
              <w:bottom w:w="80" w:type="dxa"/>
              <w:right w:w="140" w:type="dxa"/>
            </w:tcMar>
          </w:tcPr>
          <w:p w14:paraId="04E38EB4">
            <w:pPr>
              <w:jc w:val="center"/>
            </w:pPr>
          </w:p>
        </w:tc>
      </w:tr>
      <w:tr w14:paraId="69C3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22FF76F1"/>
        </w:tc>
        <w:tc>
          <w:tcPr>
            <w:tcW w:w="1600" w:type="dxa"/>
            <w:tcBorders>
              <w:top w:val="nil"/>
              <w:left w:val="nil"/>
              <w:bottom w:val="nil"/>
              <w:right w:val="nil"/>
            </w:tcBorders>
            <w:shd w:val="clear" w:color="auto" w:fill="FFFFFF"/>
            <w:tcMar>
              <w:top w:w="80" w:type="dxa"/>
              <w:left w:w="140" w:type="dxa"/>
              <w:bottom w:w="80" w:type="dxa"/>
              <w:right w:w="140" w:type="dxa"/>
            </w:tcMar>
          </w:tcPr>
          <w:p w14:paraId="2A8FA49E">
            <w:pPr>
              <w:jc w:val="center"/>
            </w:pPr>
          </w:p>
        </w:tc>
        <w:tc>
          <w:tcPr>
            <w:tcW w:w="1600" w:type="dxa"/>
            <w:tcBorders>
              <w:top w:val="nil"/>
              <w:left w:val="nil"/>
              <w:bottom w:val="nil"/>
              <w:right w:val="nil"/>
            </w:tcBorders>
            <w:shd w:val="clear" w:color="auto" w:fill="FFFFFF"/>
            <w:tcMar>
              <w:top w:w="80" w:type="dxa"/>
              <w:left w:w="140" w:type="dxa"/>
              <w:bottom w:w="80" w:type="dxa"/>
              <w:right w:w="140" w:type="dxa"/>
            </w:tcMar>
          </w:tcPr>
          <w:p w14:paraId="0164E023">
            <w:pPr>
              <w:jc w:val="center"/>
            </w:pPr>
          </w:p>
        </w:tc>
        <w:tc>
          <w:tcPr>
            <w:tcW w:w="1700" w:type="dxa"/>
            <w:tcBorders>
              <w:top w:val="nil"/>
              <w:left w:val="nil"/>
              <w:bottom w:val="nil"/>
              <w:right w:val="nil"/>
            </w:tcBorders>
            <w:shd w:val="clear" w:color="auto" w:fill="FFFFFF"/>
            <w:tcMar>
              <w:top w:w="80" w:type="dxa"/>
              <w:left w:w="140" w:type="dxa"/>
              <w:bottom w:w="80" w:type="dxa"/>
              <w:right w:w="140" w:type="dxa"/>
            </w:tcMar>
          </w:tcPr>
          <w:p w14:paraId="39516FE6">
            <w:pPr>
              <w:jc w:val="center"/>
            </w:pPr>
            <w:r>
              <w:rPr>
                <w:rFonts w:ascii="Arial" w:hAnsi="Arial" w:eastAsia="Arial" w:cs="Arial"/>
                <w:b w:val="0"/>
                <w:bCs w:val="0"/>
                <w:color w:val="222222"/>
                <w:sz w:val="20"/>
                <w:szCs w:val="20"/>
              </w:rPr>
              <w:t>(0.811)</w:t>
            </w:r>
          </w:p>
        </w:tc>
        <w:tc>
          <w:tcPr>
            <w:tcW w:w="1660" w:type="dxa"/>
            <w:tcBorders>
              <w:top w:val="nil"/>
              <w:left w:val="nil"/>
              <w:bottom w:val="nil"/>
              <w:right w:val="nil"/>
            </w:tcBorders>
            <w:shd w:val="clear" w:color="auto" w:fill="FFFFFF"/>
            <w:tcMar>
              <w:top w:w="80" w:type="dxa"/>
              <w:left w:w="140" w:type="dxa"/>
              <w:bottom w:w="80" w:type="dxa"/>
              <w:right w:w="140" w:type="dxa"/>
            </w:tcMar>
          </w:tcPr>
          <w:p w14:paraId="58D036B4">
            <w:pPr>
              <w:jc w:val="center"/>
            </w:pPr>
          </w:p>
        </w:tc>
      </w:tr>
      <w:tr w14:paraId="2EC6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61C2B4CA">
            <w:r>
              <w:rPr>
                <w:rFonts w:ascii="Arial" w:hAnsi="Arial" w:eastAsia="Arial" w:cs="Arial"/>
                <w:b w:val="0"/>
                <w:bCs w:val="0"/>
                <w:color w:val="222222"/>
                <w:sz w:val="20"/>
                <w:szCs w:val="20"/>
              </w:rPr>
              <w:t>Constant</w:t>
            </w:r>
          </w:p>
        </w:tc>
        <w:tc>
          <w:tcPr>
            <w:tcW w:w="1600" w:type="dxa"/>
            <w:tcBorders>
              <w:top w:val="nil"/>
              <w:left w:val="nil"/>
              <w:bottom w:val="nil"/>
              <w:right w:val="nil"/>
            </w:tcBorders>
            <w:shd w:val="clear" w:color="auto" w:fill="F2F2F2"/>
            <w:tcMar>
              <w:top w:w="80" w:type="dxa"/>
              <w:left w:w="140" w:type="dxa"/>
              <w:bottom w:w="80" w:type="dxa"/>
              <w:right w:w="140" w:type="dxa"/>
            </w:tcMar>
          </w:tcPr>
          <w:p w14:paraId="4BA0E239">
            <w:pPr>
              <w:jc w:val="center"/>
            </w:pPr>
            <w:r>
              <w:rPr>
                <w:rFonts w:ascii="Arial" w:hAnsi="Arial" w:eastAsia="Arial" w:cs="Arial"/>
                <w:b/>
                <w:bCs/>
                <w:color w:val="1F3864"/>
                <w:sz w:val="20"/>
                <w:szCs w:val="20"/>
              </w:rPr>
              <w:t>3.399***</w:t>
            </w:r>
          </w:p>
        </w:tc>
        <w:tc>
          <w:tcPr>
            <w:tcW w:w="1600" w:type="dxa"/>
            <w:tcBorders>
              <w:top w:val="nil"/>
              <w:left w:val="nil"/>
              <w:bottom w:val="nil"/>
              <w:right w:val="nil"/>
            </w:tcBorders>
            <w:shd w:val="clear" w:color="auto" w:fill="F2F2F2"/>
            <w:tcMar>
              <w:top w:w="80" w:type="dxa"/>
              <w:left w:w="140" w:type="dxa"/>
              <w:bottom w:w="80" w:type="dxa"/>
              <w:right w:w="140" w:type="dxa"/>
            </w:tcMar>
          </w:tcPr>
          <w:p w14:paraId="13EDB4C6">
            <w:pPr>
              <w:jc w:val="center"/>
            </w:pPr>
            <w:r>
              <w:rPr>
                <w:rFonts w:ascii="Arial" w:hAnsi="Arial" w:eastAsia="Arial" w:cs="Arial"/>
                <w:b/>
                <w:bCs/>
                <w:color w:val="1F3864"/>
                <w:sz w:val="20"/>
                <w:szCs w:val="20"/>
              </w:rPr>
              <w:t>1.795***</w:t>
            </w:r>
          </w:p>
        </w:tc>
        <w:tc>
          <w:tcPr>
            <w:tcW w:w="1700" w:type="dxa"/>
            <w:tcBorders>
              <w:top w:val="nil"/>
              <w:left w:val="nil"/>
              <w:bottom w:val="nil"/>
              <w:right w:val="nil"/>
            </w:tcBorders>
            <w:shd w:val="clear" w:color="auto" w:fill="F2F2F2"/>
            <w:tcMar>
              <w:top w:w="80" w:type="dxa"/>
              <w:left w:w="140" w:type="dxa"/>
              <w:bottom w:w="80" w:type="dxa"/>
              <w:right w:w="140" w:type="dxa"/>
            </w:tcMar>
          </w:tcPr>
          <w:p w14:paraId="0D32F9C1">
            <w:pPr>
              <w:jc w:val="center"/>
            </w:pPr>
            <w:r>
              <w:rPr>
                <w:rFonts w:ascii="Arial" w:hAnsi="Arial" w:eastAsia="Arial" w:cs="Arial"/>
                <w:b/>
                <w:bCs/>
                <w:color w:val="1F3864"/>
                <w:sz w:val="20"/>
                <w:szCs w:val="20"/>
              </w:rPr>
              <w:t>2.345***</w:t>
            </w:r>
          </w:p>
        </w:tc>
        <w:tc>
          <w:tcPr>
            <w:tcW w:w="1660" w:type="dxa"/>
            <w:tcBorders>
              <w:top w:val="nil"/>
              <w:left w:val="nil"/>
              <w:bottom w:val="nil"/>
              <w:right w:val="nil"/>
            </w:tcBorders>
            <w:shd w:val="clear" w:color="auto" w:fill="F2F2F2"/>
            <w:tcMar>
              <w:top w:w="80" w:type="dxa"/>
              <w:left w:w="140" w:type="dxa"/>
              <w:bottom w:w="80" w:type="dxa"/>
              <w:right w:w="140" w:type="dxa"/>
            </w:tcMar>
          </w:tcPr>
          <w:p w14:paraId="03DDB012">
            <w:pPr>
              <w:jc w:val="center"/>
            </w:pPr>
            <w:r>
              <w:rPr>
                <w:rFonts w:ascii="Arial" w:hAnsi="Arial" w:eastAsia="Arial" w:cs="Arial"/>
                <w:b/>
                <w:bCs/>
                <w:color w:val="1F3864"/>
                <w:sz w:val="20"/>
                <w:szCs w:val="20"/>
              </w:rPr>
              <w:t>0.964***</w:t>
            </w:r>
          </w:p>
        </w:tc>
      </w:tr>
      <w:tr w14:paraId="4107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20CFD7BE"/>
        </w:tc>
        <w:tc>
          <w:tcPr>
            <w:tcW w:w="1600" w:type="dxa"/>
            <w:tcBorders>
              <w:top w:val="nil"/>
              <w:left w:val="nil"/>
              <w:bottom w:val="nil"/>
              <w:right w:val="nil"/>
            </w:tcBorders>
            <w:shd w:val="clear" w:color="auto" w:fill="F2F2F2"/>
            <w:tcMar>
              <w:top w:w="80" w:type="dxa"/>
              <w:left w:w="140" w:type="dxa"/>
              <w:bottom w:w="80" w:type="dxa"/>
              <w:right w:w="140" w:type="dxa"/>
            </w:tcMar>
          </w:tcPr>
          <w:p w14:paraId="252A4C14">
            <w:pPr>
              <w:jc w:val="center"/>
            </w:pPr>
            <w:r>
              <w:rPr>
                <w:rFonts w:ascii="Arial" w:hAnsi="Arial" w:eastAsia="Arial" w:cs="Arial"/>
                <w:b w:val="0"/>
                <w:bCs w:val="0"/>
                <w:color w:val="222222"/>
                <w:sz w:val="20"/>
                <w:szCs w:val="20"/>
              </w:rPr>
              <w:t>(0.135)</w:t>
            </w:r>
          </w:p>
        </w:tc>
        <w:tc>
          <w:tcPr>
            <w:tcW w:w="1600" w:type="dxa"/>
            <w:tcBorders>
              <w:top w:val="nil"/>
              <w:left w:val="nil"/>
              <w:bottom w:val="nil"/>
              <w:right w:val="nil"/>
            </w:tcBorders>
            <w:shd w:val="clear" w:color="auto" w:fill="F2F2F2"/>
            <w:tcMar>
              <w:top w:w="80" w:type="dxa"/>
              <w:left w:w="140" w:type="dxa"/>
              <w:bottom w:w="80" w:type="dxa"/>
              <w:right w:w="140" w:type="dxa"/>
            </w:tcMar>
          </w:tcPr>
          <w:p w14:paraId="68A5F818">
            <w:pPr>
              <w:jc w:val="center"/>
            </w:pPr>
            <w:r>
              <w:rPr>
                <w:rFonts w:ascii="Arial" w:hAnsi="Arial" w:eastAsia="Arial" w:cs="Arial"/>
                <w:b w:val="0"/>
                <w:bCs w:val="0"/>
                <w:color w:val="222222"/>
                <w:sz w:val="20"/>
                <w:szCs w:val="20"/>
              </w:rPr>
              <w:t>(0.211)</w:t>
            </w:r>
          </w:p>
        </w:tc>
        <w:tc>
          <w:tcPr>
            <w:tcW w:w="1700" w:type="dxa"/>
            <w:tcBorders>
              <w:top w:val="nil"/>
              <w:left w:val="nil"/>
              <w:bottom w:val="nil"/>
              <w:right w:val="nil"/>
            </w:tcBorders>
            <w:shd w:val="clear" w:color="auto" w:fill="F2F2F2"/>
            <w:tcMar>
              <w:top w:w="80" w:type="dxa"/>
              <w:left w:w="140" w:type="dxa"/>
              <w:bottom w:w="80" w:type="dxa"/>
              <w:right w:w="140" w:type="dxa"/>
            </w:tcMar>
          </w:tcPr>
          <w:p w14:paraId="696652FC">
            <w:pPr>
              <w:jc w:val="center"/>
            </w:pPr>
            <w:r>
              <w:rPr>
                <w:rFonts w:ascii="Arial" w:hAnsi="Arial" w:eastAsia="Arial" w:cs="Arial"/>
                <w:b w:val="0"/>
                <w:bCs w:val="0"/>
                <w:color w:val="222222"/>
                <w:sz w:val="20"/>
                <w:szCs w:val="20"/>
              </w:rPr>
              <w:t>(0.321)</w:t>
            </w:r>
          </w:p>
        </w:tc>
        <w:tc>
          <w:tcPr>
            <w:tcW w:w="1660" w:type="dxa"/>
            <w:tcBorders>
              <w:top w:val="nil"/>
              <w:left w:val="nil"/>
              <w:bottom w:val="nil"/>
              <w:right w:val="nil"/>
            </w:tcBorders>
            <w:shd w:val="clear" w:color="auto" w:fill="F2F2F2"/>
            <w:tcMar>
              <w:top w:w="80" w:type="dxa"/>
              <w:left w:w="140" w:type="dxa"/>
              <w:bottom w:w="80" w:type="dxa"/>
              <w:right w:w="140" w:type="dxa"/>
            </w:tcMar>
          </w:tcPr>
          <w:p w14:paraId="07236212">
            <w:pPr>
              <w:jc w:val="center"/>
            </w:pPr>
            <w:r>
              <w:rPr>
                <w:rFonts w:ascii="Arial" w:hAnsi="Arial" w:eastAsia="Arial" w:cs="Arial"/>
                <w:b w:val="0"/>
                <w:bCs w:val="0"/>
                <w:color w:val="222222"/>
                <w:sz w:val="20"/>
                <w:szCs w:val="20"/>
              </w:rPr>
              <w:t>(0.041)</w:t>
            </w:r>
          </w:p>
        </w:tc>
      </w:tr>
      <w:tr w14:paraId="0142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44259680">
            <w:r>
              <w:rPr>
                <w:rFonts w:ascii="Arial" w:hAnsi="Arial" w:eastAsia="Arial" w:cs="Arial"/>
                <w:b w:val="0"/>
                <w:bCs w:val="0"/>
                <w:color w:val="222222"/>
                <w:sz w:val="20"/>
                <w:szCs w:val="20"/>
              </w:rPr>
              <w:t>Observations</w:t>
            </w:r>
          </w:p>
        </w:tc>
        <w:tc>
          <w:tcPr>
            <w:tcW w:w="1600" w:type="dxa"/>
            <w:tcBorders>
              <w:top w:val="nil"/>
              <w:left w:val="nil"/>
              <w:bottom w:val="nil"/>
              <w:right w:val="nil"/>
            </w:tcBorders>
            <w:shd w:val="clear" w:color="auto" w:fill="FFFFFF"/>
            <w:tcMar>
              <w:top w:w="80" w:type="dxa"/>
              <w:left w:w="140" w:type="dxa"/>
              <w:bottom w:w="80" w:type="dxa"/>
              <w:right w:w="140" w:type="dxa"/>
            </w:tcMar>
          </w:tcPr>
          <w:p w14:paraId="0A608CC8">
            <w:pPr>
              <w:jc w:val="center"/>
            </w:pPr>
            <w:r>
              <w:rPr>
                <w:rFonts w:ascii="Arial" w:hAnsi="Arial" w:eastAsia="Arial" w:cs="Arial"/>
                <w:b w:val="0"/>
                <w:bCs w:val="0"/>
                <w:color w:val="222222"/>
                <w:sz w:val="20"/>
                <w:szCs w:val="20"/>
              </w:rPr>
              <w:t>156</w:t>
            </w:r>
          </w:p>
        </w:tc>
        <w:tc>
          <w:tcPr>
            <w:tcW w:w="1600" w:type="dxa"/>
            <w:tcBorders>
              <w:top w:val="nil"/>
              <w:left w:val="nil"/>
              <w:bottom w:val="nil"/>
              <w:right w:val="nil"/>
            </w:tcBorders>
            <w:shd w:val="clear" w:color="auto" w:fill="FFFFFF"/>
            <w:tcMar>
              <w:top w:w="80" w:type="dxa"/>
              <w:left w:w="140" w:type="dxa"/>
              <w:bottom w:w="80" w:type="dxa"/>
              <w:right w:w="140" w:type="dxa"/>
            </w:tcMar>
          </w:tcPr>
          <w:p w14:paraId="29133011">
            <w:pPr>
              <w:jc w:val="center"/>
            </w:pPr>
            <w:r>
              <w:rPr>
                <w:rFonts w:ascii="Arial" w:hAnsi="Arial" w:eastAsia="Arial" w:cs="Arial"/>
                <w:b w:val="0"/>
                <w:bCs w:val="0"/>
                <w:color w:val="222222"/>
                <w:sz w:val="20"/>
                <w:szCs w:val="20"/>
              </w:rPr>
              <w:t>156</w:t>
            </w:r>
          </w:p>
        </w:tc>
        <w:tc>
          <w:tcPr>
            <w:tcW w:w="1700" w:type="dxa"/>
            <w:tcBorders>
              <w:top w:val="nil"/>
              <w:left w:val="nil"/>
              <w:bottom w:val="nil"/>
              <w:right w:val="nil"/>
            </w:tcBorders>
            <w:shd w:val="clear" w:color="auto" w:fill="FFFFFF"/>
            <w:tcMar>
              <w:top w:w="80" w:type="dxa"/>
              <w:left w:w="140" w:type="dxa"/>
              <w:bottom w:w="80" w:type="dxa"/>
              <w:right w:w="140" w:type="dxa"/>
            </w:tcMar>
          </w:tcPr>
          <w:p w14:paraId="43C4E656">
            <w:pPr>
              <w:jc w:val="center"/>
            </w:pPr>
            <w:r>
              <w:rPr>
                <w:rFonts w:ascii="Arial" w:hAnsi="Arial" w:eastAsia="Arial" w:cs="Arial"/>
                <w:b w:val="0"/>
                <w:bCs w:val="0"/>
                <w:color w:val="222222"/>
                <w:sz w:val="20"/>
                <w:szCs w:val="20"/>
              </w:rPr>
              <w:t>156</w:t>
            </w:r>
          </w:p>
        </w:tc>
        <w:tc>
          <w:tcPr>
            <w:tcW w:w="1660" w:type="dxa"/>
            <w:tcBorders>
              <w:top w:val="nil"/>
              <w:left w:val="nil"/>
              <w:bottom w:val="nil"/>
              <w:right w:val="nil"/>
            </w:tcBorders>
            <w:shd w:val="clear" w:color="auto" w:fill="FFFFFF"/>
            <w:tcMar>
              <w:top w:w="80" w:type="dxa"/>
              <w:left w:w="140" w:type="dxa"/>
              <w:bottom w:w="80" w:type="dxa"/>
              <w:right w:w="140" w:type="dxa"/>
            </w:tcMar>
          </w:tcPr>
          <w:p w14:paraId="2334439F">
            <w:pPr>
              <w:jc w:val="center"/>
            </w:pPr>
            <w:r>
              <w:rPr>
                <w:rFonts w:ascii="Arial" w:hAnsi="Arial" w:eastAsia="Arial" w:cs="Arial"/>
                <w:b w:val="0"/>
                <w:bCs w:val="0"/>
                <w:color w:val="222222"/>
                <w:sz w:val="20"/>
                <w:szCs w:val="20"/>
              </w:rPr>
              <w:t>156</w:t>
            </w:r>
          </w:p>
        </w:tc>
      </w:tr>
      <w:tr w14:paraId="07D3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2F2F2"/>
            <w:tcMar>
              <w:top w:w="80" w:type="dxa"/>
              <w:left w:w="140" w:type="dxa"/>
              <w:bottom w:w="80" w:type="dxa"/>
              <w:right w:w="140" w:type="dxa"/>
            </w:tcMar>
          </w:tcPr>
          <w:p w14:paraId="5571E067">
            <w:r>
              <w:rPr>
                <w:rFonts w:ascii="Arial" w:hAnsi="Arial" w:eastAsia="Arial" w:cs="Arial"/>
                <w:b w:val="0"/>
                <w:bCs w:val="0"/>
                <w:color w:val="222222"/>
                <w:sz w:val="20"/>
                <w:szCs w:val="20"/>
              </w:rPr>
              <w:t>R²</w:t>
            </w:r>
          </w:p>
        </w:tc>
        <w:tc>
          <w:tcPr>
            <w:tcW w:w="1600" w:type="dxa"/>
            <w:tcBorders>
              <w:top w:val="nil"/>
              <w:left w:val="nil"/>
              <w:bottom w:val="nil"/>
              <w:right w:val="nil"/>
            </w:tcBorders>
            <w:shd w:val="clear" w:color="auto" w:fill="F2F2F2"/>
            <w:tcMar>
              <w:top w:w="80" w:type="dxa"/>
              <w:left w:w="140" w:type="dxa"/>
              <w:bottom w:w="80" w:type="dxa"/>
              <w:right w:w="140" w:type="dxa"/>
            </w:tcMar>
          </w:tcPr>
          <w:p w14:paraId="5E779824">
            <w:pPr>
              <w:jc w:val="center"/>
            </w:pPr>
            <w:r>
              <w:rPr>
                <w:rFonts w:ascii="Arial" w:hAnsi="Arial" w:eastAsia="Arial" w:cs="Arial"/>
                <w:b w:val="0"/>
                <w:bCs w:val="0"/>
                <w:color w:val="222222"/>
                <w:sz w:val="20"/>
                <w:szCs w:val="20"/>
              </w:rPr>
              <w:t>0.630</w:t>
            </w:r>
          </w:p>
        </w:tc>
        <w:tc>
          <w:tcPr>
            <w:tcW w:w="1600" w:type="dxa"/>
            <w:tcBorders>
              <w:top w:val="nil"/>
              <w:left w:val="nil"/>
              <w:bottom w:val="nil"/>
              <w:right w:val="nil"/>
            </w:tcBorders>
            <w:shd w:val="clear" w:color="auto" w:fill="F2F2F2"/>
            <w:tcMar>
              <w:top w:w="80" w:type="dxa"/>
              <w:left w:w="140" w:type="dxa"/>
              <w:bottom w:w="80" w:type="dxa"/>
              <w:right w:w="140" w:type="dxa"/>
            </w:tcMar>
          </w:tcPr>
          <w:p w14:paraId="63067A4E">
            <w:pPr>
              <w:jc w:val="center"/>
            </w:pPr>
            <w:r>
              <w:rPr>
                <w:rFonts w:ascii="Arial" w:hAnsi="Arial" w:eastAsia="Arial" w:cs="Arial"/>
                <w:b w:val="0"/>
                <w:bCs w:val="0"/>
                <w:color w:val="222222"/>
                <w:sz w:val="20"/>
                <w:szCs w:val="20"/>
              </w:rPr>
              <w:t>0.779</w:t>
            </w:r>
          </w:p>
        </w:tc>
        <w:tc>
          <w:tcPr>
            <w:tcW w:w="1700" w:type="dxa"/>
            <w:tcBorders>
              <w:top w:val="nil"/>
              <w:left w:val="nil"/>
              <w:bottom w:val="nil"/>
              <w:right w:val="nil"/>
            </w:tcBorders>
            <w:shd w:val="clear" w:color="auto" w:fill="F2F2F2"/>
            <w:tcMar>
              <w:top w:w="80" w:type="dxa"/>
              <w:left w:w="140" w:type="dxa"/>
              <w:bottom w:w="80" w:type="dxa"/>
              <w:right w:w="140" w:type="dxa"/>
            </w:tcMar>
          </w:tcPr>
          <w:p w14:paraId="3A9C69D6">
            <w:pPr>
              <w:jc w:val="center"/>
            </w:pPr>
            <w:r>
              <w:rPr>
                <w:rFonts w:ascii="Arial" w:hAnsi="Arial" w:eastAsia="Arial" w:cs="Arial"/>
                <w:b w:val="0"/>
                <w:bCs w:val="0"/>
                <w:color w:val="222222"/>
                <w:sz w:val="20"/>
                <w:szCs w:val="20"/>
              </w:rPr>
              <w:t>0.786</w:t>
            </w:r>
          </w:p>
        </w:tc>
        <w:tc>
          <w:tcPr>
            <w:tcW w:w="1660" w:type="dxa"/>
            <w:tcBorders>
              <w:top w:val="nil"/>
              <w:left w:val="nil"/>
              <w:bottom w:val="nil"/>
              <w:right w:val="nil"/>
            </w:tcBorders>
            <w:shd w:val="clear" w:color="auto" w:fill="F2F2F2"/>
            <w:tcMar>
              <w:top w:w="80" w:type="dxa"/>
              <w:left w:w="140" w:type="dxa"/>
              <w:bottom w:w="80" w:type="dxa"/>
              <w:right w:w="140" w:type="dxa"/>
            </w:tcMar>
          </w:tcPr>
          <w:p w14:paraId="099465F6">
            <w:pPr>
              <w:jc w:val="center"/>
            </w:pPr>
            <w:r>
              <w:rPr>
                <w:rFonts w:ascii="Arial" w:hAnsi="Arial" w:eastAsia="Arial" w:cs="Arial"/>
                <w:b w:val="0"/>
                <w:bCs w:val="0"/>
                <w:color w:val="222222"/>
                <w:sz w:val="20"/>
                <w:szCs w:val="20"/>
              </w:rPr>
              <w:t>0.775</w:t>
            </w:r>
          </w:p>
        </w:tc>
      </w:tr>
      <w:tr w14:paraId="48B9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cMar>
              <w:top w:w="80" w:type="dxa"/>
              <w:left w:w="140" w:type="dxa"/>
              <w:bottom w:w="80" w:type="dxa"/>
              <w:right w:w="140" w:type="dxa"/>
            </w:tcMar>
          </w:tcPr>
          <w:p w14:paraId="043489F9">
            <w:r>
              <w:rPr>
                <w:rFonts w:ascii="Arial" w:hAnsi="Arial" w:eastAsia="Arial" w:cs="Arial"/>
                <w:b w:val="0"/>
                <w:bCs w:val="0"/>
                <w:color w:val="222222"/>
                <w:sz w:val="20"/>
                <w:szCs w:val="20"/>
              </w:rPr>
              <w:t>Adjusted R²</w:t>
            </w:r>
          </w:p>
        </w:tc>
        <w:tc>
          <w:tcPr>
            <w:tcW w:w="1600" w:type="dxa"/>
            <w:tcBorders>
              <w:top w:val="nil"/>
              <w:left w:val="nil"/>
              <w:bottom w:val="nil"/>
              <w:right w:val="nil"/>
            </w:tcBorders>
            <w:shd w:val="clear" w:color="auto" w:fill="FFFFFF"/>
            <w:tcMar>
              <w:top w:w="80" w:type="dxa"/>
              <w:left w:w="140" w:type="dxa"/>
              <w:bottom w:w="80" w:type="dxa"/>
              <w:right w:w="140" w:type="dxa"/>
            </w:tcMar>
          </w:tcPr>
          <w:p w14:paraId="2CD528DF">
            <w:pPr>
              <w:jc w:val="center"/>
            </w:pPr>
            <w:r>
              <w:rPr>
                <w:rFonts w:ascii="Arial" w:hAnsi="Arial" w:eastAsia="Arial" w:cs="Arial"/>
                <w:b w:val="0"/>
                <w:bCs w:val="0"/>
                <w:color w:val="222222"/>
                <w:sz w:val="20"/>
                <w:szCs w:val="20"/>
              </w:rPr>
              <w:t>0.628</w:t>
            </w:r>
          </w:p>
        </w:tc>
        <w:tc>
          <w:tcPr>
            <w:tcW w:w="1600" w:type="dxa"/>
            <w:tcBorders>
              <w:top w:val="nil"/>
              <w:left w:val="nil"/>
              <w:bottom w:val="nil"/>
              <w:right w:val="nil"/>
            </w:tcBorders>
            <w:shd w:val="clear" w:color="auto" w:fill="FFFFFF"/>
            <w:tcMar>
              <w:top w:w="80" w:type="dxa"/>
              <w:left w:w="140" w:type="dxa"/>
              <w:bottom w:w="80" w:type="dxa"/>
              <w:right w:w="140" w:type="dxa"/>
            </w:tcMar>
          </w:tcPr>
          <w:p w14:paraId="62C71D63">
            <w:pPr>
              <w:jc w:val="center"/>
            </w:pPr>
            <w:r>
              <w:rPr>
                <w:rFonts w:ascii="Arial" w:hAnsi="Arial" w:eastAsia="Arial" w:cs="Arial"/>
                <w:b w:val="0"/>
                <w:bCs w:val="0"/>
                <w:color w:val="222222"/>
                <w:sz w:val="20"/>
                <w:szCs w:val="20"/>
              </w:rPr>
              <w:t>0.770</w:t>
            </w:r>
          </w:p>
        </w:tc>
        <w:tc>
          <w:tcPr>
            <w:tcW w:w="1700" w:type="dxa"/>
            <w:tcBorders>
              <w:top w:val="nil"/>
              <w:left w:val="nil"/>
              <w:bottom w:val="nil"/>
              <w:right w:val="nil"/>
            </w:tcBorders>
            <w:shd w:val="clear" w:color="auto" w:fill="FFFFFF"/>
            <w:tcMar>
              <w:top w:w="80" w:type="dxa"/>
              <w:left w:w="140" w:type="dxa"/>
              <w:bottom w:w="80" w:type="dxa"/>
              <w:right w:w="140" w:type="dxa"/>
            </w:tcMar>
          </w:tcPr>
          <w:p w14:paraId="1E23644F">
            <w:pPr>
              <w:jc w:val="center"/>
            </w:pPr>
            <w:r>
              <w:rPr>
                <w:rFonts w:ascii="Arial" w:hAnsi="Arial" w:eastAsia="Arial" w:cs="Arial"/>
                <w:b w:val="0"/>
                <w:bCs w:val="0"/>
                <w:color w:val="222222"/>
                <w:sz w:val="20"/>
                <w:szCs w:val="20"/>
              </w:rPr>
              <w:t>0.776</w:t>
            </w:r>
          </w:p>
        </w:tc>
        <w:tc>
          <w:tcPr>
            <w:tcW w:w="1660" w:type="dxa"/>
            <w:tcBorders>
              <w:top w:val="nil"/>
              <w:left w:val="nil"/>
              <w:bottom w:val="nil"/>
              <w:right w:val="nil"/>
            </w:tcBorders>
            <w:shd w:val="clear" w:color="auto" w:fill="FFFFFF"/>
            <w:tcMar>
              <w:top w:w="80" w:type="dxa"/>
              <w:left w:w="140" w:type="dxa"/>
              <w:bottom w:w="80" w:type="dxa"/>
              <w:right w:w="140" w:type="dxa"/>
            </w:tcMar>
          </w:tcPr>
          <w:p w14:paraId="68250DB8">
            <w:pPr>
              <w:jc w:val="center"/>
            </w:pPr>
            <w:r>
              <w:rPr>
                <w:rFonts w:ascii="Arial" w:hAnsi="Arial" w:eastAsia="Arial" w:cs="Arial"/>
                <w:b w:val="0"/>
                <w:bCs w:val="0"/>
                <w:color w:val="222222"/>
                <w:sz w:val="20"/>
                <w:szCs w:val="20"/>
              </w:rPr>
              <w:t>0.766</w:t>
            </w:r>
          </w:p>
        </w:tc>
      </w:tr>
      <w:tr w14:paraId="0895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160" w:type="dxa"/>
            <w:gridSpan w:val="5"/>
            <w:tcBorders>
              <w:top w:val="single" w:color="CCCCCC" w:sz="0" w:space="0"/>
              <w:left w:val="nil"/>
              <w:bottom w:val="nil"/>
              <w:right w:val="nil"/>
            </w:tcBorders>
            <w:shd w:val="clear" w:color="auto" w:fill="FFFFFF"/>
            <w:tcMar>
              <w:top w:w="80" w:type="dxa"/>
              <w:left w:w="140" w:type="dxa"/>
              <w:bottom w:w="80" w:type="dxa"/>
              <w:right w:w="140" w:type="dxa"/>
            </w:tcMar>
          </w:tcPr>
          <w:p w14:paraId="42C54451">
            <w:pPr>
              <w:spacing w:before="60" w:after="60"/>
            </w:pPr>
            <w:r>
              <w:rPr>
                <w:rFonts w:ascii="Arial" w:hAnsi="Arial" w:eastAsia="Arial" w:cs="Arial"/>
                <w:i/>
                <w:iCs/>
                <w:color w:val="555555"/>
                <w:sz w:val="18"/>
                <w:szCs w:val="18"/>
              </w:rPr>
              <w:t>Standard errors in parentheses.  * p&lt;0.10  ** p&lt;0.05  *** p&lt;0.01  Data: World Happiness Report 2019. N = 156 countries.</w:t>
            </w:r>
          </w:p>
        </w:tc>
      </w:tr>
    </w:tbl>
    <w:p w14:paraId="56444520">
      <w:pPr>
        <w:spacing w:before="0" w:after="200"/>
      </w:pPr>
    </w:p>
    <w:p w14:paraId="738BDBCD">
      <w:pPr>
        <w:spacing w:before="0" w:after="160"/>
        <w:jc w:val="both"/>
      </w:pPr>
      <w:r>
        <w:rPr>
          <w:rFonts w:ascii="Arial" w:hAnsi="Arial" w:eastAsia="Arial" w:cs="Arial"/>
          <w:b/>
          <w:bCs/>
          <w:color w:val="222222"/>
          <w:sz w:val="22"/>
          <w:szCs w:val="22"/>
        </w:rPr>
        <w:t xml:space="preserve">Model 1 (Bivariate): </w:t>
      </w:r>
      <w:r>
        <w:rPr>
          <w:rFonts w:ascii="Arial" w:hAnsi="Arial" w:eastAsia="Arial" w:cs="Arial"/>
          <w:color w:val="222222"/>
          <w:sz w:val="22"/>
          <w:szCs w:val="22"/>
        </w:rPr>
        <w:t>GDP per capita alone explains 63% of the variation in happiness (R² = 0.630). Each one-unit increase in GDP per capita is associated with a 2.218-point increase in happiness score — a large, highly significant effect (p&lt;0.01). This confirms the baseline relevance of the main predictor.</w:t>
      </w:r>
    </w:p>
    <w:p w14:paraId="5430AA40">
      <w:pPr>
        <w:spacing w:before="0" w:after="160"/>
        <w:jc w:val="both"/>
      </w:pPr>
      <w:r>
        <w:rPr>
          <w:rFonts w:ascii="Arial" w:hAnsi="Arial" w:eastAsia="Arial" w:cs="Arial"/>
          <w:b/>
          <w:bCs/>
          <w:color w:val="222222"/>
          <w:sz w:val="22"/>
          <w:szCs w:val="22"/>
        </w:rPr>
        <w:t xml:space="preserve">Model 2 (Full Controls): </w:t>
      </w:r>
      <w:r>
        <w:rPr>
          <w:rFonts w:ascii="Arial" w:hAnsi="Arial" w:eastAsia="Arial" w:cs="Arial"/>
          <w:color w:val="222222"/>
          <w:sz w:val="22"/>
          <w:szCs w:val="22"/>
        </w:rPr>
        <w:t>Adding social support, life expectancy, freedom, generosity, and corruption raises explanatory power to 77.9%. GDP per capita remains significant (β = 0.775, p&lt;0.01), though its coefficient falls sharply — indicating that part of its bivariate effect was attributable to correlated factors. Social support (β = 1.124), life expectancy (β = 1.078), and freedom (β = 1.455) all emerge as independently significant drivers of happiness. Generosity is not significant. Corruption is marginally significant (p&lt;0.10).</w:t>
      </w:r>
    </w:p>
    <w:p w14:paraId="564E36FF">
      <w:pPr>
        <w:spacing w:before="0" w:after="160"/>
        <w:jc w:val="both"/>
      </w:pPr>
      <w:r>
        <w:rPr>
          <w:rFonts w:ascii="Arial" w:hAnsi="Arial" w:eastAsia="Arial" w:cs="Arial"/>
          <w:b/>
          <w:bCs/>
          <w:color w:val="222222"/>
          <w:sz w:val="22"/>
          <w:szCs w:val="22"/>
        </w:rPr>
        <w:t xml:space="preserve">Model 3 (GDP × Freedom Interaction): </w:t>
      </w:r>
      <w:r>
        <w:rPr>
          <w:rFonts w:ascii="Arial" w:hAnsi="Arial" w:eastAsia="Arial" w:cs="Arial"/>
          <w:color w:val="222222"/>
          <w:sz w:val="22"/>
          <w:szCs w:val="22"/>
        </w:rPr>
        <w:t>The interaction term between GDP and freedom is positive and significant (β = 1.828, p&lt;0.05). This reveals that wealth has a stronger happiness payoff in countries where citizens feel free to make life choices — GDP and freedom are complements, not substitutes. Notably, when the interaction is included, the direct coefficients on GDP and freedom individually become insignificant, as is standard when interpreting interaction models.</w:t>
      </w:r>
    </w:p>
    <w:p w14:paraId="15B51146">
      <w:pPr>
        <w:spacing w:before="0" w:after="200"/>
        <w:jc w:val="both"/>
      </w:pPr>
      <w:r>
        <w:rPr>
          <w:rFonts w:ascii="Arial" w:hAnsi="Arial" w:eastAsia="Arial" w:cs="Arial"/>
          <w:b/>
          <w:bCs/>
          <w:color w:val="222222"/>
          <w:sz w:val="22"/>
          <w:szCs w:val="22"/>
        </w:rPr>
        <w:t xml:space="preserve">Model 4 (Log-Linear): </w:t>
      </w:r>
      <w:r>
        <w:rPr>
          <w:rFonts w:ascii="Arial" w:hAnsi="Arial" w:eastAsia="Arial" w:cs="Arial"/>
          <w:color w:val="222222"/>
          <w:sz w:val="22"/>
          <w:szCs w:val="22"/>
        </w:rPr>
        <w:t>Using log happiness as the outcome confirms direction and significance of all key results. GDP per capita (β = 0.142, p&lt;0.01), social support, life expectancy, and freedom all remain significant, providing robustness to the functional form assumption.</w:t>
      </w:r>
    </w:p>
    <w:p w14:paraId="48011489">
      <w:pPr>
        <w:pBdr>
          <w:bottom w:val="single" w:color="2E75B6" w:sz="6" w:space="4"/>
        </w:pBdr>
        <w:spacing w:before="280" w:after="100"/>
      </w:pPr>
      <w:r>
        <w:rPr>
          <w:rFonts w:ascii="Arial" w:hAnsi="Arial" w:eastAsia="Arial" w:cs="Arial"/>
          <w:b/>
          <w:bCs/>
          <w:color w:val="1F3864"/>
          <w:sz w:val="24"/>
          <w:szCs w:val="24"/>
        </w:rPr>
        <w:t>4. VISUAL EVIDENCE</w:t>
      </w:r>
    </w:p>
    <w:p w14:paraId="3ABA342D">
      <w:pPr>
        <w:spacing w:before="0" w:after="100"/>
      </w:pPr>
    </w:p>
    <w:p w14:paraId="1B33749F">
      <w:pPr>
        <w:spacing w:before="0" w:after="60"/>
        <w:rPr>
          <w:rFonts w:ascii="Arial" w:hAnsi="Arial" w:eastAsia="Arial" w:cs="Arial"/>
          <w:b/>
          <w:bCs/>
          <w:color w:val="222222"/>
          <w:sz w:val="22"/>
          <w:szCs w:val="22"/>
        </w:rPr>
      </w:pPr>
      <w:r>
        <w:rPr>
          <w:rFonts w:ascii="Arial" w:hAnsi="Arial" w:eastAsia="Arial" w:cs="Arial"/>
          <w:b/>
          <w:bCs/>
          <w:color w:val="222222"/>
          <w:sz w:val="22"/>
          <w:szCs w:val="22"/>
        </w:rPr>
        <w:t>Graph 1 — GDP per Capita vs. Happiness Score (2019)</w:t>
      </w:r>
    </w:p>
    <w:p w14:paraId="1637D1F2">
      <w:pPr>
        <w:spacing w:before="0" w:after="60"/>
        <w:rPr>
          <w:rFonts w:hint="default" w:ascii="Arial" w:hAnsi="Arial" w:eastAsia="Arial" w:cs="Arial"/>
          <w:b/>
          <w:bCs/>
          <w:color w:val="222222"/>
          <w:sz w:val="22"/>
          <w:szCs w:val="22"/>
          <w:lang w:val="en-US"/>
        </w:rPr>
      </w:pPr>
      <w:r>
        <w:rPr>
          <w:rFonts w:hint="default" w:ascii="Arial" w:hAnsi="Arial" w:eastAsia="Arial" w:cs="Arial"/>
          <w:b/>
          <w:bCs/>
          <w:color w:val="222222"/>
          <w:sz w:val="22"/>
          <w:szCs w:val="22"/>
          <w:lang w:val="en-US"/>
        </w:rPr>
        <w:drawing>
          <wp:inline distT="0" distB="0" distL="114300" distR="114300">
            <wp:extent cx="6172200" cy="4490085"/>
            <wp:effectExtent l="0" t="0" r="0" b="5715"/>
            <wp:docPr id="1" name="Picture 1" descr="graph1_gdp_happiness_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1_gdp_happiness_2019"/>
                    <pic:cNvPicPr>
                      <a:picLocks noChangeAspect="1"/>
                    </pic:cNvPicPr>
                  </pic:nvPicPr>
                  <pic:blipFill>
                    <a:blip r:embed="rId6"/>
                    <a:stretch>
                      <a:fillRect/>
                    </a:stretch>
                  </pic:blipFill>
                  <pic:spPr>
                    <a:xfrm>
                      <a:off x="0" y="0"/>
                      <a:ext cx="6172200" cy="4490085"/>
                    </a:xfrm>
                    <a:prstGeom prst="rect">
                      <a:avLst/>
                    </a:prstGeom>
                  </pic:spPr>
                </pic:pic>
              </a:graphicData>
            </a:graphic>
          </wp:inline>
        </w:drawing>
      </w:r>
    </w:p>
    <w:p w14:paraId="14BB1ECA">
      <w:pPr>
        <w:spacing w:before="0" w:after="160"/>
        <w:jc w:val="both"/>
      </w:pPr>
      <w:r>
        <w:rPr>
          <w:rFonts w:ascii="Arial" w:hAnsi="Arial" w:eastAsia="Arial" w:cs="Arial"/>
          <w:color w:val="222222"/>
          <w:sz w:val="22"/>
          <w:szCs w:val="22"/>
        </w:rPr>
        <w:t>The scatterplot shows a strong upward linear relationship between GDP per capita and happiness. The best-fit line runs cleanly through the cloud of 156 country-observations, with wealthier nations consistently scoring higher on the Cantril ladder. This visual directly supports the large, significant coefficient in Model 1 (β = 2.218) and establishes the core motivation for the research question.</w:t>
      </w:r>
    </w:p>
    <w:p w14:paraId="28964476">
      <w:pPr>
        <w:spacing w:before="0" w:after="160"/>
      </w:pPr>
    </w:p>
    <w:p w14:paraId="240C21E4">
      <w:pPr>
        <w:spacing w:before="0" w:after="60"/>
        <w:rPr>
          <w:rFonts w:ascii="Arial" w:hAnsi="Arial" w:eastAsia="Arial" w:cs="Arial"/>
          <w:b/>
          <w:bCs/>
          <w:color w:val="222222"/>
          <w:sz w:val="22"/>
          <w:szCs w:val="22"/>
        </w:rPr>
      </w:pPr>
      <w:r>
        <w:rPr>
          <w:rFonts w:ascii="Arial" w:hAnsi="Arial" w:eastAsia="Arial" w:cs="Arial"/>
          <w:b/>
          <w:bCs/>
          <w:color w:val="222222"/>
          <w:sz w:val="22"/>
          <w:szCs w:val="22"/>
        </w:rPr>
        <w:t>Graph 2 — Average Happiness by Freedom Quartile (2019)</w:t>
      </w:r>
    </w:p>
    <w:p w14:paraId="269E16C1">
      <w:pPr>
        <w:spacing w:before="0" w:after="60"/>
        <w:rPr>
          <w:rFonts w:hint="default" w:ascii="Arial" w:hAnsi="Arial" w:eastAsia="Arial" w:cs="Arial"/>
          <w:b/>
          <w:bCs/>
          <w:color w:val="222222"/>
          <w:sz w:val="22"/>
          <w:szCs w:val="22"/>
          <w:lang w:val="en-US"/>
        </w:rPr>
      </w:pPr>
      <w:r>
        <w:rPr>
          <w:rFonts w:hint="default" w:ascii="Arial" w:hAnsi="Arial" w:eastAsia="Arial" w:cs="Arial"/>
          <w:b/>
          <w:bCs/>
          <w:color w:val="222222"/>
          <w:sz w:val="22"/>
          <w:szCs w:val="22"/>
          <w:lang w:val="en-US"/>
        </w:rPr>
        <w:drawing>
          <wp:inline distT="0" distB="0" distL="114300" distR="114300">
            <wp:extent cx="6172200" cy="4490085"/>
            <wp:effectExtent l="0" t="0" r="0" b="5715"/>
            <wp:docPr id="2" name="Picture 2" descr="graph2_freedom_happiness_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2_freedom_happiness_2019"/>
                    <pic:cNvPicPr>
                      <a:picLocks noChangeAspect="1"/>
                    </pic:cNvPicPr>
                  </pic:nvPicPr>
                  <pic:blipFill>
                    <a:blip r:embed="rId7"/>
                    <a:stretch>
                      <a:fillRect/>
                    </a:stretch>
                  </pic:blipFill>
                  <pic:spPr>
                    <a:xfrm>
                      <a:off x="0" y="0"/>
                      <a:ext cx="6172200" cy="4490085"/>
                    </a:xfrm>
                    <a:prstGeom prst="rect">
                      <a:avLst/>
                    </a:prstGeom>
                  </pic:spPr>
                </pic:pic>
              </a:graphicData>
            </a:graphic>
          </wp:inline>
        </w:drawing>
      </w:r>
    </w:p>
    <w:p w14:paraId="330877B0">
      <w:pPr>
        <w:spacing w:before="0" w:after="160"/>
        <w:jc w:val="both"/>
      </w:pPr>
      <w:r>
        <w:rPr>
          <w:rFonts w:ascii="Arial" w:hAnsi="Arial" w:eastAsia="Arial" w:cs="Arial"/>
          <w:color w:val="222222"/>
          <w:sz w:val="22"/>
          <w:szCs w:val="22"/>
        </w:rPr>
        <w:t>Countries are sorted into four groups by their freedom score. Average happiness rises monotonically from Q1 (4.68) to Q2 (5.07) to Q3 (5.67) to Q4 (6.23) — a 1.55-point gap between the least and most free groups. The pattern is consistent and gap-free, confirming that freedom is not merely correlated with GDP but carries an independent relationship with wellbeing, consistent with the significant freedom coefficient in Model 2 (β = 1.455, p&lt;0.01).</w:t>
      </w:r>
    </w:p>
    <w:p w14:paraId="7BE0E6EA">
      <w:pPr>
        <w:spacing w:before="0" w:after="160"/>
      </w:pPr>
    </w:p>
    <w:p w14:paraId="2BCFF740">
      <w:pPr>
        <w:spacing w:before="0" w:after="60"/>
        <w:rPr>
          <w:rFonts w:ascii="Arial" w:hAnsi="Arial" w:eastAsia="Arial" w:cs="Arial"/>
          <w:b/>
          <w:bCs/>
          <w:color w:val="222222"/>
          <w:sz w:val="22"/>
          <w:szCs w:val="22"/>
        </w:rPr>
      </w:pPr>
      <w:r>
        <w:rPr>
          <w:rFonts w:ascii="Arial" w:hAnsi="Arial" w:eastAsia="Arial" w:cs="Arial"/>
          <w:b/>
          <w:bCs/>
          <w:color w:val="222222"/>
          <w:sz w:val="22"/>
          <w:szCs w:val="22"/>
        </w:rPr>
        <w:t>Graph 3 — GDP vs. Happiness by Corruption Level (2019)</w:t>
      </w:r>
    </w:p>
    <w:p w14:paraId="78ED9E40">
      <w:pPr>
        <w:spacing w:before="0" w:after="60"/>
        <w:rPr>
          <w:rFonts w:hint="default" w:ascii="Arial" w:hAnsi="Arial" w:eastAsia="Arial" w:cs="Arial"/>
          <w:b/>
          <w:bCs/>
          <w:color w:val="222222"/>
          <w:sz w:val="22"/>
          <w:szCs w:val="22"/>
          <w:lang w:val="en-US"/>
        </w:rPr>
      </w:pPr>
      <w:r>
        <w:rPr>
          <w:rFonts w:hint="default" w:ascii="Arial" w:hAnsi="Arial" w:eastAsia="Arial" w:cs="Arial"/>
          <w:b/>
          <w:bCs/>
          <w:color w:val="222222"/>
          <w:sz w:val="22"/>
          <w:szCs w:val="22"/>
          <w:lang w:val="en-US"/>
        </w:rPr>
        <w:drawing>
          <wp:inline distT="0" distB="0" distL="114300" distR="114300">
            <wp:extent cx="6172200" cy="4490085"/>
            <wp:effectExtent l="0" t="0" r="0" b="5715"/>
            <wp:docPr id="3" name="Picture 3" descr="graph3_corruption_split_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3_corruption_split_2019"/>
                    <pic:cNvPicPr>
                      <a:picLocks noChangeAspect="1"/>
                    </pic:cNvPicPr>
                  </pic:nvPicPr>
                  <pic:blipFill>
                    <a:blip r:embed="rId8"/>
                    <a:stretch>
                      <a:fillRect/>
                    </a:stretch>
                  </pic:blipFill>
                  <pic:spPr>
                    <a:xfrm>
                      <a:off x="0" y="0"/>
                      <a:ext cx="6172200" cy="4490085"/>
                    </a:xfrm>
                    <a:prstGeom prst="rect">
                      <a:avLst/>
                    </a:prstGeom>
                  </pic:spPr>
                </pic:pic>
              </a:graphicData>
            </a:graphic>
          </wp:inline>
        </w:drawing>
      </w:r>
    </w:p>
    <w:p w14:paraId="3BA23F7A">
      <w:pPr>
        <w:spacing w:before="0" w:after="160"/>
        <w:jc w:val="both"/>
      </w:pPr>
      <w:r>
        <w:rPr>
          <w:rFonts w:ascii="Arial" w:hAnsi="Arial" w:eastAsia="Arial" w:cs="Arial"/>
          <w:color w:val="222222"/>
          <w:sz w:val="22"/>
          <w:szCs w:val="22"/>
        </w:rPr>
        <w:t>Countries are split at the median corruption score. Both high- and low-corruption groups display the same positive GDP-happiness trend, and the two groups are broadly interleaved across the scatter — with no strong separation. This visual is consistent with the regression: in Model 2, corruption is only marginally significant (p&lt;0.10), and in the interaction model it becomes insignificant entirely. Corruption, at least in this cross-section, does not appear to substantially moderate how wealth translates into happiness.</w:t>
      </w:r>
    </w:p>
    <w:p w14:paraId="048089AC">
      <w:pPr>
        <w:spacing w:before="0" w:after="160"/>
      </w:pPr>
    </w:p>
    <w:p w14:paraId="5451548E">
      <w:pPr>
        <w:spacing w:before="0" w:after="60"/>
        <w:rPr>
          <w:rFonts w:ascii="Arial" w:hAnsi="Arial" w:eastAsia="Arial" w:cs="Arial"/>
          <w:b/>
          <w:bCs/>
          <w:color w:val="222222"/>
          <w:sz w:val="22"/>
          <w:szCs w:val="22"/>
        </w:rPr>
      </w:pPr>
      <w:r>
        <w:rPr>
          <w:rFonts w:ascii="Arial" w:hAnsi="Arial" w:eastAsia="Arial" w:cs="Arial"/>
          <w:b/>
          <w:bCs/>
          <w:color w:val="222222"/>
          <w:sz w:val="22"/>
          <w:szCs w:val="22"/>
        </w:rPr>
        <w:t>Graph 4 — Global Average Happiness Trend (2015–2019)</w:t>
      </w:r>
    </w:p>
    <w:p w14:paraId="6BFAA1DF">
      <w:pPr>
        <w:spacing w:before="0" w:after="60"/>
        <w:rPr>
          <w:rFonts w:hint="default" w:ascii="Arial" w:hAnsi="Arial" w:eastAsia="Arial" w:cs="Arial"/>
          <w:b/>
          <w:bCs/>
          <w:color w:val="222222"/>
          <w:sz w:val="22"/>
          <w:szCs w:val="22"/>
          <w:lang w:val="en-US"/>
        </w:rPr>
      </w:pPr>
      <w:r>
        <w:rPr>
          <w:rFonts w:hint="default" w:ascii="Arial" w:hAnsi="Arial" w:eastAsia="Arial" w:cs="Arial"/>
          <w:b/>
          <w:bCs/>
          <w:color w:val="222222"/>
          <w:sz w:val="22"/>
          <w:szCs w:val="22"/>
          <w:lang w:val="en-US"/>
        </w:rPr>
        <w:drawing>
          <wp:inline distT="0" distB="0" distL="114300" distR="114300">
            <wp:extent cx="6172200" cy="4490085"/>
            <wp:effectExtent l="0" t="0" r="0" b="5715"/>
            <wp:docPr id="4" name="Picture 4" descr="graph4_trend_2015_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4_trend_2015_2019"/>
                    <pic:cNvPicPr>
                      <a:picLocks noChangeAspect="1"/>
                    </pic:cNvPicPr>
                  </pic:nvPicPr>
                  <pic:blipFill>
                    <a:blip r:embed="rId9"/>
                    <a:stretch>
                      <a:fillRect/>
                    </a:stretch>
                  </pic:blipFill>
                  <pic:spPr>
                    <a:xfrm>
                      <a:off x="0" y="0"/>
                      <a:ext cx="6172200" cy="4490085"/>
                    </a:xfrm>
                    <a:prstGeom prst="rect">
                      <a:avLst/>
                    </a:prstGeom>
                  </pic:spPr>
                </pic:pic>
              </a:graphicData>
            </a:graphic>
          </wp:inline>
        </w:drawing>
      </w:r>
    </w:p>
    <w:p w14:paraId="1534766C">
      <w:pPr>
        <w:spacing w:before="0" w:after="160"/>
        <w:jc w:val="both"/>
      </w:pPr>
      <w:r>
        <w:rPr>
          <w:rFonts w:ascii="Arial" w:hAnsi="Arial" w:eastAsia="Arial" w:cs="Arial"/>
          <w:color w:val="222222"/>
          <w:sz w:val="22"/>
          <w:szCs w:val="22"/>
        </w:rPr>
        <w:t xml:space="preserve">Using the full five-year panel, average global happiness was remarkably stable: 5.378 (2015), 5.381 (2016), 5.358 (2017), 5.380 (2018), and 5.409 (2019). </w:t>
      </w:r>
      <w:r>
        <w:rPr>
          <w:rFonts w:hint="default" w:cs="Arial"/>
          <w:color w:val="222222"/>
          <w:sz w:val="22"/>
          <w:szCs w:val="22"/>
          <w:lang w:val="en-US"/>
        </w:rPr>
        <w:t xml:space="preserve">While on first glance it may seem that 2019 is an outlier year, however, that’s not the case since if we look at the x-axis, the values are pretty close together, even if we zoom out a bit, the trend will depict a near flat horizontal line. </w:t>
      </w:r>
      <w:bookmarkStart w:id="0" w:name="_GoBack"/>
      <w:bookmarkEnd w:id="0"/>
      <w:r>
        <w:rPr>
          <w:rFonts w:ascii="Arial" w:hAnsi="Arial" w:eastAsia="Arial" w:cs="Arial"/>
          <w:color w:val="222222"/>
          <w:sz w:val="22"/>
          <w:szCs w:val="22"/>
        </w:rPr>
        <w:t>The near-flat trend confirms that 2019 is a representative year and not an outlier driven by an unusual global event — validating the decision to focus the regression on the 2019 cross-section.</w:t>
      </w:r>
    </w:p>
    <w:p w14:paraId="262E8C23">
      <w:pPr>
        <w:spacing w:before="0" w:after="160"/>
      </w:pPr>
    </w:p>
    <w:p w14:paraId="295C475A">
      <w:pPr>
        <w:spacing w:before="0" w:after="60"/>
        <w:rPr>
          <w:rFonts w:ascii="Arial" w:hAnsi="Arial" w:eastAsia="Arial" w:cs="Arial"/>
          <w:b/>
          <w:bCs/>
          <w:color w:val="222222"/>
          <w:sz w:val="22"/>
          <w:szCs w:val="22"/>
        </w:rPr>
      </w:pPr>
      <w:r>
        <w:rPr>
          <w:rFonts w:ascii="Arial" w:hAnsi="Arial" w:eastAsia="Arial" w:cs="Arial"/>
          <w:b/>
          <w:bCs/>
          <w:color w:val="222222"/>
          <w:sz w:val="22"/>
          <w:szCs w:val="22"/>
        </w:rPr>
        <w:t>Graph 5 — Actual vs. Predicted Happiness (Model 2, 2019)</w:t>
      </w:r>
    </w:p>
    <w:p w14:paraId="60E1093B">
      <w:pPr>
        <w:spacing w:before="0" w:after="60"/>
        <w:rPr>
          <w:rFonts w:hint="default" w:ascii="Arial" w:hAnsi="Arial" w:eastAsia="Arial" w:cs="Arial"/>
          <w:b/>
          <w:bCs/>
          <w:color w:val="222222"/>
          <w:sz w:val="22"/>
          <w:szCs w:val="22"/>
          <w:lang w:val="en-US"/>
        </w:rPr>
      </w:pPr>
      <w:r>
        <w:rPr>
          <w:rFonts w:hint="default" w:ascii="Arial" w:hAnsi="Arial" w:eastAsia="Arial" w:cs="Arial"/>
          <w:b/>
          <w:bCs/>
          <w:color w:val="222222"/>
          <w:sz w:val="22"/>
          <w:szCs w:val="22"/>
          <w:lang w:val="en-US"/>
        </w:rPr>
        <w:drawing>
          <wp:inline distT="0" distB="0" distL="114300" distR="114300">
            <wp:extent cx="6172200" cy="4490085"/>
            <wp:effectExtent l="0" t="0" r="0" b="5715"/>
            <wp:docPr id="5" name="Picture 5" descr="graph5_actual_vs_predicted_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5_actual_vs_predicted_2019"/>
                    <pic:cNvPicPr>
                      <a:picLocks noChangeAspect="1"/>
                    </pic:cNvPicPr>
                  </pic:nvPicPr>
                  <pic:blipFill>
                    <a:blip r:embed="rId10"/>
                    <a:stretch>
                      <a:fillRect/>
                    </a:stretch>
                  </pic:blipFill>
                  <pic:spPr>
                    <a:xfrm>
                      <a:off x="0" y="0"/>
                      <a:ext cx="6172200" cy="4490085"/>
                    </a:xfrm>
                    <a:prstGeom prst="rect">
                      <a:avLst/>
                    </a:prstGeom>
                  </pic:spPr>
                </pic:pic>
              </a:graphicData>
            </a:graphic>
          </wp:inline>
        </w:drawing>
      </w:r>
    </w:p>
    <w:p w14:paraId="34296792">
      <w:pPr>
        <w:spacing w:before="0" w:after="160"/>
        <w:jc w:val="both"/>
      </w:pPr>
      <w:r>
        <w:rPr>
          <w:rFonts w:ascii="Arial" w:hAnsi="Arial" w:eastAsia="Arial" w:cs="Arial"/>
          <w:color w:val="222222"/>
          <w:sz w:val="22"/>
          <w:szCs w:val="22"/>
        </w:rPr>
        <w:t>Predicted happiness scores from the full model are plotted against actual values. Points cluster tightly around the 45-degree line across the full range of happiness scores (roughly 3 to 8), with no systematic curvature or fan-shaped spread. This confirms that the model fits well and that its predictions are unbiased, lending confidence to the coefficient interpretations in Model 2.</w:t>
      </w:r>
    </w:p>
    <w:p w14:paraId="7981788C">
      <w:pPr>
        <w:spacing w:before="0" w:after="240"/>
      </w:pPr>
    </w:p>
    <w:p w14:paraId="12518A55">
      <w:pPr>
        <w:pBdr>
          <w:bottom w:val="single" w:color="2E75B6" w:sz="6" w:space="4"/>
        </w:pBdr>
        <w:spacing w:before="280" w:after="100"/>
      </w:pPr>
      <w:r>
        <w:rPr>
          <w:rFonts w:ascii="Arial" w:hAnsi="Arial" w:eastAsia="Arial" w:cs="Arial"/>
          <w:b/>
          <w:bCs/>
          <w:color w:val="1F3864"/>
          <w:sz w:val="24"/>
          <w:szCs w:val="24"/>
        </w:rPr>
        <w:t>5. SUMMARY OF FINDINGS</w:t>
      </w:r>
    </w:p>
    <w:p w14:paraId="49FCCF0B">
      <w:pPr>
        <w:spacing w:before="0" w:after="100"/>
      </w:pPr>
    </w:p>
    <w:p w14:paraId="4E52EC73">
      <w:pPr>
        <w:spacing w:before="0" w:after="200"/>
        <w:jc w:val="both"/>
      </w:pPr>
      <w:r>
        <w:rPr>
          <w:rFonts w:ascii="Arial" w:hAnsi="Arial" w:eastAsia="Arial" w:cs="Arial"/>
          <w:color w:val="222222"/>
          <w:sz w:val="22"/>
          <w:szCs w:val="22"/>
        </w:rPr>
        <w:t>This analysis finds strong evidence that GDP per capita is a significant positive predictor of national happiness, even after controlling for social and institutional factors. However, wealth alone does not tell the full story. Social support and healthy life expectancy each contribute independently and substantially to happiness, while the GDP-freedom interaction reveals that economic gains translate more strongly into wellbeing in countries where citizens feel free to shape their own lives. Corruption shows only weak and inconsistent effects in this cross-section. The five-year trend confirms that 2019 findings are representative of the period broadly, and the model fit graph demonstrates that the full model explains approximately 78% of cross-country variation in happiness. Taken together, the evidence suggests that sustainable improvements in national wellbeing require not just economic growth, but parallel investment in social systems, health, and individual freedoms.</w:t>
      </w:r>
    </w:p>
    <w:p w14:paraId="7FEDD987">
      <w:pPr>
        <w:pBdr>
          <w:bottom w:val="single" w:color="2E75B6" w:sz="6" w:space="4"/>
        </w:pBdr>
        <w:spacing w:before="280" w:after="100"/>
      </w:pPr>
      <w:r>
        <w:rPr>
          <w:rFonts w:ascii="Arial" w:hAnsi="Arial" w:eastAsia="Arial" w:cs="Arial"/>
          <w:b/>
          <w:bCs/>
          <w:color w:val="1F3864"/>
          <w:sz w:val="24"/>
          <w:szCs w:val="24"/>
        </w:rPr>
        <w:t>6. LIMITATIONS</w:t>
      </w:r>
    </w:p>
    <w:p w14:paraId="1714F3A3">
      <w:pPr>
        <w:spacing w:before="0" w:after="100"/>
      </w:pPr>
    </w:p>
    <w:p w14:paraId="5AD0BCEE">
      <w:pPr>
        <w:spacing w:before="0" w:after="200"/>
        <w:jc w:val="both"/>
      </w:pPr>
      <w:r>
        <w:rPr>
          <w:rFonts w:ascii="Arial" w:hAnsi="Arial" w:eastAsia="Arial" w:cs="Arial"/>
          <w:color w:val="222222"/>
          <w:sz w:val="22"/>
          <w:szCs w:val="22"/>
        </w:rPr>
        <w:t>Cross-sectional OLS cannot establish causality — wealthier countries may invest more in social infrastructure, reversing the direction of some associations. Unobserved country-level factors such as culture, historical institutions, and climate may confound results. Future work could employ panel fixed effects using the full 2015–2019 data to control for time-invariant country characteristics, or instrumental variables to address endogeneity in the GDP-happiness relationship.</w:t>
      </w:r>
    </w:p>
    <w:sectPr>
      <w:headerReference r:id="rId3" w:type="default"/>
      <w:footerReference r:id="rId4" w:type="default"/>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7F19C">
    <w:pPr>
      <w:pBdr>
        <w:top w:val="single" w:color="2E75B6" w:sz="4" w:space="4"/>
      </w:pBdr>
      <w:tabs>
        <w:tab w:val="right" w:pos="9026"/>
      </w:tabs>
      <w:spacing w:before="100" w:after="0"/>
      <w:jc w:val="left"/>
    </w:pPr>
    <w:r>
      <w:rPr>
        <w:rFonts w:ascii="Arial" w:hAnsi="Arial" w:eastAsia="Arial" w:cs="Arial"/>
        <w:color w:val="888888"/>
        <w:sz w:val="18"/>
        <w:szCs w:val="18"/>
      </w:rPr>
      <w:t>Does Wealth Drive Happiness?</w:t>
    </w:r>
    <w:r>
      <w:rPr>
        <w:rFonts w:ascii="Arial" w:hAnsi="Arial" w:eastAsia="Arial" w:cs="Arial"/>
      </w:rPr>
      <w:tab/>
    </w:r>
    <w:r>
      <w:rPr>
        <w:rFonts w:ascii="Arial" w:hAnsi="Arial" w:eastAsia="Arial" w:cs="Arial"/>
        <w:color w:val="888888"/>
        <w:sz w:val="18"/>
        <w:szCs w:val="18"/>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60DAE">
    <w:pPr>
      <w:pBdr>
        <w:bottom w:val="single" w:color="2E75B6" w:sz="6" w:space="4"/>
      </w:pBdr>
      <w:tabs>
        <w:tab w:val="right" w:pos="9026"/>
      </w:tabs>
      <w:spacing w:before="0" w:after="120"/>
    </w:pPr>
    <w:r>
      <w:rPr>
        <w:rFonts w:ascii="Arial" w:hAnsi="Arial" w:eastAsia="Arial" w:cs="Arial"/>
        <w:color w:val="888888"/>
        <w:sz w:val="18"/>
        <w:szCs w:val="18"/>
      </w:rPr>
      <w:t>World Happiness Report 2019  |  Research Analysis</w:t>
    </w:r>
    <w:r>
      <w:rPr>
        <w:rFonts w:ascii="Arial" w:hAnsi="Arial" w:eastAsia="Arial" w:cs="Arial"/>
        <w:sz w:val="18"/>
        <w:szCs w:val="18"/>
      </w:rPr>
      <w:tab/>
    </w:r>
    <w:r>
      <w:rPr>
        <w:rFonts w:ascii="Arial" w:hAnsi="Arial" w:eastAsia="Arial" w:cs="Arial"/>
        <w:i/>
        <w:iCs/>
        <w:color w:val="888888"/>
        <w:sz w:val="18"/>
        <w:szCs w:val="18"/>
      </w:rPr>
      <w:t>Stata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72205F4"/>
    <w:rsid w:val="5DA45A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22222"/>
      <w:sz w:val="22"/>
      <w:szCs w:val="22"/>
    </w:rPr>
  </w:style>
  <w:style w:type="paragraph" w:styleId="2">
    <w:name w:val="heading 1"/>
    <w:next w:val="1"/>
    <w:qFormat/>
    <w:uiPriority w:val="0"/>
    <w:pPr>
      <w:spacing w:before="0" w:after="200"/>
      <w:outlineLvl w:val="0"/>
    </w:pPr>
    <w:rPr>
      <w:rFonts w:ascii="Arial" w:hAnsi="Arial" w:eastAsia="Arial" w:cs="Arial"/>
      <w:b/>
      <w:bCs/>
      <w:color w:val="1F3864"/>
      <w:sz w:val="36"/>
      <w:szCs w:val="36"/>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222222"/>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222222"/>
      <w:sz w:val="56"/>
      <w:szCs w:val="56"/>
    </w:rPr>
  </w:style>
  <w:style w:type="paragraph" w:styleId="16">
    <w:name w:val="List Paragraph"/>
    <w:qFormat/>
    <w:uiPriority w:val="0"/>
    <w:rPr>
      <w:rFonts w:ascii="Arial" w:hAnsi="Arial" w:eastAsia="Arial" w:cs="Arial"/>
      <w:color w:val="222222"/>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1130</Words>
  <Characters>6601</Characters>
  <TotalTime>1</TotalTime>
  <ScaleCrop>false</ScaleCrop>
  <LinksUpToDate>false</LinksUpToDate>
  <CharactersWithSpaces>7618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2026-04-21T11:46:00Z</dcterms:created>
  <dc:creator>Un-named</dc:creator>
  <cp:lastModifiedBy>KRONOS</cp:lastModifiedBy>
  <dcterms:modified xsi:type="dcterms:W3CDTF">2026-04-21T11:55:18Z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eyJoZGlkIjoiNzcyNzk2NzZiY2RmZmU5YmUzOTM5YmViMTZiMjliZTEifQ==</vt:lpwstr>
  </property>
  <property fmtid="{D5CDD505-2E9C-101B-9397-08002B2CF9AE}" pid="3" name="KSOProductBuildVer">
    <vt:lpwstr>1033-12.1.0.25242</vt:lpwstr>
  </property>
  <property fmtid="{D5CDD505-2E9C-101B-9397-08002B2CF9AE}" pid="4" name="ICV">
    <vt:lpwstr>F98C76D4228345EAB46E7EF26701F7C0_12</vt:lpwstr>
  </property>
</Properties>
</file>