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Adapting the Selected Model to the STADIOEquities Data</w:t>
      </w:r>
    </w:p>
    <w:p>
      <w:r>
        <w:rPr>
          <w:i/>
          <w:sz w:val="24"/>
        </w:rPr>
        <w:t>Question 3: How will the selected model need to be adapted to the data in the info pack?</w:t>
      </w:r>
    </w:p>
    <w:p>
      <w:r>
        <w:t>Prepared: October 2026</w:t>
      </w:r>
    </w:p>
    <w:p/>
    <w:p>
      <w:pPr>
        <w:pStyle w:val="Heading1"/>
      </w:pPr>
      <w:r>
        <w:t>1. Introduction</w:t>
      </w:r>
    </w:p>
    <w:p>
      <w:r>
        <w:t>The model evaluation report recommended XGBoost for predicting term deposit subscriptions, achieving an F1 of 0.459 and statistically significant superiority over Logistic Regression and Random Forest. That model was trained on the UCI Bank Marketing dataset — 45,211 phone-campaign records from a Portuguese retail bank. STADIOEquities is a fundamentally different environment: a digital-native South African investment platform with 2.3 million registered accounts, rich behavioural telemetry, and distinct business objectives. Adapting XGBoost requires changes across target definition, feature space, preprocessing, imbalance handling, and threshold calibration.</w:t>
      </w:r>
    </w:p>
    <w:p>
      <w:pPr>
        <w:pStyle w:val="Heading1"/>
      </w:pPr>
      <w:r>
        <w:t>2. Target Variable Redefinition</w:t>
      </w:r>
    </w:p>
    <w:p>
      <w:r>
        <w:t>In the original pipeline the target was a simple binary outcome: did the client subscribe to a term deposit after a campaign call? STADIOEquities\’ first prediction priority is different — converting registered accounts into funded, active investors. The new target should be "did the client make a first deposit within a defined window after registration?" with the observation window sized from historical onboarding data. Because four in ten accounts never deposit at all, the positive class will be even more imbalanced than the bank dataset\’s 11% rate, potentially below 10%. XGBoost\’s scale_pos_weight parameter must be recalibrated to the new class ratio, and the evaluation metric should shift from F1 to the precision-recall area under curve (PR-AUC), which is more informative than F1 at extreme imbalance levels. Additional targets — dormancy prediction, premium-subscription suitability, and risky concentration flagging — may require separate XGBoost classifiers or a multi-output extension, each with its own threshold and cost structure.</w:t>
      </w:r>
    </w:p>
    <w:p>
      <w:pPr>
        <w:pStyle w:val="Heading1"/>
      </w:pPr>
      <w:r>
        <w:t>3. Feature Space Transformation</w:t>
      </w:r>
    </w:p>
    <w:p>
      <w:r>
        <w:t>The bank dataset contained demographic attributes (age, job, marital status) and campaign contact metadata (number of calls, days since last contact). STADIOEquities captures a far richer and more granular signal set: onboarding step completion, first-session screen views, time-to-first-deposit, trading frequency, portfolio composition, wallet cash balance, support ticket history, and app-store feedback. The model\’s input vector must be rebuilt around these behavioural and financial features. Domain-specific engineered features should replace the bank-specific ones: an onboarding-completion ratio, a first-session engagement score, a deposit-latency metric, a portfolio-concentration index (e.g., Herfindahl-Hirschman measure across holdings), and a recency-frequency-monetary summary of trading activity. XGBoost handles high-dimensional feature spaces well, but feature selection via SHAP importance or recursive feature elimination will be essential to prevent noise from the vastly larger feature set degrading generalisation.</w:t>
      </w:r>
    </w:p>
    <w:p>
      <w:pPr>
        <w:pStyle w:val="Heading1"/>
      </w:pPr>
      <w:r>
        <w:t>4. Handling Unstructured and Free-Text Data</w:t>
      </w:r>
    </w:p>
    <w:p>
      <w:r>
        <w:t>STADIOEquities\’ data landscape includes free-text support queries, app-store reviews, and compliance narrative fields — data types entirely absent from the bank marketing dataset. XGBoost itself consumes only numeric features, so a text-processing front end must be added to the pipeline. Support tickets can be converted into structured features via TF-IDF embeddings or a lightweight topic model that extracts recurring confusion themes (withdrawals, fees, offshore access). Sentiment scores from app-store reviews can be aggregated per client as a continuous engagement signal. These derived numeric features then feed into XGBoost alongside the behavioural and financial variables, giving the model access to the "voice of the client" without requiring a fundamentally different architecture.</w:t>
      </w:r>
    </w:p>
    <w:p>
      <w:pPr>
        <w:pStyle w:val="Heading1"/>
      </w:pPr>
      <w:r>
        <w:t>5. Temporal and Session-Level Feature Engineering</w:t>
      </w:r>
    </w:p>
    <w:p>
      <w:r>
        <w:t>The bank dataset was cross-sectional — one row per client per campaign. STADIOEquities records every screen view, deposit, and trade in sequence, producing a longitudinal stream. XGBoost is not a time-series model, so temporal patterns must be collapsed into static summary features at a chosen prediction point: rolling 7-day and 30-day activity counts, trend slopes in login frequency, and time-since-last-action intervals. For dormancy prediction, a declining-engagement feature — the ratio of recent to historical activity — captures the deceleration that precedes churn. The prediction timestamp must be defined carefully to avoid the data-leakage problem that required dropping the “duration” column in the original pipeline; only pre-prediction features may be used.</w:t>
      </w:r>
    </w:p>
    <w:p>
      <w:pPr>
        <w:pStyle w:val="Heading1"/>
      </w:pPr>
      <w:r>
        <w:t>6. Decision Threshold and Cost-Sensitive Tuning</w:t>
      </w:r>
    </w:p>
    <w:p>
      <w:r>
        <w:t>The original report recommended lowering the classification threshold from 0.5 to the 0.3–0.4 range to boost recall. At STADIOEquities the cost trade-off is different and must be quantified per use case. For activation prediction, a false negative (missing a client who would have funded) means lost lifetime revenue, while a false positive (nudging someone who would never deposit) costs only a cheap automated message — so a low threshold maximising recall is appropriate. For premium-subscription targeting, a false positive risks mis-selling and regulatory exposure, so a higher threshold favouring precision is warranted. XGBoost\’s predict_proba output should be paired with a custom cost matrix and the threshold optimised against expected monetary value rather than F1 alone. The class-weighting parameter should also be replaced by or combined with cost-sensitive learning, where each instance is weighted by its business cost rather than its class frequency.</w:t>
      </w:r>
    </w:p>
    <w:p>
      <w:pPr>
        <w:pStyle w:val="Heading1"/>
      </w:pPr>
      <w:r>
        <w:t>7. Scaling and Data Integration</w:t>
      </w:r>
    </w:p>
    <w:p>
      <w:r>
        <w:t>STADIOEquities\’ 2.3 million accounts dwarf the bank dataset\’s 45,211 rows. XGBoost scales sub-linearly with data size, so training time will increase but remain manageable with GPU acceleration or histogram-based approximation (tree_method = "hist" or "gpu_hist"). More critically, the behavioural, financial, and service data currently live in separate systems. The company\’s in-development unified client-data platform must join these sources into a single client-level view before the model can be trained — a prerequisite that is structural rather than algorithmic. Identity resolution across app and web sessions must be solved first so that a client\’s full behavioural history is attributed correctly. Until that integration is complete, the model can be trained on the richest available subset (e.g., funded accounts with trading history) and progressively expanded as the unified platform matures.</w:t>
      </w:r>
    </w:p>
    <w:p>
      <w:pPr>
        <w:pStyle w:val="Heading1"/>
      </w:pPr>
      <w:r>
        <w:t>8. Conclusion</w:t>
      </w:r>
    </w:p>
    <w:p>
      <w:r>
        <w:t>XGBoost remains the right algorithmic choice, but every layer surrounding it — target definition, feature engineering, text processing, temporal summarisation, threshold calibration, and data integration — must be rebuilt for STADIOEquities\’ digital investment context. The model\’s core strengths (handling non-linear interactions, robustness to imbalance, interpretable feature importance) transfer directly; the adaptation work lies in the data pipeline that feeds it and the business logic that interprets its outputs.</w:t>
      </w:r>
    </w:p>
    <w:p/>
    <w:p>
      <w:pPr>
        <w:jc w:val="center"/>
      </w:pPr>
      <w: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