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9FFA" w14:textId="77777777" w:rsidR="008A589E" w:rsidRPr="0013132F" w:rsidRDefault="008A589E" w:rsidP="008A589E">
      <w:pPr>
        <w:spacing w:after="200"/>
        <w:jc w:val="center"/>
        <w:rPr>
          <w:rFonts w:ascii="Abadi" w:hAnsi="Abadi"/>
          <w:color w:val="000000" w:themeColor="text1"/>
          <w:sz w:val="44"/>
          <w:szCs w:val="44"/>
        </w:rPr>
      </w:pPr>
      <w:r w:rsidRPr="0013132F">
        <w:rPr>
          <w:rFonts w:ascii="Abadi" w:hAnsi="Abadi"/>
          <w:b/>
          <w:bCs/>
          <w:color w:val="000000" w:themeColor="text1"/>
          <w:sz w:val="44"/>
          <w:szCs w:val="44"/>
        </w:rPr>
        <w:t>CAP182 Capstone Project</w:t>
      </w:r>
    </w:p>
    <w:p w14:paraId="1048E9A1" w14:textId="77777777" w:rsidR="008A589E" w:rsidRPr="0013132F" w:rsidRDefault="008A589E" w:rsidP="008A589E">
      <w:pPr>
        <w:spacing w:after="120"/>
        <w:jc w:val="center"/>
        <w:rPr>
          <w:rFonts w:ascii="Abadi" w:hAnsi="Abadi"/>
          <w:color w:val="000000" w:themeColor="text1"/>
          <w:sz w:val="36"/>
          <w:szCs w:val="36"/>
        </w:rPr>
      </w:pPr>
      <w:r w:rsidRPr="0013132F">
        <w:rPr>
          <w:rFonts w:ascii="Abadi" w:hAnsi="Abadi"/>
          <w:color w:val="000000" w:themeColor="text1"/>
          <w:sz w:val="36"/>
          <w:szCs w:val="36"/>
        </w:rPr>
        <w:t>Peer Review Report</w:t>
      </w:r>
    </w:p>
    <w:p w14:paraId="5837749E" w14:textId="77777777" w:rsidR="008A589E" w:rsidRPr="0013132F" w:rsidRDefault="008A589E" w:rsidP="008A589E">
      <w:pPr>
        <w:spacing w:after="800"/>
        <w:jc w:val="center"/>
        <w:rPr>
          <w:rFonts w:ascii="Abadi" w:hAnsi="Abadi"/>
          <w:i/>
          <w:iCs/>
          <w:color w:val="000000" w:themeColor="text1"/>
          <w:sz w:val="28"/>
          <w:szCs w:val="28"/>
        </w:rPr>
      </w:pPr>
      <w:proofErr w:type="spellStart"/>
      <w:r w:rsidRPr="0013132F">
        <w:rPr>
          <w:rFonts w:ascii="Abadi" w:hAnsi="Abadi"/>
          <w:i/>
          <w:iCs/>
          <w:color w:val="000000" w:themeColor="text1"/>
          <w:sz w:val="28"/>
          <w:szCs w:val="28"/>
        </w:rPr>
        <w:t>STADIOEquities</w:t>
      </w:r>
      <w:proofErr w:type="spellEnd"/>
      <w:r w:rsidRPr="0013132F">
        <w:rPr>
          <w:rFonts w:ascii="Abadi" w:hAnsi="Abadi"/>
          <w:i/>
          <w:iCs/>
          <w:color w:val="000000" w:themeColor="text1"/>
          <w:sz w:val="28"/>
          <w:szCs w:val="28"/>
        </w:rPr>
        <w:t>: Predicting Account Activation</w:t>
      </w:r>
    </w:p>
    <w:p w14:paraId="6281B4E7" w14:textId="77777777" w:rsidR="008A589E" w:rsidRPr="0013132F" w:rsidRDefault="008A589E" w:rsidP="008A589E">
      <w:pPr>
        <w:spacing w:after="800"/>
        <w:jc w:val="center"/>
        <w:rPr>
          <w:rFonts w:ascii="Abadi" w:hAnsi="Abadi"/>
          <w:color w:val="000000" w:themeColor="text1"/>
          <w:sz w:val="28"/>
          <w:szCs w:val="28"/>
        </w:rPr>
      </w:pPr>
      <w:r w:rsidRPr="0013132F">
        <w:rPr>
          <w:rFonts w:ascii="Abadi" w:hAnsi="Abadi"/>
          <w:i/>
          <w:iCs/>
          <w:color w:val="000000" w:themeColor="text1"/>
          <w:sz w:val="28"/>
          <w:szCs w:val="28"/>
        </w:rPr>
        <w:t>CAP182-SS3 Part A</w:t>
      </w:r>
    </w:p>
    <w:p w14:paraId="2505E427" w14:textId="07BC7FDE" w:rsidR="008A589E" w:rsidRPr="0013132F" w:rsidRDefault="008A589E" w:rsidP="008A589E">
      <w:pPr>
        <w:spacing w:line="300" w:lineRule="atLeast"/>
        <w:jc w:val="center"/>
        <w:rPr>
          <w:rFonts w:ascii="Abadi" w:eastAsia="Times New Roman" w:hAnsi="Abadi" w:cs="Segoe UI"/>
          <w:sz w:val="28"/>
          <w:szCs w:val="28"/>
        </w:rPr>
      </w:pPr>
      <w:r w:rsidRPr="0013132F">
        <w:rPr>
          <w:rFonts w:ascii="Abadi" w:eastAsia="Times New Roman" w:hAnsi="Abadi" w:cs="Segoe UI"/>
          <w:b/>
          <w:bCs/>
          <w:sz w:val="28"/>
          <w:szCs w:val="28"/>
        </w:rPr>
        <w:t>Reviewed by:</w:t>
      </w:r>
      <w:r w:rsidRPr="0013132F">
        <w:rPr>
          <w:rFonts w:ascii="Abadi" w:eastAsia="Times New Roman" w:hAnsi="Abadi" w:cs="Segoe UI"/>
          <w:sz w:val="28"/>
          <w:szCs w:val="28"/>
        </w:rPr>
        <w:t xml:space="preserve"> Bernette Lesejane</w:t>
      </w:r>
      <w:r w:rsidRPr="0013132F">
        <w:rPr>
          <w:rFonts w:ascii="Abadi" w:eastAsia="Times New Roman" w:hAnsi="Abadi" w:cs="Segoe UI"/>
          <w:sz w:val="28"/>
          <w:szCs w:val="28"/>
        </w:rPr>
        <w:br/>
      </w:r>
      <w:r w:rsidRPr="0013132F">
        <w:rPr>
          <w:rFonts w:ascii="Abadi" w:eastAsia="Times New Roman" w:hAnsi="Abadi" w:cs="Segoe UI"/>
          <w:b/>
          <w:bCs/>
          <w:sz w:val="28"/>
          <w:szCs w:val="28"/>
        </w:rPr>
        <w:t>Student Number:</w:t>
      </w:r>
      <w:r w:rsidRPr="0013132F">
        <w:rPr>
          <w:rFonts w:ascii="Abadi" w:eastAsia="Times New Roman" w:hAnsi="Abadi" w:cs="Segoe UI"/>
          <w:sz w:val="28"/>
          <w:szCs w:val="28"/>
        </w:rPr>
        <w:t xml:space="preserve"> 26303406</w:t>
      </w:r>
      <w:r w:rsidRPr="0013132F">
        <w:rPr>
          <w:rFonts w:ascii="Abadi" w:eastAsia="Times New Roman" w:hAnsi="Abadi" w:cs="Segoe UI"/>
          <w:sz w:val="28"/>
          <w:szCs w:val="28"/>
        </w:rPr>
        <w:br/>
      </w:r>
      <w:r w:rsidRPr="0013132F">
        <w:rPr>
          <w:rFonts w:ascii="Abadi" w:eastAsia="Times New Roman" w:hAnsi="Abadi" w:cs="Segoe UI"/>
          <w:b/>
          <w:bCs/>
          <w:sz w:val="28"/>
          <w:szCs w:val="28"/>
        </w:rPr>
        <w:t>Date:</w:t>
      </w:r>
      <w:r w:rsidRPr="0013132F">
        <w:rPr>
          <w:rFonts w:ascii="Abadi" w:eastAsia="Times New Roman" w:hAnsi="Abadi" w:cs="Segoe UI"/>
          <w:sz w:val="28"/>
          <w:szCs w:val="28"/>
        </w:rPr>
        <w:t xml:space="preserve"> 26 October 2026</w:t>
      </w:r>
    </w:p>
    <w:p w14:paraId="7D129060" w14:textId="77777777" w:rsidR="008A589E" w:rsidRPr="0013132F" w:rsidRDefault="008A589E" w:rsidP="008A589E">
      <w:pPr>
        <w:spacing w:line="300" w:lineRule="atLeast"/>
        <w:jc w:val="center"/>
        <w:rPr>
          <w:rFonts w:ascii="Abadi" w:eastAsia="Times New Roman" w:hAnsi="Abadi" w:cs="Segoe UI"/>
          <w:sz w:val="28"/>
          <w:szCs w:val="28"/>
        </w:rPr>
      </w:pPr>
    </w:p>
    <w:p w14:paraId="59871B64" w14:textId="77777777" w:rsidR="008A589E" w:rsidRPr="0013132F" w:rsidRDefault="008A589E" w:rsidP="008A589E">
      <w:pPr>
        <w:spacing w:line="300" w:lineRule="atLeast"/>
        <w:jc w:val="center"/>
        <w:rPr>
          <w:rFonts w:ascii="Abadi" w:eastAsia="Times New Roman" w:hAnsi="Abadi" w:cs="Segoe UI"/>
          <w:sz w:val="28"/>
          <w:szCs w:val="28"/>
        </w:rPr>
      </w:pPr>
    </w:p>
    <w:p w14:paraId="48DCA76B" w14:textId="77777777" w:rsidR="008A589E" w:rsidRPr="0013132F" w:rsidRDefault="008A589E" w:rsidP="008A589E">
      <w:pPr>
        <w:spacing w:line="300" w:lineRule="atLeast"/>
        <w:jc w:val="center"/>
        <w:rPr>
          <w:rFonts w:ascii="Abadi" w:eastAsia="Times New Roman" w:hAnsi="Abadi" w:cs="Segoe UI"/>
          <w:sz w:val="28"/>
          <w:szCs w:val="28"/>
        </w:rPr>
      </w:pPr>
    </w:p>
    <w:p w14:paraId="7215C3CC" w14:textId="77777777" w:rsidR="008A589E" w:rsidRPr="0013132F" w:rsidRDefault="008A589E" w:rsidP="008A589E">
      <w:pPr>
        <w:spacing w:line="300" w:lineRule="atLeast"/>
        <w:jc w:val="center"/>
        <w:rPr>
          <w:rFonts w:ascii="Abadi" w:eastAsia="Times New Roman" w:hAnsi="Abadi" w:cs="Segoe UI"/>
          <w:sz w:val="28"/>
          <w:szCs w:val="28"/>
        </w:rPr>
      </w:pPr>
    </w:p>
    <w:p w14:paraId="11612280" w14:textId="77777777" w:rsidR="008A589E" w:rsidRPr="0013132F" w:rsidRDefault="008A589E" w:rsidP="008A589E">
      <w:pPr>
        <w:spacing w:line="300" w:lineRule="atLeast"/>
        <w:jc w:val="center"/>
        <w:rPr>
          <w:rFonts w:ascii="Abadi" w:eastAsia="Times New Roman" w:hAnsi="Abadi" w:cs="Segoe UI"/>
          <w:sz w:val="28"/>
          <w:szCs w:val="28"/>
        </w:rPr>
      </w:pPr>
    </w:p>
    <w:p w14:paraId="6D5C3707" w14:textId="77777777" w:rsidR="008A589E" w:rsidRPr="0013132F" w:rsidRDefault="008A589E" w:rsidP="008A589E">
      <w:pPr>
        <w:spacing w:line="300" w:lineRule="atLeast"/>
        <w:jc w:val="center"/>
        <w:rPr>
          <w:rFonts w:ascii="Abadi" w:eastAsia="Times New Roman" w:hAnsi="Abadi" w:cs="Segoe UI"/>
          <w:sz w:val="28"/>
          <w:szCs w:val="28"/>
        </w:rPr>
      </w:pPr>
    </w:p>
    <w:p w14:paraId="00335A62" w14:textId="77777777" w:rsidR="008A589E" w:rsidRPr="0013132F" w:rsidRDefault="008A589E" w:rsidP="008A589E">
      <w:pPr>
        <w:spacing w:line="300" w:lineRule="atLeast"/>
        <w:jc w:val="center"/>
        <w:rPr>
          <w:rFonts w:ascii="Abadi" w:eastAsia="Times New Roman" w:hAnsi="Abadi" w:cs="Segoe UI"/>
          <w:sz w:val="28"/>
          <w:szCs w:val="28"/>
        </w:rPr>
      </w:pPr>
    </w:p>
    <w:p w14:paraId="3A1FACF8" w14:textId="77777777" w:rsidR="008A589E" w:rsidRPr="0013132F" w:rsidRDefault="008A589E" w:rsidP="008A589E">
      <w:pPr>
        <w:spacing w:line="300" w:lineRule="atLeast"/>
        <w:jc w:val="center"/>
        <w:rPr>
          <w:rFonts w:ascii="Abadi" w:eastAsia="Times New Roman" w:hAnsi="Abadi" w:cs="Segoe UI"/>
          <w:sz w:val="28"/>
          <w:szCs w:val="28"/>
        </w:rPr>
      </w:pPr>
    </w:p>
    <w:p w14:paraId="4096B1C8" w14:textId="77777777" w:rsidR="008A589E" w:rsidRDefault="008A589E" w:rsidP="008A589E">
      <w:pPr>
        <w:spacing w:line="300" w:lineRule="atLeast"/>
        <w:jc w:val="center"/>
        <w:rPr>
          <w:rFonts w:ascii="Abadi" w:eastAsia="Times New Roman" w:hAnsi="Abadi" w:cs="Segoe UI"/>
          <w:sz w:val="28"/>
          <w:szCs w:val="28"/>
        </w:rPr>
      </w:pPr>
    </w:p>
    <w:p w14:paraId="214CB8D7" w14:textId="77777777" w:rsidR="0013132F" w:rsidRDefault="0013132F" w:rsidP="008A589E">
      <w:pPr>
        <w:spacing w:line="300" w:lineRule="atLeast"/>
        <w:jc w:val="center"/>
        <w:rPr>
          <w:rFonts w:ascii="Abadi" w:eastAsia="Times New Roman" w:hAnsi="Abadi" w:cs="Segoe UI"/>
          <w:sz w:val="28"/>
          <w:szCs w:val="28"/>
        </w:rPr>
      </w:pPr>
    </w:p>
    <w:p w14:paraId="3A814DBA" w14:textId="77777777" w:rsidR="0013132F" w:rsidRPr="0013132F" w:rsidRDefault="0013132F" w:rsidP="008A589E">
      <w:pPr>
        <w:spacing w:line="300" w:lineRule="atLeast"/>
        <w:jc w:val="center"/>
        <w:rPr>
          <w:rFonts w:ascii="Abadi" w:eastAsia="Times New Roman" w:hAnsi="Abadi" w:cs="Segoe UI"/>
          <w:sz w:val="28"/>
          <w:szCs w:val="28"/>
        </w:rPr>
      </w:pPr>
    </w:p>
    <w:p w14:paraId="5BF78FE0" w14:textId="77777777" w:rsidR="008A589E" w:rsidRPr="0013132F" w:rsidRDefault="008A589E" w:rsidP="008A589E">
      <w:pPr>
        <w:spacing w:line="300" w:lineRule="atLeast"/>
        <w:jc w:val="center"/>
        <w:rPr>
          <w:rFonts w:ascii="Abadi" w:eastAsia="Times New Roman" w:hAnsi="Abadi" w:cs="Segoe UI"/>
          <w:sz w:val="28"/>
          <w:szCs w:val="28"/>
        </w:rPr>
      </w:pPr>
    </w:p>
    <w:p w14:paraId="0B36251A" w14:textId="77777777" w:rsidR="008A589E" w:rsidRPr="0013132F" w:rsidRDefault="008A589E" w:rsidP="008A589E">
      <w:pPr>
        <w:spacing w:line="300" w:lineRule="atLeast"/>
        <w:jc w:val="center"/>
        <w:rPr>
          <w:rFonts w:ascii="Abadi" w:eastAsia="Times New Roman" w:hAnsi="Abadi" w:cs="Segoe UI"/>
          <w:sz w:val="28"/>
          <w:szCs w:val="28"/>
        </w:rPr>
      </w:pPr>
    </w:p>
    <w:p w14:paraId="49FA24A1" w14:textId="77777777" w:rsidR="008A589E" w:rsidRPr="0013132F" w:rsidRDefault="008A589E" w:rsidP="008A589E">
      <w:pPr>
        <w:spacing w:line="300" w:lineRule="atLeast"/>
        <w:jc w:val="center"/>
        <w:rPr>
          <w:rFonts w:ascii="Abadi" w:eastAsia="Times New Roman" w:hAnsi="Abadi" w:cs="Segoe UI"/>
          <w:sz w:val="28"/>
          <w:szCs w:val="28"/>
        </w:rPr>
      </w:pPr>
    </w:p>
    <w:p w14:paraId="11F205F3" w14:textId="77777777" w:rsidR="008A589E" w:rsidRPr="0013132F" w:rsidRDefault="008A589E" w:rsidP="008A589E">
      <w:pPr>
        <w:spacing w:line="300" w:lineRule="atLeast"/>
        <w:jc w:val="center"/>
        <w:rPr>
          <w:rFonts w:ascii="Abadi" w:eastAsia="Times New Roman" w:hAnsi="Abadi" w:cs="Segoe UI"/>
          <w:sz w:val="28"/>
          <w:szCs w:val="28"/>
        </w:rPr>
      </w:pPr>
    </w:p>
    <w:p w14:paraId="567F1952" w14:textId="68D43AEA" w:rsidR="0013132F" w:rsidRPr="0013132F" w:rsidRDefault="0013132F" w:rsidP="0013132F">
      <w:pPr>
        <w:pStyle w:val="ListParagraph"/>
        <w:numPr>
          <w:ilvl w:val="0"/>
          <w:numId w:val="2"/>
        </w:numPr>
        <w:contextualSpacing w:val="0"/>
        <w:rPr>
          <w:rFonts w:ascii="Abadi" w:hAnsi="Abadi"/>
          <w:b/>
          <w:bCs/>
          <w:sz w:val="24"/>
          <w:szCs w:val="24"/>
        </w:rPr>
      </w:pPr>
      <w:r>
        <w:rPr>
          <w:rFonts w:ascii="Abadi" w:hAnsi="Abadi"/>
          <w:b/>
          <w:bCs/>
          <w:sz w:val="24"/>
          <w:szCs w:val="24"/>
        </w:rPr>
        <w:lastRenderedPageBreak/>
        <w:t>Student details</w:t>
      </w:r>
    </w:p>
    <w:p w14:paraId="3E564ABF" w14:textId="77777777" w:rsidR="008A589E" w:rsidRPr="0013132F" w:rsidRDefault="008A589E" w:rsidP="008A589E">
      <w:pPr>
        <w:spacing w:line="300" w:lineRule="atLeast"/>
        <w:jc w:val="center"/>
        <w:rPr>
          <w:rFonts w:ascii="Abadi" w:eastAsia="Times New Roman" w:hAnsi="Abadi" w:cs="Segoe UI"/>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8A589E" w:rsidRPr="0013132F" w14:paraId="7388884D" w14:textId="77777777" w:rsidTr="0013132F">
        <w:tc>
          <w:tcPr>
            <w:tcW w:w="2200" w:type="dxa"/>
            <w:shd w:val="clear" w:color="auto" w:fill="FFFFFF" w:themeFill="background1"/>
            <w:tcMar>
              <w:top w:w="30" w:type="dxa"/>
              <w:left w:w="100" w:type="dxa"/>
              <w:bottom w:w="30" w:type="dxa"/>
              <w:right w:w="100" w:type="dxa"/>
            </w:tcMar>
          </w:tcPr>
          <w:p w14:paraId="00876EE6" w14:textId="77777777" w:rsidR="008A589E" w:rsidRPr="0013132F" w:rsidRDefault="008A589E" w:rsidP="002501E7">
            <w:pPr>
              <w:rPr>
                <w:rFonts w:ascii="Abadi" w:hAnsi="Abadi"/>
                <w:color w:val="000000" w:themeColor="text1"/>
                <w:sz w:val="22"/>
                <w:szCs w:val="22"/>
              </w:rPr>
            </w:pPr>
            <w:r w:rsidRPr="0013132F">
              <w:rPr>
                <w:rFonts w:ascii="Abadi" w:hAnsi="Abadi"/>
                <w:b/>
                <w:bCs/>
                <w:color w:val="000000" w:themeColor="text1"/>
                <w:sz w:val="22"/>
                <w:szCs w:val="22"/>
              </w:rPr>
              <w:t>Name</w:t>
            </w:r>
          </w:p>
        </w:tc>
        <w:tc>
          <w:tcPr>
            <w:tcW w:w="7880" w:type="dxa"/>
            <w:shd w:val="clear" w:color="auto" w:fill="FFFFFF" w:themeFill="background1"/>
            <w:tcMar>
              <w:top w:w="30" w:type="dxa"/>
              <w:left w:w="100" w:type="dxa"/>
              <w:bottom w:w="30" w:type="dxa"/>
              <w:right w:w="100" w:type="dxa"/>
            </w:tcMar>
          </w:tcPr>
          <w:p w14:paraId="66B61D22" w14:textId="7659E60E" w:rsidR="008A589E" w:rsidRPr="0013132F" w:rsidRDefault="008A589E" w:rsidP="002501E7">
            <w:pPr>
              <w:rPr>
                <w:rFonts w:ascii="Abadi" w:hAnsi="Abadi"/>
                <w:color w:val="000000" w:themeColor="text1"/>
                <w:sz w:val="22"/>
                <w:szCs w:val="22"/>
              </w:rPr>
            </w:pPr>
            <w:r w:rsidRPr="0013132F">
              <w:rPr>
                <w:rFonts w:ascii="Abadi" w:hAnsi="Abadi"/>
                <w:color w:val="000000" w:themeColor="text1"/>
                <w:sz w:val="22"/>
                <w:szCs w:val="22"/>
              </w:rPr>
              <w:t>Lyle September</w:t>
            </w:r>
          </w:p>
        </w:tc>
      </w:tr>
      <w:tr w:rsidR="008A589E" w:rsidRPr="0013132F" w14:paraId="36BEC80E" w14:textId="77777777" w:rsidTr="0013132F">
        <w:tc>
          <w:tcPr>
            <w:tcW w:w="2200" w:type="dxa"/>
            <w:shd w:val="clear" w:color="auto" w:fill="FFFFFF" w:themeFill="background1"/>
            <w:tcMar>
              <w:top w:w="30" w:type="dxa"/>
              <w:left w:w="100" w:type="dxa"/>
              <w:bottom w:w="30" w:type="dxa"/>
              <w:right w:w="100" w:type="dxa"/>
            </w:tcMar>
          </w:tcPr>
          <w:p w14:paraId="57E1ED4E" w14:textId="77777777" w:rsidR="008A589E" w:rsidRPr="0013132F" w:rsidRDefault="008A589E" w:rsidP="002501E7">
            <w:pPr>
              <w:rPr>
                <w:rFonts w:ascii="Abadi" w:hAnsi="Abadi"/>
                <w:color w:val="000000" w:themeColor="text1"/>
                <w:sz w:val="22"/>
                <w:szCs w:val="22"/>
              </w:rPr>
            </w:pPr>
            <w:r w:rsidRPr="0013132F">
              <w:rPr>
                <w:rFonts w:ascii="Abadi" w:hAnsi="Abadi"/>
                <w:b/>
                <w:bCs/>
                <w:color w:val="000000" w:themeColor="text1"/>
                <w:sz w:val="22"/>
                <w:szCs w:val="22"/>
              </w:rPr>
              <w:t>Student number</w:t>
            </w:r>
          </w:p>
        </w:tc>
        <w:tc>
          <w:tcPr>
            <w:tcW w:w="7880" w:type="dxa"/>
            <w:shd w:val="clear" w:color="auto" w:fill="FFFFFF" w:themeFill="background1"/>
            <w:tcMar>
              <w:top w:w="30" w:type="dxa"/>
              <w:left w:w="100" w:type="dxa"/>
              <w:bottom w:w="30" w:type="dxa"/>
              <w:right w:w="100" w:type="dxa"/>
            </w:tcMar>
          </w:tcPr>
          <w:p w14:paraId="1159A294" w14:textId="172359FB" w:rsidR="008A589E" w:rsidRPr="0013132F" w:rsidRDefault="008A589E" w:rsidP="002501E7">
            <w:pPr>
              <w:rPr>
                <w:rFonts w:ascii="Abadi" w:hAnsi="Abadi"/>
                <w:color w:val="000000" w:themeColor="text1"/>
                <w:sz w:val="22"/>
                <w:szCs w:val="22"/>
              </w:rPr>
            </w:pPr>
            <w:r w:rsidRPr="0013132F">
              <w:rPr>
                <w:rFonts w:ascii="Abadi" w:hAnsi="Abadi"/>
                <w:color w:val="000000" w:themeColor="text1"/>
                <w:sz w:val="22"/>
                <w:szCs w:val="22"/>
              </w:rPr>
              <w:t>26304</w:t>
            </w:r>
            <w:r w:rsidR="0013132F">
              <w:rPr>
                <w:rFonts w:ascii="Abadi" w:hAnsi="Abadi"/>
                <w:color w:val="000000" w:themeColor="text1"/>
                <w:sz w:val="22"/>
                <w:szCs w:val="22"/>
              </w:rPr>
              <w:t>859</w:t>
            </w:r>
          </w:p>
        </w:tc>
      </w:tr>
      <w:tr w:rsidR="008A589E" w:rsidRPr="0013132F" w14:paraId="5A42E67C" w14:textId="77777777" w:rsidTr="0013132F">
        <w:tc>
          <w:tcPr>
            <w:tcW w:w="2200" w:type="dxa"/>
            <w:shd w:val="clear" w:color="auto" w:fill="FFFFFF" w:themeFill="background1"/>
            <w:tcMar>
              <w:top w:w="30" w:type="dxa"/>
              <w:left w:w="100" w:type="dxa"/>
              <w:bottom w:w="30" w:type="dxa"/>
              <w:right w:w="100" w:type="dxa"/>
            </w:tcMar>
          </w:tcPr>
          <w:p w14:paraId="500D9514" w14:textId="77777777" w:rsidR="008A589E" w:rsidRPr="0013132F" w:rsidRDefault="008A589E" w:rsidP="002501E7">
            <w:pPr>
              <w:rPr>
                <w:rFonts w:ascii="Abadi" w:hAnsi="Abadi"/>
                <w:color w:val="000000" w:themeColor="text1"/>
                <w:sz w:val="22"/>
                <w:szCs w:val="22"/>
              </w:rPr>
            </w:pPr>
            <w:r w:rsidRPr="0013132F">
              <w:rPr>
                <w:rFonts w:ascii="Abadi" w:hAnsi="Abadi"/>
                <w:b/>
                <w:bCs/>
                <w:color w:val="000000" w:themeColor="text1"/>
                <w:sz w:val="22"/>
                <w:szCs w:val="22"/>
              </w:rPr>
              <w:t>Programme</w:t>
            </w:r>
          </w:p>
        </w:tc>
        <w:tc>
          <w:tcPr>
            <w:tcW w:w="7880" w:type="dxa"/>
            <w:shd w:val="clear" w:color="auto" w:fill="FFFFFF" w:themeFill="background1"/>
            <w:tcMar>
              <w:top w:w="30" w:type="dxa"/>
              <w:left w:w="100" w:type="dxa"/>
              <w:bottom w:w="30" w:type="dxa"/>
              <w:right w:w="100" w:type="dxa"/>
            </w:tcMar>
          </w:tcPr>
          <w:p w14:paraId="341D11DC" w14:textId="77777777" w:rsidR="008A589E" w:rsidRPr="0013132F" w:rsidRDefault="008A589E" w:rsidP="002501E7">
            <w:pPr>
              <w:rPr>
                <w:rFonts w:ascii="Abadi" w:hAnsi="Abadi"/>
                <w:color w:val="000000" w:themeColor="text1"/>
                <w:sz w:val="22"/>
                <w:szCs w:val="22"/>
              </w:rPr>
            </w:pPr>
            <w:r w:rsidRPr="0013132F">
              <w:rPr>
                <w:rFonts w:ascii="Abadi" w:hAnsi="Abadi"/>
                <w:color w:val="000000" w:themeColor="text1"/>
                <w:sz w:val="22"/>
                <w:szCs w:val="22"/>
              </w:rPr>
              <w:t>PGDip Data Science, STADIO School of Information Technology (SOIT)</w:t>
            </w:r>
          </w:p>
        </w:tc>
      </w:tr>
      <w:tr w:rsidR="008A589E" w:rsidRPr="0013132F" w14:paraId="62A80BB6" w14:textId="77777777" w:rsidTr="0013132F">
        <w:tc>
          <w:tcPr>
            <w:tcW w:w="2200" w:type="dxa"/>
            <w:shd w:val="clear" w:color="auto" w:fill="FFFFFF" w:themeFill="background1"/>
            <w:tcMar>
              <w:top w:w="30" w:type="dxa"/>
              <w:left w:w="100" w:type="dxa"/>
              <w:bottom w:w="30" w:type="dxa"/>
              <w:right w:w="100" w:type="dxa"/>
            </w:tcMar>
          </w:tcPr>
          <w:p w14:paraId="5390FA6A" w14:textId="77777777" w:rsidR="008A589E" w:rsidRPr="0013132F" w:rsidRDefault="008A589E" w:rsidP="002501E7">
            <w:pPr>
              <w:rPr>
                <w:rFonts w:ascii="Abadi" w:hAnsi="Abadi"/>
                <w:color w:val="000000" w:themeColor="text1"/>
                <w:sz w:val="22"/>
                <w:szCs w:val="22"/>
              </w:rPr>
            </w:pPr>
            <w:r w:rsidRPr="0013132F">
              <w:rPr>
                <w:rFonts w:ascii="Abadi" w:hAnsi="Abadi"/>
                <w:b/>
                <w:bCs/>
                <w:color w:val="000000" w:themeColor="text1"/>
                <w:sz w:val="22"/>
                <w:szCs w:val="22"/>
              </w:rPr>
              <w:t>Module</w:t>
            </w:r>
          </w:p>
        </w:tc>
        <w:tc>
          <w:tcPr>
            <w:tcW w:w="7880" w:type="dxa"/>
            <w:shd w:val="clear" w:color="auto" w:fill="FFFFFF" w:themeFill="background1"/>
            <w:tcMar>
              <w:top w:w="30" w:type="dxa"/>
              <w:left w:w="100" w:type="dxa"/>
              <w:bottom w:w="30" w:type="dxa"/>
              <w:right w:w="100" w:type="dxa"/>
            </w:tcMar>
          </w:tcPr>
          <w:p w14:paraId="7BE38667" w14:textId="77777777" w:rsidR="008A589E" w:rsidRPr="0013132F" w:rsidRDefault="008A589E" w:rsidP="002501E7">
            <w:pPr>
              <w:rPr>
                <w:rFonts w:ascii="Abadi" w:hAnsi="Abadi"/>
                <w:color w:val="000000" w:themeColor="text1"/>
                <w:sz w:val="22"/>
                <w:szCs w:val="22"/>
              </w:rPr>
            </w:pPr>
            <w:r w:rsidRPr="0013132F">
              <w:rPr>
                <w:rFonts w:ascii="Abadi" w:hAnsi="Abadi"/>
                <w:color w:val="000000" w:themeColor="text1"/>
                <w:sz w:val="22"/>
                <w:szCs w:val="22"/>
              </w:rPr>
              <w:t>CAP182 Capstone Project</w:t>
            </w:r>
          </w:p>
        </w:tc>
      </w:tr>
      <w:tr w:rsidR="008A589E" w:rsidRPr="0013132F" w14:paraId="6468273E" w14:textId="77777777" w:rsidTr="0013132F">
        <w:tc>
          <w:tcPr>
            <w:tcW w:w="2200" w:type="dxa"/>
            <w:shd w:val="clear" w:color="auto" w:fill="FFFFFF" w:themeFill="background1"/>
            <w:tcMar>
              <w:top w:w="30" w:type="dxa"/>
              <w:left w:w="100" w:type="dxa"/>
              <w:bottom w:w="30" w:type="dxa"/>
              <w:right w:w="100" w:type="dxa"/>
            </w:tcMar>
          </w:tcPr>
          <w:p w14:paraId="63D62D57" w14:textId="77777777" w:rsidR="008A589E" w:rsidRPr="0013132F" w:rsidRDefault="008A589E" w:rsidP="002501E7">
            <w:pPr>
              <w:rPr>
                <w:rFonts w:ascii="Abadi" w:hAnsi="Abadi"/>
                <w:color w:val="000000" w:themeColor="text1"/>
                <w:sz w:val="22"/>
                <w:szCs w:val="22"/>
              </w:rPr>
            </w:pPr>
            <w:r w:rsidRPr="0013132F">
              <w:rPr>
                <w:rFonts w:ascii="Abadi" w:hAnsi="Abadi"/>
                <w:b/>
                <w:bCs/>
                <w:color w:val="000000" w:themeColor="text1"/>
                <w:sz w:val="22"/>
                <w:szCs w:val="22"/>
              </w:rPr>
              <w:t>Lecturer</w:t>
            </w:r>
          </w:p>
        </w:tc>
        <w:tc>
          <w:tcPr>
            <w:tcW w:w="7880" w:type="dxa"/>
            <w:shd w:val="clear" w:color="auto" w:fill="FFFFFF" w:themeFill="background1"/>
            <w:tcMar>
              <w:top w:w="30" w:type="dxa"/>
              <w:left w:w="100" w:type="dxa"/>
              <w:bottom w:w="30" w:type="dxa"/>
              <w:right w:w="100" w:type="dxa"/>
            </w:tcMar>
          </w:tcPr>
          <w:p w14:paraId="2A9655D9" w14:textId="77777777" w:rsidR="008A589E" w:rsidRPr="0013132F" w:rsidRDefault="008A589E" w:rsidP="002501E7">
            <w:pPr>
              <w:rPr>
                <w:rFonts w:ascii="Abadi" w:hAnsi="Abadi"/>
                <w:color w:val="000000" w:themeColor="text1"/>
                <w:sz w:val="22"/>
                <w:szCs w:val="22"/>
              </w:rPr>
            </w:pPr>
            <w:r w:rsidRPr="0013132F">
              <w:rPr>
                <w:rFonts w:ascii="Abadi" w:hAnsi="Abadi"/>
                <w:color w:val="000000" w:themeColor="text1"/>
                <w:sz w:val="22"/>
                <w:szCs w:val="22"/>
              </w:rPr>
              <w:t>Dr Mia Gerber</w:t>
            </w:r>
          </w:p>
        </w:tc>
      </w:tr>
      <w:tr w:rsidR="008A589E" w:rsidRPr="0013132F" w14:paraId="158AB7DC" w14:textId="77777777" w:rsidTr="0013132F">
        <w:tc>
          <w:tcPr>
            <w:tcW w:w="2200" w:type="dxa"/>
            <w:shd w:val="clear" w:color="auto" w:fill="FFFFFF" w:themeFill="background1"/>
            <w:tcMar>
              <w:top w:w="30" w:type="dxa"/>
              <w:left w:w="100" w:type="dxa"/>
              <w:bottom w:w="30" w:type="dxa"/>
              <w:right w:w="100" w:type="dxa"/>
            </w:tcMar>
          </w:tcPr>
          <w:p w14:paraId="0AB66552" w14:textId="77777777" w:rsidR="008A589E" w:rsidRPr="0013132F" w:rsidRDefault="008A589E" w:rsidP="002501E7">
            <w:pPr>
              <w:rPr>
                <w:rFonts w:ascii="Abadi" w:hAnsi="Abadi"/>
                <w:color w:val="000000" w:themeColor="text1"/>
                <w:sz w:val="22"/>
                <w:szCs w:val="22"/>
              </w:rPr>
            </w:pPr>
            <w:r w:rsidRPr="0013132F">
              <w:rPr>
                <w:rFonts w:ascii="Abadi" w:hAnsi="Abadi"/>
                <w:b/>
                <w:bCs/>
                <w:color w:val="000000" w:themeColor="text1"/>
                <w:sz w:val="22"/>
                <w:szCs w:val="22"/>
              </w:rPr>
              <w:t>Repository</w:t>
            </w:r>
          </w:p>
        </w:tc>
        <w:tc>
          <w:tcPr>
            <w:tcW w:w="7880" w:type="dxa"/>
            <w:shd w:val="clear" w:color="auto" w:fill="FFFFFF" w:themeFill="background1"/>
            <w:tcMar>
              <w:top w:w="30" w:type="dxa"/>
              <w:left w:w="100" w:type="dxa"/>
              <w:bottom w:w="30" w:type="dxa"/>
              <w:right w:w="100" w:type="dxa"/>
            </w:tcMar>
          </w:tcPr>
          <w:p w14:paraId="1259AE91" w14:textId="11F5D3FD" w:rsidR="008A589E" w:rsidRPr="0013132F" w:rsidRDefault="007D5E14" w:rsidP="002501E7">
            <w:pPr>
              <w:rPr>
                <w:rFonts w:ascii="Abadi" w:hAnsi="Abadi"/>
                <w:color w:val="000000" w:themeColor="text1"/>
                <w:sz w:val="22"/>
                <w:szCs w:val="22"/>
              </w:rPr>
            </w:pPr>
            <w:r>
              <w:rPr>
                <w:rFonts w:ascii="Abadi" w:hAnsi="Abadi"/>
                <w:color w:val="000000" w:themeColor="text1"/>
                <w:sz w:val="22"/>
                <w:szCs w:val="22"/>
              </w:rPr>
              <w:t>Not supplied</w:t>
            </w:r>
          </w:p>
        </w:tc>
      </w:tr>
    </w:tbl>
    <w:p w14:paraId="7D0B96E9" w14:textId="77777777" w:rsidR="008A589E" w:rsidRPr="0013132F" w:rsidRDefault="008A589E" w:rsidP="008A589E">
      <w:pPr>
        <w:spacing w:line="300" w:lineRule="atLeast"/>
        <w:jc w:val="center"/>
        <w:rPr>
          <w:rFonts w:ascii="Abadi" w:eastAsia="Times New Roman" w:hAnsi="Abadi" w:cs="Segoe UI"/>
          <w:sz w:val="28"/>
          <w:szCs w:val="28"/>
        </w:rPr>
      </w:pPr>
    </w:p>
    <w:p w14:paraId="4C4A69B6" w14:textId="77777777" w:rsidR="008A589E" w:rsidRPr="0013132F" w:rsidRDefault="008A589E">
      <w:pPr>
        <w:rPr>
          <w:rFonts w:ascii="Abadi" w:hAnsi="Abadi"/>
        </w:rPr>
      </w:pPr>
    </w:p>
    <w:p w14:paraId="47EBBC53" w14:textId="4C0E73DD" w:rsidR="008A589E" w:rsidRPr="0013132F" w:rsidRDefault="008A589E" w:rsidP="008A589E">
      <w:pPr>
        <w:pStyle w:val="ListParagraph"/>
        <w:numPr>
          <w:ilvl w:val="0"/>
          <w:numId w:val="2"/>
        </w:numPr>
        <w:contextualSpacing w:val="0"/>
        <w:rPr>
          <w:rFonts w:ascii="Abadi" w:hAnsi="Abadi"/>
          <w:b/>
          <w:bCs/>
          <w:sz w:val="24"/>
          <w:szCs w:val="24"/>
        </w:rPr>
      </w:pPr>
      <w:r w:rsidRPr="0013132F">
        <w:rPr>
          <w:rFonts w:ascii="Abadi" w:hAnsi="Abadi"/>
          <w:b/>
          <w:bCs/>
          <w:sz w:val="24"/>
          <w:szCs w:val="24"/>
        </w:rPr>
        <w:t>Motivation (mark: 1.</w:t>
      </w:r>
      <w:r w:rsidR="001B530D">
        <w:rPr>
          <w:rFonts w:ascii="Abadi" w:hAnsi="Abadi"/>
          <w:b/>
          <w:bCs/>
          <w:sz w:val="24"/>
          <w:szCs w:val="24"/>
        </w:rPr>
        <w:t>5</w:t>
      </w:r>
      <w:r w:rsidRPr="0013132F">
        <w:rPr>
          <w:rFonts w:ascii="Abadi" w:hAnsi="Abadi"/>
          <w:b/>
          <w:bCs/>
          <w:sz w:val="24"/>
          <w:szCs w:val="24"/>
        </w:rPr>
        <w:t xml:space="preserve"> /2)</w:t>
      </w:r>
    </w:p>
    <w:p w14:paraId="39A48881" w14:textId="77777777" w:rsidR="008A589E" w:rsidRPr="0013132F" w:rsidRDefault="008A589E" w:rsidP="008A589E">
      <w:pPr>
        <w:spacing w:after="60" w:line="252" w:lineRule="auto"/>
        <w:rPr>
          <w:rFonts w:ascii="Abadi" w:hAnsi="Abadi"/>
          <w:color w:val="000000" w:themeColor="text1"/>
          <w:sz w:val="22"/>
          <w:szCs w:val="22"/>
        </w:rPr>
      </w:pPr>
    </w:p>
    <w:tbl>
      <w:tblPr>
        <w:tblStyle w:val="TableGrid"/>
        <w:tblW w:w="0" w:type="auto"/>
        <w:tblLook w:val="04A0" w:firstRow="1" w:lastRow="0" w:firstColumn="1" w:lastColumn="0" w:noHBand="0" w:noVBand="1"/>
      </w:tblPr>
      <w:tblGrid>
        <w:gridCol w:w="3356"/>
        <w:gridCol w:w="9964"/>
      </w:tblGrid>
      <w:tr w:rsidR="0013132F" w:rsidRPr="0013132F" w14:paraId="4DB76697" w14:textId="77777777" w:rsidTr="0013132F">
        <w:tc>
          <w:tcPr>
            <w:tcW w:w="3356" w:type="dxa"/>
            <w:shd w:val="clear" w:color="auto" w:fill="ADADAD" w:themeFill="background2" w:themeFillShade="BF"/>
          </w:tcPr>
          <w:p w14:paraId="78159A39" w14:textId="77777777" w:rsidR="0013132F" w:rsidRPr="0013132F" w:rsidRDefault="0013132F" w:rsidP="002501E7">
            <w:pPr>
              <w:spacing w:after="60" w:line="252" w:lineRule="auto"/>
              <w:rPr>
                <w:rFonts w:ascii="Abadi" w:hAnsi="Abadi"/>
                <w:b/>
                <w:bCs/>
                <w:color w:val="000000" w:themeColor="text1"/>
                <w:sz w:val="22"/>
                <w:szCs w:val="22"/>
              </w:rPr>
            </w:pPr>
            <w:r w:rsidRPr="0013132F">
              <w:rPr>
                <w:rFonts w:ascii="Abadi" w:hAnsi="Abadi"/>
                <w:b/>
                <w:bCs/>
                <w:color w:val="000000" w:themeColor="text1"/>
                <w:sz w:val="22"/>
                <w:szCs w:val="22"/>
              </w:rPr>
              <w:t>Strengths</w:t>
            </w:r>
          </w:p>
        </w:tc>
        <w:tc>
          <w:tcPr>
            <w:tcW w:w="9964" w:type="dxa"/>
            <w:shd w:val="clear" w:color="auto" w:fill="ADADAD" w:themeFill="background2" w:themeFillShade="BF"/>
          </w:tcPr>
          <w:p w14:paraId="6FCA62FB" w14:textId="64FEEA92" w:rsidR="0013132F" w:rsidRPr="0013132F" w:rsidRDefault="0013132F" w:rsidP="002501E7">
            <w:pPr>
              <w:spacing w:after="60" w:line="252" w:lineRule="auto"/>
              <w:rPr>
                <w:rFonts w:ascii="Abadi" w:hAnsi="Abadi"/>
                <w:b/>
                <w:bCs/>
                <w:color w:val="000000" w:themeColor="text1"/>
                <w:sz w:val="22"/>
                <w:szCs w:val="22"/>
              </w:rPr>
            </w:pPr>
            <w:r>
              <w:rPr>
                <w:rFonts w:ascii="Abadi" w:hAnsi="Abadi"/>
                <w:b/>
                <w:bCs/>
                <w:color w:val="000000" w:themeColor="text1"/>
                <w:sz w:val="22"/>
                <w:szCs w:val="22"/>
              </w:rPr>
              <w:t>Weaknesses</w:t>
            </w:r>
          </w:p>
        </w:tc>
      </w:tr>
      <w:tr w:rsidR="0013132F" w:rsidRPr="0013132F" w14:paraId="5844E0AC" w14:textId="77777777" w:rsidTr="0013132F">
        <w:tc>
          <w:tcPr>
            <w:tcW w:w="3356" w:type="dxa"/>
          </w:tcPr>
          <w:p w14:paraId="60121135"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 xml:space="preserve">The project tackles a clear and significant business challenge. With approximately </w:t>
            </w:r>
            <w:r w:rsidRPr="0013132F">
              <w:rPr>
                <w:rFonts w:ascii="Abadi" w:eastAsia="Times New Roman" w:hAnsi="Abadi" w:cs="Segoe UI"/>
                <w:b/>
                <w:bCs/>
                <w:sz w:val="22"/>
                <w:szCs w:val="22"/>
              </w:rPr>
              <w:t>2.3 million registered accounts</w:t>
            </w:r>
            <w:r w:rsidRPr="0013132F">
              <w:rPr>
                <w:rFonts w:ascii="Abadi" w:eastAsia="Times New Roman" w:hAnsi="Abadi" w:cs="Segoe UI"/>
                <w:sz w:val="22"/>
                <w:szCs w:val="22"/>
              </w:rPr>
              <w:t xml:space="preserve"> and nearly </w:t>
            </w:r>
            <w:r w:rsidRPr="0013132F">
              <w:rPr>
                <w:rFonts w:ascii="Abadi" w:eastAsia="Times New Roman" w:hAnsi="Abadi" w:cs="Segoe UI"/>
                <w:b/>
                <w:bCs/>
                <w:sz w:val="22"/>
                <w:szCs w:val="22"/>
              </w:rPr>
              <w:t>40% of customers failing to make an initial deposit</w:t>
            </w:r>
            <w:r w:rsidRPr="0013132F">
              <w:rPr>
                <w:rFonts w:ascii="Abadi" w:eastAsia="Times New Roman" w:hAnsi="Abadi" w:cs="Segoe UI"/>
                <w:sz w:val="22"/>
                <w:szCs w:val="22"/>
              </w:rPr>
              <w:t>, there is substantial opportunity to improve customer activation rates. The link between predictive insights and targeted retention initiatives is well-defined, offering the potential to drive meaningful business value.</w:t>
            </w:r>
          </w:p>
          <w:p w14:paraId="42B5AC57" w14:textId="77777777" w:rsidR="0013132F" w:rsidRPr="0013132F" w:rsidRDefault="0013132F" w:rsidP="002501E7">
            <w:pPr>
              <w:spacing w:after="60" w:line="252" w:lineRule="auto"/>
              <w:rPr>
                <w:rFonts w:ascii="Abadi" w:hAnsi="Abadi"/>
                <w:color w:val="000000" w:themeColor="text1"/>
                <w:sz w:val="22"/>
                <w:szCs w:val="22"/>
              </w:rPr>
            </w:pPr>
          </w:p>
        </w:tc>
        <w:tc>
          <w:tcPr>
            <w:tcW w:w="9964" w:type="dxa"/>
          </w:tcPr>
          <w:p w14:paraId="3EACBD57"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 xml:space="preserve">The report contains an inconsistency in its presentation of customer non-activation rates, referring to both </w:t>
            </w:r>
            <w:r w:rsidRPr="0013132F">
              <w:rPr>
                <w:rFonts w:ascii="Abadi" w:eastAsia="Times New Roman" w:hAnsi="Abadi" w:cs="Segoe UI"/>
                <w:b/>
                <w:bCs/>
                <w:sz w:val="22"/>
                <w:szCs w:val="22"/>
              </w:rPr>
              <w:t>40% and 41%</w:t>
            </w:r>
            <w:r w:rsidRPr="0013132F">
              <w:rPr>
                <w:rFonts w:ascii="Abadi" w:eastAsia="Times New Roman" w:hAnsi="Abadi" w:cs="Segoe UI"/>
                <w:sz w:val="22"/>
                <w:szCs w:val="22"/>
              </w:rPr>
              <w:t xml:space="preserve"> at different points. This discrepancy should be clarified to ensure accuracy and maintain confidence in the analysis. Consistent reporting of key metrics is essential, particularly when these figures underpin the project's business justification and expected benefits.</w:t>
            </w:r>
          </w:p>
          <w:p w14:paraId="03E87931"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Furthermore, several assertions within the report, including claims of a declining deposit conversion rate and increasing levels of customer dormancy, are made without supporting evidence or referenced data. While these trends may be valid, the report does not provide the necessary historical metrics, trend analyses, or source documentation to substantiate them. As a result, it is difficult to assess the extent of these issues or verify the rationale behind the proposed solution.</w:t>
            </w:r>
          </w:p>
          <w:p w14:paraId="087E0454"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To strengthen the report's credibility and analytical rigor, all key claims should be supported by relevant data, trend visualisations, or references to verified business performance metrics. This would provide a clearer basis for the problem statement and reinforce the need for the proposed predictive and retention-focused interventions.</w:t>
            </w:r>
          </w:p>
          <w:p w14:paraId="221EEFD6" w14:textId="77777777" w:rsidR="0013132F" w:rsidRPr="0013132F" w:rsidRDefault="0013132F" w:rsidP="002501E7">
            <w:pPr>
              <w:spacing w:after="60" w:line="252" w:lineRule="auto"/>
              <w:rPr>
                <w:rFonts w:ascii="Abadi" w:hAnsi="Abadi"/>
                <w:color w:val="000000" w:themeColor="text1"/>
                <w:sz w:val="22"/>
                <w:szCs w:val="22"/>
              </w:rPr>
            </w:pPr>
          </w:p>
        </w:tc>
      </w:tr>
    </w:tbl>
    <w:p w14:paraId="656C178D" w14:textId="77777777" w:rsidR="008A589E" w:rsidRPr="0013132F" w:rsidRDefault="008A589E" w:rsidP="008A589E">
      <w:pPr>
        <w:spacing w:after="60" w:line="252" w:lineRule="auto"/>
        <w:rPr>
          <w:rFonts w:ascii="Abadi" w:hAnsi="Abadi"/>
          <w:color w:val="000000" w:themeColor="text1"/>
          <w:sz w:val="22"/>
          <w:szCs w:val="22"/>
        </w:rPr>
      </w:pPr>
    </w:p>
    <w:p w14:paraId="7ED059BB" w14:textId="582AC9DB" w:rsidR="008A589E" w:rsidRPr="0013132F" w:rsidRDefault="008A589E" w:rsidP="008A589E">
      <w:pPr>
        <w:pStyle w:val="ListParagraph"/>
        <w:numPr>
          <w:ilvl w:val="0"/>
          <w:numId w:val="2"/>
        </w:numPr>
        <w:contextualSpacing w:val="0"/>
        <w:rPr>
          <w:rFonts w:ascii="Abadi" w:hAnsi="Abadi"/>
          <w:b/>
          <w:bCs/>
          <w:sz w:val="24"/>
          <w:szCs w:val="24"/>
        </w:rPr>
      </w:pPr>
      <w:r w:rsidRPr="0013132F">
        <w:rPr>
          <w:rFonts w:ascii="Abadi" w:hAnsi="Abadi"/>
          <w:b/>
          <w:bCs/>
          <w:sz w:val="24"/>
          <w:szCs w:val="24"/>
        </w:rPr>
        <w:t>Problem statement (mark: 1.</w:t>
      </w:r>
      <w:r w:rsidR="001B530D">
        <w:rPr>
          <w:rFonts w:ascii="Abadi" w:hAnsi="Abadi"/>
          <w:b/>
          <w:bCs/>
          <w:sz w:val="24"/>
          <w:szCs w:val="24"/>
        </w:rPr>
        <w:t>7</w:t>
      </w:r>
      <w:r w:rsidRPr="0013132F">
        <w:rPr>
          <w:rFonts w:ascii="Abadi" w:hAnsi="Abadi"/>
          <w:b/>
          <w:bCs/>
          <w:sz w:val="24"/>
          <w:szCs w:val="24"/>
        </w:rPr>
        <w:t xml:space="preserve"> /2)</w:t>
      </w:r>
    </w:p>
    <w:p w14:paraId="1A0F4F26" w14:textId="77777777" w:rsidR="008A589E" w:rsidRPr="0013132F" w:rsidRDefault="008A589E" w:rsidP="008A589E">
      <w:pPr>
        <w:spacing w:after="60" w:line="252" w:lineRule="auto"/>
        <w:rPr>
          <w:rFonts w:ascii="Abadi" w:hAnsi="Abadi"/>
          <w:color w:val="000000" w:themeColor="text1"/>
          <w:sz w:val="22"/>
          <w:szCs w:val="22"/>
        </w:rPr>
      </w:pPr>
    </w:p>
    <w:tbl>
      <w:tblPr>
        <w:tblStyle w:val="TableGrid"/>
        <w:tblW w:w="0" w:type="auto"/>
        <w:tblLook w:val="04A0" w:firstRow="1" w:lastRow="0" w:firstColumn="1" w:lastColumn="0" w:noHBand="0" w:noVBand="1"/>
      </w:tblPr>
      <w:tblGrid>
        <w:gridCol w:w="3356"/>
        <w:gridCol w:w="10531"/>
      </w:tblGrid>
      <w:tr w:rsidR="0013132F" w:rsidRPr="0013132F" w14:paraId="312E8070" w14:textId="77777777" w:rsidTr="0013132F">
        <w:tc>
          <w:tcPr>
            <w:tcW w:w="3356" w:type="dxa"/>
            <w:shd w:val="clear" w:color="auto" w:fill="ADADAD" w:themeFill="background2" w:themeFillShade="BF"/>
          </w:tcPr>
          <w:p w14:paraId="585C3427" w14:textId="77777777" w:rsidR="0013132F" w:rsidRPr="0013132F" w:rsidRDefault="0013132F" w:rsidP="002501E7">
            <w:pPr>
              <w:spacing w:after="60" w:line="252" w:lineRule="auto"/>
              <w:rPr>
                <w:rFonts w:ascii="Abadi" w:hAnsi="Abadi"/>
                <w:b/>
                <w:bCs/>
                <w:color w:val="000000" w:themeColor="text1"/>
                <w:sz w:val="22"/>
                <w:szCs w:val="22"/>
              </w:rPr>
            </w:pPr>
            <w:r w:rsidRPr="0013132F">
              <w:rPr>
                <w:rFonts w:ascii="Abadi" w:hAnsi="Abadi"/>
                <w:b/>
                <w:bCs/>
                <w:color w:val="000000" w:themeColor="text1"/>
                <w:sz w:val="22"/>
                <w:szCs w:val="22"/>
              </w:rPr>
              <w:lastRenderedPageBreak/>
              <w:t>Strengths</w:t>
            </w:r>
          </w:p>
        </w:tc>
        <w:tc>
          <w:tcPr>
            <w:tcW w:w="10531" w:type="dxa"/>
            <w:shd w:val="clear" w:color="auto" w:fill="ADADAD" w:themeFill="background2" w:themeFillShade="BF"/>
          </w:tcPr>
          <w:p w14:paraId="6449A3B8" w14:textId="62254503" w:rsidR="0013132F" w:rsidRPr="0013132F" w:rsidRDefault="0013132F" w:rsidP="002501E7">
            <w:pPr>
              <w:spacing w:after="60" w:line="252" w:lineRule="auto"/>
              <w:rPr>
                <w:rFonts w:ascii="Abadi" w:hAnsi="Abadi"/>
                <w:b/>
                <w:bCs/>
                <w:color w:val="000000" w:themeColor="text1"/>
                <w:sz w:val="22"/>
                <w:szCs w:val="22"/>
              </w:rPr>
            </w:pPr>
            <w:r>
              <w:rPr>
                <w:rFonts w:ascii="Abadi" w:hAnsi="Abadi"/>
                <w:b/>
                <w:bCs/>
                <w:color w:val="000000" w:themeColor="text1"/>
                <w:sz w:val="22"/>
                <w:szCs w:val="22"/>
              </w:rPr>
              <w:t>Weaknesses</w:t>
            </w:r>
          </w:p>
        </w:tc>
      </w:tr>
      <w:tr w:rsidR="0013132F" w:rsidRPr="0013132F" w14:paraId="5ED2EEA7" w14:textId="77777777" w:rsidTr="0013132F">
        <w:tc>
          <w:tcPr>
            <w:tcW w:w="3356" w:type="dxa"/>
          </w:tcPr>
          <w:p w14:paraId="78F903EF"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 xml:space="preserve">The question is appropriately framed as a </w:t>
            </w:r>
            <w:r w:rsidRPr="0013132F">
              <w:rPr>
                <w:rFonts w:ascii="Abadi" w:eastAsia="Times New Roman" w:hAnsi="Abadi" w:cs="Segoe UI"/>
                <w:b/>
                <w:bCs/>
                <w:sz w:val="22"/>
                <w:szCs w:val="22"/>
              </w:rPr>
              <w:t>binary classification problem</w:t>
            </w:r>
            <w:r w:rsidRPr="0013132F">
              <w:rPr>
                <w:rFonts w:ascii="Abadi" w:eastAsia="Times New Roman" w:hAnsi="Abadi" w:cs="Segoe UI"/>
                <w:sz w:val="22"/>
                <w:szCs w:val="22"/>
              </w:rPr>
              <w:t>, where the target variable has two possible outcomes: customers who make a first deposit within the 90-day period and those who do not. This formulation aligns well with established machine learning approaches and provides a practical foundation for predictive modelling.</w:t>
            </w:r>
          </w:p>
          <w:p w14:paraId="0418D4A0"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 xml:space="preserve">From a business perspective, the research question supports the organisation's goal of improving customer activation and engagement by enabling the early identification of accounts that are unlikely to convert. The resulting insights can be used to inform targeted interventions, optimise retention efforts, and allocate marketing resources more effectively. By focusing on a clearly defined and measurable outcome, the project maintains a strong connection between </w:t>
            </w:r>
            <w:r w:rsidRPr="0013132F">
              <w:rPr>
                <w:rFonts w:ascii="Abadi" w:eastAsia="Times New Roman" w:hAnsi="Abadi" w:cs="Segoe UI"/>
                <w:sz w:val="22"/>
                <w:szCs w:val="22"/>
              </w:rPr>
              <w:lastRenderedPageBreak/>
              <w:t>analytical objectives and business value.</w:t>
            </w:r>
          </w:p>
          <w:p w14:paraId="47A1A7B6"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Overall, the research question is both technically appropriate and strategically relevant, providing a solid basis for model development, performance evaluation, and the implementation of data-driven customer activation strategies</w:t>
            </w:r>
          </w:p>
          <w:p w14:paraId="49FC88DB" w14:textId="77777777" w:rsidR="0013132F" w:rsidRPr="0013132F" w:rsidRDefault="0013132F" w:rsidP="002501E7">
            <w:pPr>
              <w:spacing w:after="60" w:line="252" w:lineRule="auto"/>
              <w:rPr>
                <w:rFonts w:ascii="Abadi" w:hAnsi="Abadi"/>
                <w:color w:val="000000" w:themeColor="text1"/>
                <w:sz w:val="22"/>
                <w:szCs w:val="22"/>
              </w:rPr>
            </w:pPr>
          </w:p>
        </w:tc>
        <w:tc>
          <w:tcPr>
            <w:tcW w:w="10531" w:type="dxa"/>
          </w:tcPr>
          <w:p w14:paraId="51D2D81D"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lastRenderedPageBreak/>
              <w:t xml:space="preserve">The project documentation presents an inconsistency in the definition of customer activation, which may affect the interpretation of results and the validity of the modelling approach. Specifically, </w:t>
            </w:r>
            <w:r w:rsidRPr="0013132F">
              <w:rPr>
                <w:rFonts w:ascii="Abadi" w:eastAsia="Times New Roman" w:hAnsi="Abadi" w:cs="Segoe UI"/>
                <w:b/>
                <w:bCs/>
                <w:sz w:val="22"/>
                <w:szCs w:val="22"/>
              </w:rPr>
              <w:t>Table 8</w:t>
            </w:r>
            <w:r w:rsidRPr="0013132F">
              <w:rPr>
                <w:rFonts w:ascii="Abadi" w:eastAsia="Times New Roman" w:hAnsi="Abadi" w:cs="Segoe UI"/>
                <w:sz w:val="22"/>
                <w:szCs w:val="22"/>
              </w:rPr>
              <w:t xml:space="preserve"> defines activation as occurring within </w:t>
            </w:r>
            <w:r w:rsidRPr="0013132F">
              <w:rPr>
                <w:rFonts w:ascii="Abadi" w:eastAsia="Times New Roman" w:hAnsi="Abadi" w:cs="Segoe UI"/>
                <w:b/>
                <w:bCs/>
                <w:sz w:val="22"/>
                <w:szCs w:val="22"/>
              </w:rPr>
              <w:t>30 days</w:t>
            </w:r>
            <w:r w:rsidRPr="0013132F">
              <w:rPr>
                <w:rFonts w:ascii="Abadi" w:eastAsia="Times New Roman" w:hAnsi="Abadi" w:cs="Segoe UI"/>
                <w:sz w:val="22"/>
                <w:szCs w:val="22"/>
              </w:rPr>
              <w:t xml:space="preserve">, whereas </w:t>
            </w:r>
            <w:r w:rsidRPr="0013132F">
              <w:rPr>
                <w:rFonts w:ascii="Abadi" w:eastAsia="Times New Roman" w:hAnsi="Abadi" w:cs="Segoe UI"/>
                <w:b/>
                <w:bCs/>
                <w:sz w:val="22"/>
                <w:szCs w:val="22"/>
              </w:rPr>
              <w:t>Table 5</w:t>
            </w:r>
            <w:r w:rsidRPr="0013132F">
              <w:rPr>
                <w:rFonts w:ascii="Abadi" w:eastAsia="Times New Roman" w:hAnsi="Abadi" w:cs="Segoe UI"/>
                <w:sz w:val="22"/>
                <w:szCs w:val="22"/>
              </w:rPr>
              <w:t xml:space="preserve"> refers to an activation period of </w:t>
            </w:r>
            <w:r w:rsidRPr="0013132F">
              <w:rPr>
                <w:rFonts w:ascii="Abadi" w:eastAsia="Times New Roman" w:hAnsi="Abadi" w:cs="Segoe UI"/>
                <w:b/>
                <w:bCs/>
                <w:sz w:val="22"/>
                <w:szCs w:val="22"/>
              </w:rPr>
              <w:t>30 to 90 days</w:t>
            </w:r>
            <w:r w:rsidRPr="0013132F">
              <w:rPr>
                <w:rFonts w:ascii="Abadi" w:eastAsia="Times New Roman" w:hAnsi="Abadi" w:cs="Segoe UI"/>
                <w:sz w:val="22"/>
                <w:szCs w:val="22"/>
              </w:rPr>
              <w:t>. These differing definitions create ambiguity regarding the target variable and make it difficult to determine the exact outcome that the predictive model is intended to forecast. A clear and consistent definition of activation is essential, as it directly influences data preparation, model training, performance evaluation, and the interpretation of business benefits.</w:t>
            </w:r>
          </w:p>
          <w:p w14:paraId="20B9C19B"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 xml:space="preserve">In addition, the project lacks a formally stated research hypothesis. While the report identifies a target model performance measure, such as achieving a specified </w:t>
            </w:r>
            <w:r w:rsidRPr="0013132F">
              <w:rPr>
                <w:rFonts w:ascii="Abadi" w:eastAsia="Times New Roman" w:hAnsi="Abadi" w:cs="Segoe UI"/>
                <w:b/>
                <w:bCs/>
                <w:sz w:val="22"/>
                <w:szCs w:val="22"/>
              </w:rPr>
              <w:t>Area Under the Curve (AUC)</w:t>
            </w:r>
            <w:r w:rsidRPr="0013132F">
              <w:rPr>
                <w:rFonts w:ascii="Abadi" w:eastAsia="Times New Roman" w:hAnsi="Abadi" w:cs="Segoe UI"/>
                <w:sz w:val="22"/>
                <w:szCs w:val="22"/>
              </w:rPr>
              <w:t xml:space="preserve"> threshold, this represents a technical success criterion rather than a research hypothesis. A research hypothesis should articulate the expected relationship between customer characteristics and activation outcomes, providing a foundation for the analytical investigation.</w:t>
            </w:r>
          </w:p>
          <w:p w14:paraId="43C3AAB5" w14:textId="77777777" w:rsidR="0013132F" w:rsidRPr="0013132F" w:rsidRDefault="0013132F" w:rsidP="002501E7">
            <w:pPr>
              <w:spacing w:after="60" w:line="252" w:lineRule="auto"/>
              <w:rPr>
                <w:rFonts w:ascii="Abadi" w:hAnsi="Abadi"/>
                <w:color w:val="000000" w:themeColor="text1"/>
                <w:sz w:val="22"/>
                <w:szCs w:val="22"/>
              </w:rPr>
            </w:pPr>
          </w:p>
        </w:tc>
      </w:tr>
    </w:tbl>
    <w:p w14:paraId="5D1A57C8" w14:textId="77777777" w:rsidR="008A589E" w:rsidRPr="0013132F" w:rsidRDefault="008A589E" w:rsidP="008A589E">
      <w:pPr>
        <w:rPr>
          <w:rFonts w:ascii="Abadi" w:hAnsi="Abadi"/>
          <w:b/>
          <w:bCs/>
          <w:sz w:val="24"/>
          <w:szCs w:val="24"/>
        </w:rPr>
      </w:pPr>
    </w:p>
    <w:p w14:paraId="490B7B16" w14:textId="77777777" w:rsidR="008A589E" w:rsidRPr="0013132F" w:rsidRDefault="008A589E" w:rsidP="008A589E">
      <w:pPr>
        <w:rPr>
          <w:rFonts w:ascii="Abadi" w:hAnsi="Abadi"/>
          <w:b/>
          <w:bCs/>
          <w:sz w:val="24"/>
          <w:szCs w:val="24"/>
        </w:rPr>
      </w:pPr>
    </w:p>
    <w:p w14:paraId="587DCF96" w14:textId="0AF4F501" w:rsidR="008A589E" w:rsidRPr="0013132F" w:rsidRDefault="008A589E" w:rsidP="008A589E">
      <w:pPr>
        <w:pStyle w:val="ListParagraph"/>
        <w:numPr>
          <w:ilvl w:val="0"/>
          <w:numId w:val="2"/>
        </w:numPr>
        <w:contextualSpacing w:val="0"/>
        <w:rPr>
          <w:rFonts w:ascii="Abadi" w:hAnsi="Abadi"/>
          <w:b/>
          <w:bCs/>
          <w:sz w:val="24"/>
          <w:szCs w:val="24"/>
        </w:rPr>
      </w:pPr>
      <w:r w:rsidRPr="0013132F">
        <w:rPr>
          <w:rFonts w:ascii="Abadi" w:hAnsi="Abadi"/>
          <w:b/>
          <w:bCs/>
          <w:sz w:val="24"/>
          <w:szCs w:val="24"/>
        </w:rPr>
        <w:t>Model choices (mark: 1.</w:t>
      </w:r>
      <w:r w:rsidR="001B530D">
        <w:rPr>
          <w:rFonts w:ascii="Abadi" w:hAnsi="Abadi"/>
          <w:b/>
          <w:bCs/>
          <w:sz w:val="24"/>
          <w:szCs w:val="24"/>
        </w:rPr>
        <w:t>4</w:t>
      </w:r>
      <w:r w:rsidRPr="0013132F">
        <w:rPr>
          <w:rFonts w:ascii="Abadi" w:hAnsi="Abadi"/>
          <w:b/>
          <w:bCs/>
          <w:sz w:val="24"/>
          <w:szCs w:val="24"/>
        </w:rPr>
        <w:t xml:space="preserve"> /2)</w:t>
      </w:r>
    </w:p>
    <w:p w14:paraId="6D918A1A" w14:textId="77777777" w:rsidR="008A589E" w:rsidRPr="0013132F" w:rsidRDefault="008A589E" w:rsidP="008A589E">
      <w:pPr>
        <w:spacing w:after="60" w:line="252" w:lineRule="auto"/>
        <w:rPr>
          <w:rFonts w:ascii="Abadi" w:hAnsi="Abadi"/>
          <w:color w:val="000000" w:themeColor="text1"/>
          <w:sz w:val="22"/>
          <w:szCs w:val="22"/>
        </w:rPr>
      </w:pPr>
    </w:p>
    <w:tbl>
      <w:tblPr>
        <w:tblStyle w:val="TableGrid"/>
        <w:tblW w:w="14029" w:type="dxa"/>
        <w:tblLook w:val="04A0" w:firstRow="1" w:lastRow="0" w:firstColumn="1" w:lastColumn="0" w:noHBand="0" w:noVBand="1"/>
      </w:tblPr>
      <w:tblGrid>
        <w:gridCol w:w="3356"/>
        <w:gridCol w:w="10673"/>
      </w:tblGrid>
      <w:tr w:rsidR="0013132F" w:rsidRPr="0013132F" w14:paraId="123C88A4" w14:textId="77777777" w:rsidTr="0013132F">
        <w:tc>
          <w:tcPr>
            <w:tcW w:w="3356" w:type="dxa"/>
            <w:shd w:val="clear" w:color="auto" w:fill="ADADAD" w:themeFill="background2" w:themeFillShade="BF"/>
          </w:tcPr>
          <w:p w14:paraId="036BF4C5" w14:textId="77777777" w:rsidR="0013132F" w:rsidRPr="0013132F" w:rsidRDefault="0013132F" w:rsidP="002501E7">
            <w:pPr>
              <w:spacing w:after="60" w:line="252" w:lineRule="auto"/>
              <w:rPr>
                <w:rFonts w:ascii="Abadi" w:hAnsi="Abadi"/>
                <w:b/>
                <w:bCs/>
                <w:color w:val="000000" w:themeColor="text1"/>
                <w:sz w:val="22"/>
                <w:szCs w:val="22"/>
              </w:rPr>
            </w:pPr>
            <w:r w:rsidRPr="0013132F">
              <w:rPr>
                <w:rFonts w:ascii="Abadi" w:hAnsi="Abadi"/>
                <w:b/>
                <w:bCs/>
                <w:color w:val="000000" w:themeColor="text1"/>
                <w:sz w:val="22"/>
                <w:szCs w:val="22"/>
              </w:rPr>
              <w:t>Strengths</w:t>
            </w:r>
          </w:p>
        </w:tc>
        <w:tc>
          <w:tcPr>
            <w:tcW w:w="10673" w:type="dxa"/>
            <w:shd w:val="clear" w:color="auto" w:fill="ADADAD" w:themeFill="background2" w:themeFillShade="BF"/>
          </w:tcPr>
          <w:p w14:paraId="5F99DDA4" w14:textId="21719983" w:rsidR="0013132F" w:rsidRPr="0013132F" w:rsidRDefault="0013132F" w:rsidP="002501E7">
            <w:pPr>
              <w:spacing w:after="60" w:line="252" w:lineRule="auto"/>
              <w:rPr>
                <w:rFonts w:ascii="Abadi" w:hAnsi="Abadi"/>
                <w:b/>
                <w:bCs/>
                <w:color w:val="000000" w:themeColor="text1"/>
                <w:sz w:val="22"/>
                <w:szCs w:val="22"/>
              </w:rPr>
            </w:pPr>
            <w:r>
              <w:rPr>
                <w:rFonts w:ascii="Abadi" w:hAnsi="Abadi"/>
                <w:b/>
                <w:bCs/>
                <w:color w:val="000000" w:themeColor="text1"/>
                <w:sz w:val="22"/>
                <w:szCs w:val="22"/>
              </w:rPr>
              <w:t>Weaknesses</w:t>
            </w:r>
          </w:p>
        </w:tc>
      </w:tr>
      <w:tr w:rsidR="0013132F" w:rsidRPr="0013132F" w14:paraId="2D9712A8" w14:textId="77777777" w:rsidTr="0013132F">
        <w:tc>
          <w:tcPr>
            <w:tcW w:w="3356" w:type="dxa"/>
          </w:tcPr>
          <w:p w14:paraId="47341AED" w14:textId="77777777" w:rsidR="0013132F" w:rsidRPr="0013132F" w:rsidRDefault="0013132F" w:rsidP="00C26CE4">
            <w:pPr>
              <w:spacing w:after="60" w:line="252" w:lineRule="auto"/>
              <w:rPr>
                <w:rFonts w:ascii="Abadi" w:hAnsi="Abadi"/>
                <w:color w:val="000000" w:themeColor="text1"/>
                <w:sz w:val="22"/>
                <w:szCs w:val="22"/>
              </w:rPr>
            </w:pPr>
            <w:r w:rsidRPr="0013132F">
              <w:rPr>
                <w:rFonts w:ascii="Abadi" w:hAnsi="Abadi"/>
                <w:color w:val="000000" w:themeColor="text1"/>
                <w:sz w:val="22"/>
                <w:szCs w:val="22"/>
              </w:rPr>
              <w:t xml:space="preserve">The inclusion of </w:t>
            </w:r>
            <w:r w:rsidRPr="0013132F">
              <w:rPr>
                <w:rFonts w:ascii="Abadi" w:hAnsi="Abadi"/>
                <w:b/>
                <w:bCs/>
                <w:color w:val="000000" w:themeColor="text1"/>
                <w:sz w:val="22"/>
                <w:szCs w:val="22"/>
              </w:rPr>
              <w:t>XGBoost</w:t>
            </w:r>
            <w:r w:rsidRPr="0013132F">
              <w:rPr>
                <w:rFonts w:ascii="Abadi" w:hAnsi="Abadi"/>
                <w:color w:val="000000" w:themeColor="text1"/>
                <w:sz w:val="22"/>
                <w:szCs w:val="22"/>
              </w:rPr>
              <w:t xml:space="preserve"> is equally appropriate given the complexity of the business problem. Customer activation behaviour is influenced by multiple interacting factors, and XGBoost is well suited to capturing complex, non-linear relationships that may not be adequately represented by simpler statistical models. Furthermore, its ability to handle class imbalance, manage missing values, and model high-dimensional datasets makes it a robust choice for predictive performance optimisation.</w:t>
            </w:r>
          </w:p>
          <w:p w14:paraId="3752A670" w14:textId="2AA2EB92" w:rsidR="0013132F" w:rsidRPr="0013132F" w:rsidRDefault="0013132F" w:rsidP="002501E7">
            <w:pPr>
              <w:spacing w:after="60" w:line="252" w:lineRule="auto"/>
              <w:rPr>
                <w:rFonts w:ascii="Abadi" w:hAnsi="Abadi"/>
                <w:color w:val="000000" w:themeColor="text1"/>
                <w:sz w:val="22"/>
                <w:szCs w:val="22"/>
              </w:rPr>
            </w:pPr>
          </w:p>
        </w:tc>
        <w:tc>
          <w:tcPr>
            <w:tcW w:w="10673" w:type="dxa"/>
          </w:tcPr>
          <w:p w14:paraId="409CBBF4"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lastRenderedPageBreak/>
              <w:t xml:space="preserve">The project should also consider potential </w:t>
            </w:r>
            <w:r w:rsidRPr="0013132F">
              <w:rPr>
                <w:rFonts w:ascii="Abadi" w:eastAsia="Times New Roman" w:hAnsi="Abadi" w:cs="Segoe UI"/>
                <w:b/>
                <w:bCs/>
                <w:sz w:val="22"/>
                <w:szCs w:val="22"/>
              </w:rPr>
              <w:t>fairness and bias risks</w:t>
            </w:r>
            <w:r w:rsidRPr="0013132F">
              <w:rPr>
                <w:rFonts w:ascii="Abadi" w:eastAsia="Times New Roman" w:hAnsi="Abadi" w:cs="Segoe UI"/>
                <w:sz w:val="22"/>
                <w:szCs w:val="22"/>
              </w:rPr>
              <w:t xml:space="preserve"> associated with demographic attributes such as </w:t>
            </w:r>
            <w:r w:rsidRPr="0013132F">
              <w:rPr>
                <w:rFonts w:ascii="Abadi" w:eastAsia="Times New Roman" w:hAnsi="Abadi" w:cs="Segoe UI"/>
                <w:b/>
                <w:bCs/>
                <w:sz w:val="22"/>
                <w:szCs w:val="22"/>
              </w:rPr>
              <w:t>gender</w:t>
            </w:r>
            <w:r w:rsidRPr="0013132F">
              <w:rPr>
                <w:rFonts w:ascii="Abadi" w:eastAsia="Times New Roman" w:hAnsi="Abadi" w:cs="Segoe UI"/>
                <w:sz w:val="22"/>
                <w:szCs w:val="22"/>
              </w:rPr>
              <w:t>. While demographic variables can contribute predictive value, their use may inadvertently introduce discriminatory outcomes or unequal treatment of customer groups. The inclusion of such variables should be supported by a clear business justification and accompanied by fairness testing to evaluate whether model predictions disproportionately favour or disadvantage specific demographic segments.</w:t>
            </w:r>
          </w:p>
          <w:p w14:paraId="57E356EE" w14:textId="77777777" w:rsidR="0013132F" w:rsidRPr="0013132F" w:rsidRDefault="0013132F" w:rsidP="00C26CE4">
            <w:pPr>
              <w:spacing w:line="300" w:lineRule="atLeast"/>
              <w:rPr>
                <w:rFonts w:ascii="Abadi" w:eastAsia="Times New Roman" w:hAnsi="Abadi" w:cs="Segoe UI"/>
                <w:sz w:val="22"/>
                <w:szCs w:val="22"/>
              </w:rPr>
            </w:pPr>
            <w:r w:rsidRPr="0013132F">
              <w:rPr>
                <w:rFonts w:ascii="Abadi" w:eastAsia="Times New Roman" w:hAnsi="Abadi" w:cs="Segoe UI"/>
                <w:sz w:val="22"/>
                <w:szCs w:val="22"/>
              </w:rPr>
              <w:t xml:space="preserve">In addition, the project documentation contains inconsistencies regarding the structure and scope of the input dataset. Some sections report that the model is based on </w:t>
            </w:r>
            <w:r w:rsidRPr="0013132F">
              <w:rPr>
                <w:rFonts w:ascii="Abadi" w:eastAsia="Times New Roman" w:hAnsi="Abadi" w:cs="Segoe UI"/>
                <w:b/>
                <w:bCs/>
                <w:sz w:val="22"/>
                <w:szCs w:val="22"/>
              </w:rPr>
              <w:t>six data domains and 52 features</w:t>
            </w:r>
            <w:r w:rsidRPr="0013132F">
              <w:rPr>
                <w:rFonts w:ascii="Abadi" w:eastAsia="Times New Roman" w:hAnsi="Abadi" w:cs="Segoe UI"/>
                <w:sz w:val="22"/>
                <w:szCs w:val="22"/>
              </w:rPr>
              <w:t xml:space="preserve">, while other sections reference </w:t>
            </w:r>
            <w:r w:rsidRPr="0013132F">
              <w:rPr>
                <w:rFonts w:ascii="Abadi" w:eastAsia="Times New Roman" w:hAnsi="Abadi" w:cs="Segoe UI"/>
                <w:b/>
                <w:bCs/>
                <w:sz w:val="22"/>
                <w:szCs w:val="22"/>
              </w:rPr>
              <w:t>12 source tables and 168 features</w:t>
            </w:r>
            <w:r w:rsidRPr="0013132F">
              <w:rPr>
                <w:rFonts w:ascii="Abadi" w:eastAsia="Times New Roman" w:hAnsi="Abadi" w:cs="Segoe UI"/>
                <w:sz w:val="22"/>
                <w:szCs w:val="22"/>
              </w:rPr>
              <w:t>. This discrepancy makes it difficult to determine the actual modelling dataset and raises concerns regarding traceability and reproducibility. Stakeholders should be able to clearly understand which data sources, feature sets, and transformation processes were used to develop the final model.</w:t>
            </w:r>
          </w:p>
          <w:p w14:paraId="28CDC371" w14:textId="77777777" w:rsidR="0013132F" w:rsidRPr="0013132F" w:rsidRDefault="0013132F" w:rsidP="002501E7">
            <w:pPr>
              <w:spacing w:after="60" w:line="252" w:lineRule="auto"/>
              <w:rPr>
                <w:rFonts w:ascii="Abadi" w:hAnsi="Abadi"/>
                <w:color w:val="000000" w:themeColor="text1"/>
                <w:sz w:val="22"/>
                <w:szCs w:val="22"/>
              </w:rPr>
            </w:pPr>
          </w:p>
        </w:tc>
      </w:tr>
    </w:tbl>
    <w:p w14:paraId="17B38F00" w14:textId="77777777" w:rsidR="008A589E" w:rsidRPr="0013132F" w:rsidRDefault="008A589E" w:rsidP="008A589E">
      <w:pPr>
        <w:spacing w:after="60" w:line="252" w:lineRule="auto"/>
        <w:rPr>
          <w:rFonts w:ascii="Abadi" w:hAnsi="Abadi"/>
          <w:color w:val="000000" w:themeColor="text1"/>
          <w:sz w:val="22"/>
          <w:szCs w:val="22"/>
        </w:rPr>
      </w:pPr>
    </w:p>
    <w:p w14:paraId="5E81AFEA" w14:textId="14F2BF67" w:rsidR="008A589E" w:rsidRPr="0013132F" w:rsidRDefault="008A589E" w:rsidP="008A589E">
      <w:pPr>
        <w:pStyle w:val="ListParagraph"/>
        <w:numPr>
          <w:ilvl w:val="0"/>
          <w:numId w:val="2"/>
        </w:numPr>
        <w:contextualSpacing w:val="0"/>
        <w:rPr>
          <w:rFonts w:ascii="Abadi" w:hAnsi="Abadi"/>
          <w:b/>
          <w:bCs/>
          <w:sz w:val="24"/>
          <w:szCs w:val="24"/>
        </w:rPr>
      </w:pPr>
      <w:r w:rsidRPr="0013132F">
        <w:rPr>
          <w:rFonts w:ascii="Abadi" w:hAnsi="Abadi"/>
          <w:b/>
          <w:bCs/>
          <w:sz w:val="24"/>
          <w:szCs w:val="24"/>
        </w:rPr>
        <w:t>Statistical Analysis (mark: 1.</w:t>
      </w:r>
      <w:r w:rsidR="001B530D">
        <w:rPr>
          <w:rFonts w:ascii="Abadi" w:hAnsi="Abadi"/>
          <w:b/>
          <w:bCs/>
          <w:sz w:val="24"/>
          <w:szCs w:val="24"/>
        </w:rPr>
        <w:t>5</w:t>
      </w:r>
      <w:r w:rsidRPr="0013132F">
        <w:rPr>
          <w:rFonts w:ascii="Abadi" w:hAnsi="Abadi"/>
          <w:b/>
          <w:bCs/>
          <w:sz w:val="24"/>
          <w:szCs w:val="24"/>
        </w:rPr>
        <w:t xml:space="preserve"> /2)</w:t>
      </w:r>
    </w:p>
    <w:p w14:paraId="304697B3" w14:textId="77777777" w:rsidR="008A589E" w:rsidRPr="0013132F" w:rsidRDefault="008A589E" w:rsidP="008A589E">
      <w:pPr>
        <w:spacing w:after="60" w:line="252" w:lineRule="auto"/>
        <w:rPr>
          <w:rFonts w:ascii="Abadi" w:hAnsi="Abadi"/>
          <w:color w:val="000000" w:themeColor="text1"/>
          <w:sz w:val="22"/>
          <w:szCs w:val="22"/>
        </w:rPr>
      </w:pPr>
    </w:p>
    <w:tbl>
      <w:tblPr>
        <w:tblStyle w:val="TableGrid"/>
        <w:tblW w:w="14312" w:type="dxa"/>
        <w:tblLook w:val="04A0" w:firstRow="1" w:lastRow="0" w:firstColumn="1" w:lastColumn="0" w:noHBand="0" w:noVBand="1"/>
      </w:tblPr>
      <w:tblGrid>
        <w:gridCol w:w="3356"/>
        <w:gridCol w:w="10956"/>
      </w:tblGrid>
      <w:tr w:rsidR="0013132F" w:rsidRPr="0013132F" w14:paraId="54E59A29" w14:textId="77777777" w:rsidTr="0013132F">
        <w:tc>
          <w:tcPr>
            <w:tcW w:w="3356" w:type="dxa"/>
            <w:shd w:val="clear" w:color="auto" w:fill="ADADAD" w:themeFill="background2" w:themeFillShade="BF"/>
          </w:tcPr>
          <w:p w14:paraId="1F3672E4" w14:textId="77777777" w:rsidR="0013132F" w:rsidRPr="0013132F" w:rsidRDefault="0013132F" w:rsidP="002501E7">
            <w:pPr>
              <w:spacing w:after="60" w:line="252" w:lineRule="auto"/>
              <w:rPr>
                <w:rFonts w:ascii="Abadi" w:hAnsi="Abadi"/>
                <w:b/>
                <w:bCs/>
                <w:color w:val="000000" w:themeColor="text1"/>
                <w:sz w:val="22"/>
                <w:szCs w:val="22"/>
              </w:rPr>
            </w:pPr>
            <w:r w:rsidRPr="0013132F">
              <w:rPr>
                <w:rFonts w:ascii="Abadi" w:hAnsi="Abadi"/>
                <w:b/>
                <w:bCs/>
                <w:color w:val="000000" w:themeColor="text1"/>
                <w:sz w:val="22"/>
                <w:szCs w:val="22"/>
              </w:rPr>
              <w:t>Strengths</w:t>
            </w:r>
          </w:p>
        </w:tc>
        <w:tc>
          <w:tcPr>
            <w:tcW w:w="10956" w:type="dxa"/>
            <w:shd w:val="clear" w:color="auto" w:fill="ADADAD" w:themeFill="background2" w:themeFillShade="BF"/>
          </w:tcPr>
          <w:p w14:paraId="06E24589" w14:textId="1A5A6F9A" w:rsidR="0013132F" w:rsidRPr="0013132F" w:rsidRDefault="0013132F" w:rsidP="002501E7">
            <w:pPr>
              <w:spacing w:after="60" w:line="252" w:lineRule="auto"/>
              <w:rPr>
                <w:rFonts w:ascii="Abadi" w:hAnsi="Abadi"/>
                <w:b/>
                <w:bCs/>
                <w:color w:val="000000" w:themeColor="text1"/>
                <w:sz w:val="22"/>
                <w:szCs w:val="22"/>
              </w:rPr>
            </w:pPr>
            <w:r>
              <w:rPr>
                <w:rFonts w:ascii="Abadi" w:hAnsi="Abadi"/>
                <w:b/>
                <w:bCs/>
                <w:color w:val="000000" w:themeColor="text1"/>
                <w:sz w:val="22"/>
                <w:szCs w:val="22"/>
              </w:rPr>
              <w:t>Weaknesses</w:t>
            </w:r>
          </w:p>
        </w:tc>
      </w:tr>
      <w:tr w:rsidR="0013132F" w:rsidRPr="0013132F" w14:paraId="2131B226" w14:textId="77777777" w:rsidTr="0013132F">
        <w:tc>
          <w:tcPr>
            <w:tcW w:w="3356" w:type="dxa"/>
          </w:tcPr>
          <w:p w14:paraId="6134CD34" w14:textId="67CFDC26" w:rsidR="0013132F" w:rsidRPr="0013132F" w:rsidRDefault="0013132F" w:rsidP="00C26CE4">
            <w:pPr>
              <w:spacing w:before="100" w:beforeAutospacing="1" w:after="100" w:afterAutospacing="1" w:line="300" w:lineRule="atLeast"/>
              <w:rPr>
                <w:rFonts w:ascii="Abadi" w:eastAsia="Times New Roman" w:hAnsi="Abadi" w:cs="Segoe UI"/>
                <w:sz w:val="21"/>
                <w:szCs w:val="21"/>
              </w:rPr>
            </w:pPr>
            <w:r w:rsidRPr="0013132F">
              <w:rPr>
                <w:rFonts w:ascii="Abadi" w:eastAsia="Times New Roman" w:hAnsi="Abadi" w:cs="Segoe UI"/>
                <w:sz w:val="21"/>
                <w:szCs w:val="21"/>
              </w:rPr>
              <w:t xml:space="preserve">The proposed </w:t>
            </w:r>
            <w:r>
              <w:rPr>
                <w:rFonts w:ascii="Abadi" w:eastAsia="Times New Roman" w:hAnsi="Abadi" w:cs="Segoe UI"/>
                <w:b/>
                <w:bCs/>
                <w:sz w:val="21"/>
                <w:szCs w:val="21"/>
              </w:rPr>
              <w:t>7</w:t>
            </w:r>
            <w:r w:rsidRPr="0013132F">
              <w:rPr>
                <w:rFonts w:ascii="Abadi" w:eastAsia="Times New Roman" w:hAnsi="Abadi" w:cs="Segoe UI"/>
                <w:b/>
                <w:bCs/>
                <w:sz w:val="21"/>
                <w:szCs w:val="21"/>
              </w:rPr>
              <w:t>0/20/</w:t>
            </w:r>
            <w:r>
              <w:rPr>
                <w:rFonts w:ascii="Abadi" w:eastAsia="Times New Roman" w:hAnsi="Abadi" w:cs="Segoe UI"/>
                <w:b/>
                <w:bCs/>
                <w:sz w:val="21"/>
                <w:szCs w:val="21"/>
              </w:rPr>
              <w:t>10</w:t>
            </w:r>
            <w:r w:rsidRPr="0013132F">
              <w:rPr>
                <w:rFonts w:ascii="Abadi" w:eastAsia="Times New Roman" w:hAnsi="Abadi" w:cs="Segoe UI"/>
                <w:b/>
                <w:bCs/>
                <w:sz w:val="21"/>
                <w:szCs w:val="21"/>
              </w:rPr>
              <w:t xml:space="preserve"> stratified train-validation-test split</w:t>
            </w:r>
            <w:r w:rsidRPr="0013132F">
              <w:rPr>
                <w:rFonts w:ascii="Abadi" w:eastAsia="Times New Roman" w:hAnsi="Abadi" w:cs="Segoe UI"/>
                <w:sz w:val="21"/>
                <w:szCs w:val="21"/>
              </w:rPr>
              <w:t xml:space="preserve"> represents a sound approach to model development and evaluation. By maintaining the same class distribution across all subsets, stratified sampling helps ensure that the training, validation, and test datasets are representative of the overall population. This is particularly important in customer activation prediction, where differences in class prevalence can significantly influence model training and performance assessment. The approach supports fair model comparison and reduces the risk of biased evaluation results.</w:t>
            </w:r>
          </w:p>
          <w:p w14:paraId="41B1376E" w14:textId="77777777" w:rsidR="0013132F" w:rsidRPr="0013132F" w:rsidRDefault="0013132F" w:rsidP="00C26CE4">
            <w:pPr>
              <w:spacing w:before="100" w:beforeAutospacing="1" w:after="100" w:afterAutospacing="1" w:line="300" w:lineRule="atLeast"/>
              <w:rPr>
                <w:rFonts w:ascii="Abadi" w:eastAsia="Times New Roman" w:hAnsi="Abadi" w:cs="Segoe UI"/>
                <w:sz w:val="21"/>
                <w:szCs w:val="21"/>
              </w:rPr>
            </w:pPr>
            <w:r w:rsidRPr="0013132F">
              <w:rPr>
                <w:rFonts w:ascii="Abadi" w:eastAsia="Times New Roman" w:hAnsi="Abadi" w:cs="Segoe UI"/>
                <w:sz w:val="21"/>
                <w:szCs w:val="21"/>
              </w:rPr>
              <w:t xml:space="preserve">The planned use of </w:t>
            </w:r>
            <w:r w:rsidRPr="0013132F">
              <w:rPr>
                <w:rFonts w:ascii="Abadi" w:eastAsia="Times New Roman" w:hAnsi="Abadi" w:cs="Segoe UI"/>
                <w:b/>
                <w:bCs/>
                <w:sz w:val="21"/>
                <w:szCs w:val="21"/>
              </w:rPr>
              <w:t>SMOTE (Synthetic Minority Over-sampling Technique)</w:t>
            </w:r>
            <w:r w:rsidRPr="0013132F">
              <w:rPr>
                <w:rFonts w:ascii="Abadi" w:eastAsia="Times New Roman" w:hAnsi="Abadi" w:cs="Segoe UI"/>
                <w:sz w:val="21"/>
                <w:szCs w:val="21"/>
              </w:rPr>
              <w:t xml:space="preserve">, combined with </w:t>
            </w:r>
            <w:r w:rsidRPr="0013132F">
              <w:rPr>
                <w:rFonts w:ascii="Abadi" w:eastAsia="Times New Roman" w:hAnsi="Abadi" w:cs="Segoe UI"/>
                <w:b/>
                <w:bCs/>
                <w:sz w:val="21"/>
                <w:szCs w:val="21"/>
              </w:rPr>
              <w:t>class weighting</w:t>
            </w:r>
            <w:r w:rsidRPr="0013132F">
              <w:rPr>
                <w:rFonts w:ascii="Abadi" w:eastAsia="Times New Roman" w:hAnsi="Abadi" w:cs="Segoe UI"/>
                <w:sz w:val="21"/>
                <w:szCs w:val="21"/>
              </w:rPr>
              <w:t xml:space="preserve">, demonstrates a proactive strategy </w:t>
            </w:r>
            <w:r w:rsidRPr="0013132F">
              <w:rPr>
                <w:rFonts w:ascii="Abadi" w:eastAsia="Times New Roman" w:hAnsi="Abadi" w:cs="Segoe UI"/>
                <w:sz w:val="21"/>
                <w:szCs w:val="21"/>
              </w:rPr>
              <w:lastRenderedPageBreak/>
              <w:t>for addressing class imbalance within the dataset. Since activated and non-activated customers are unlikely to be equally represented, these techniques help prevent the model from becoming overly biased toward the majority class. SMOTE enhances the representation of minority-class observations during training, while class weighting adjusts the learning process to place greater emphasis on correctly classifying underrepresented cases. Together, these methods can improve the model's ability to identify customers at risk of non-activation without disproportionately sacrificing overall performance.</w:t>
            </w:r>
          </w:p>
          <w:p w14:paraId="0757FDA0" w14:textId="54B28F6B" w:rsidR="0013132F" w:rsidRPr="0013132F" w:rsidRDefault="0013132F" w:rsidP="002501E7">
            <w:pPr>
              <w:spacing w:after="60" w:line="252" w:lineRule="auto"/>
              <w:rPr>
                <w:rFonts w:ascii="Abadi" w:hAnsi="Abadi"/>
                <w:color w:val="000000" w:themeColor="text1"/>
                <w:sz w:val="22"/>
                <w:szCs w:val="22"/>
              </w:rPr>
            </w:pPr>
          </w:p>
        </w:tc>
        <w:tc>
          <w:tcPr>
            <w:tcW w:w="10956" w:type="dxa"/>
          </w:tcPr>
          <w:p w14:paraId="37A85CE7" w14:textId="77777777" w:rsidR="0013132F" w:rsidRPr="0013132F" w:rsidRDefault="0013132F" w:rsidP="00C26CE4">
            <w:pPr>
              <w:spacing w:after="60" w:line="252" w:lineRule="auto"/>
              <w:rPr>
                <w:rFonts w:ascii="Abadi" w:hAnsi="Abadi"/>
                <w:color w:val="000000" w:themeColor="text1"/>
                <w:sz w:val="22"/>
                <w:szCs w:val="22"/>
              </w:rPr>
            </w:pPr>
            <w:r w:rsidRPr="0013132F">
              <w:rPr>
                <w:rFonts w:ascii="Abadi" w:hAnsi="Abadi"/>
                <w:color w:val="000000" w:themeColor="text1"/>
                <w:sz w:val="22"/>
                <w:szCs w:val="22"/>
              </w:rPr>
              <w:lastRenderedPageBreak/>
              <w:t xml:space="preserve">The evaluation framework also appears to rely heavily on </w:t>
            </w:r>
            <w:r w:rsidRPr="0013132F">
              <w:rPr>
                <w:rFonts w:ascii="Abadi" w:hAnsi="Abadi"/>
                <w:b/>
                <w:bCs/>
                <w:color w:val="000000" w:themeColor="text1"/>
                <w:sz w:val="22"/>
                <w:szCs w:val="22"/>
              </w:rPr>
              <w:t>AUC</w:t>
            </w:r>
            <w:r w:rsidRPr="0013132F">
              <w:rPr>
                <w:rFonts w:ascii="Abadi" w:hAnsi="Abadi"/>
                <w:color w:val="000000" w:themeColor="text1"/>
                <w:sz w:val="22"/>
                <w:szCs w:val="22"/>
              </w:rPr>
              <w:t xml:space="preserve"> as the principal performance metric. While AUC is a valuable measure of a model's ability to discriminate between classes, it may mask weaknesses in predicting the minority class, particularly in imbalanced datasets. A model can achieve a strong AUC score while still performing poorly in identifying customers who are at the greatest risk of non-activation. To provide a more comprehensive assessment of model effectiveness, additional metrics such as precision, recall, F1-score, specificity, balanced accuracy, and precision-recall AUC should be reported alongside the overall AUC value.</w:t>
            </w:r>
          </w:p>
          <w:p w14:paraId="5100D046" w14:textId="77777777" w:rsidR="0013132F" w:rsidRPr="0013132F" w:rsidRDefault="0013132F" w:rsidP="00C26CE4">
            <w:pPr>
              <w:spacing w:after="60" w:line="252" w:lineRule="auto"/>
              <w:rPr>
                <w:rFonts w:ascii="Abadi" w:hAnsi="Abadi"/>
                <w:color w:val="000000" w:themeColor="text1"/>
                <w:sz w:val="22"/>
                <w:szCs w:val="22"/>
              </w:rPr>
            </w:pPr>
            <w:r w:rsidRPr="0013132F">
              <w:rPr>
                <w:rFonts w:ascii="Abadi" w:hAnsi="Abadi"/>
                <w:color w:val="000000" w:themeColor="text1"/>
                <w:sz w:val="22"/>
                <w:szCs w:val="22"/>
              </w:rPr>
              <w:t xml:space="preserve">Another limitation is the absence of </w:t>
            </w:r>
            <w:r w:rsidRPr="0013132F">
              <w:rPr>
                <w:rFonts w:ascii="Abadi" w:hAnsi="Abadi"/>
                <w:b/>
                <w:bCs/>
                <w:color w:val="000000" w:themeColor="text1"/>
                <w:sz w:val="22"/>
                <w:szCs w:val="22"/>
              </w:rPr>
              <w:t>confidence intervals</w:t>
            </w:r>
            <w:r w:rsidRPr="0013132F">
              <w:rPr>
                <w:rFonts w:ascii="Abadi" w:hAnsi="Abadi"/>
                <w:color w:val="000000" w:themeColor="text1"/>
                <w:sz w:val="22"/>
                <w:szCs w:val="22"/>
              </w:rPr>
              <w:t xml:space="preserve"> or measures of statistical uncertainty around the reported performance results. Without confidence intervals, it is difficult to determine whether observed differences in performance are meaningful or simply the result of sampling variation. Including confidence intervals derived from cross-validation, bootstrapping, or repeated sampling would improve the robustness of the evaluation and provide stakeholders with a clearer understanding of the reliability of the reported metrics.</w:t>
            </w:r>
          </w:p>
          <w:p w14:paraId="2742FCC6" w14:textId="77777777" w:rsidR="0013132F" w:rsidRPr="0013132F" w:rsidRDefault="0013132F" w:rsidP="00C26CE4">
            <w:pPr>
              <w:spacing w:after="60" w:line="252" w:lineRule="auto"/>
              <w:rPr>
                <w:rFonts w:ascii="Abadi" w:hAnsi="Abadi"/>
                <w:color w:val="000000" w:themeColor="text1"/>
                <w:sz w:val="22"/>
                <w:szCs w:val="22"/>
              </w:rPr>
            </w:pPr>
            <w:r w:rsidRPr="0013132F">
              <w:rPr>
                <w:rFonts w:ascii="Abadi" w:hAnsi="Abadi"/>
                <w:color w:val="000000" w:themeColor="text1"/>
                <w:sz w:val="22"/>
                <w:szCs w:val="22"/>
              </w:rPr>
              <w:t xml:space="preserve">The report also provides limited comparative analysis between </w:t>
            </w:r>
            <w:r w:rsidRPr="0013132F">
              <w:rPr>
                <w:rFonts w:ascii="Abadi" w:hAnsi="Abadi"/>
                <w:b/>
                <w:bCs/>
                <w:color w:val="000000" w:themeColor="text1"/>
                <w:sz w:val="22"/>
                <w:szCs w:val="22"/>
              </w:rPr>
              <w:t>Logistic Regression</w:t>
            </w:r>
            <w:r w:rsidRPr="0013132F">
              <w:rPr>
                <w:rFonts w:ascii="Abadi" w:hAnsi="Abadi"/>
                <w:color w:val="000000" w:themeColor="text1"/>
                <w:sz w:val="22"/>
                <w:szCs w:val="22"/>
              </w:rPr>
              <w:t xml:space="preserve"> and </w:t>
            </w:r>
            <w:r w:rsidRPr="0013132F">
              <w:rPr>
                <w:rFonts w:ascii="Abadi" w:hAnsi="Abadi"/>
                <w:b/>
                <w:bCs/>
                <w:color w:val="000000" w:themeColor="text1"/>
                <w:sz w:val="22"/>
                <w:szCs w:val="22"/>
              </w:rPr>
              <w:t>XGBoost</w:t>
            </w:r>
            <w:r w:rsidRPr="0013132F">
              <w:rPr>
                <w:rFonts w:ascii="Abadi" w:hAnsi="Abadi"/>
                <w:color w:val="000000" w:themeColor="text1"/>
                <w:sz w:val="22"/>
                <w:szCs w:val="22"/>
              </w:rPr>
              <w:t>. While both models are identified as candidate approaches, there is insufficient discussion of their relative performance, trade-offs, strengths, and weaknesses. A structured comparison covering predictive accuracy, calibration, explainability, computational requirements, and operational suitability would provide stronger justification for the selection of the final production model.</w:t>
            </w:r>
          </w:p>
          <w:p w14:paraId="55A997B9" w14:textId="444C215A" w:rsidR="0013132F" w:rsidRPr="0013132F" w:rsidRDefault="0013132F" w:rsidP="002501E7">
            <w:pPr>
              <w:spacing w:after="60" w:line="252" w:lineRule="auto"/>
              <w:rPr>
                <w:rFonts w:ascii="Abadi" w:hAnsi="Abadi"/>
                <w:color w:val="000000" w:themeColor="text1"/>
                <w:sz w:val="22"/>
                <w:szCs w:val="22"/>
              </w:rPr>
            </w:pPr>
          </w:p>
        </w:tc>
      </w:tr>
    </w:tbl>
    <w:p w14:paraId="035A28E1" w14:textId="77777777" w:rsidR="008A589E" w:rsidRPr="0013132F" w:rsidRDefault="008A589E" w:rsidP="008A589E">
      <w:pPr>
        <w:rPr>
          <w:rFonts w:ascii="Abadi" w:hAnsi="Abadi"/>
          <w:b/>
          <w:bCs/>
          <w:sz w:val="22"/>
          <w:szCs w:val="22"/>
        </w:rPr>
      </w:pPr>
    </w:p>
    <w:p w14:paraId="34DEDEFC" w14:textId="77777777" w:rsidR="008A589E" w:rsidRPr="0013132F" w:rsidRDefault="008A589E" w:rsidP="008A589E">
      <w:pPr>
        <w:rPr>
          <w:rFonts w:ascii="Abadi" w:hAnsi="Abadi"/>
          <w:b/>
          <w:bCs/>
          <w:sz w:val="22"/>
          <w:szCs w:val="22"/>
        </w:rPr>
      </w:pPr>
    </w:p>
    <w:p w14:paraId="651D3991" w14:textId="77777777" w:rsidR="008A589E" w:rsidRDefault="008A589E" w:rsidP="008A589E">
      <w:pPr>
        <w:rPr>
          <w:rFonts w:ascii="Abadi" w:hAnsi="Abadi"/>
          <w:b/>
          <w:bCs/>
          <w:sz w:val="22"/>
          <w:szCs w:val="22"/>
        </w:rPr>
      </w:pPr>
    </w:p>
    <w:p w14:paraId="5A7260F4" w14:textId="77777777" w:rsidR="0013132F" w:rsidRDefault="0013132F" w:rsidP="008A589E">
      <w:pPr>
        <w:rPr>
          <w:rFonts w:ascii="Abadi" w:hAnsi="Abadi"/>
          <w:b/>
          <w:bCs/>
          <w:sz w:val="22"/>
          <w:szCs w:val="22"/>
        </w:rPr>
      </w:pPr>
    </w:p>
    <w:p w14:paraId="6850AD46" w14:textId="77777777" w:rsidR="0013132F" w:rsidRDefault="0013132F" w:rsidP="008A589E">
      <w:pPr>
        <w:rPr>
          <w:rFonts w:ascii="Abadi" w:hAnsi="Abadi"/>
          <w:b/>
          <w:bCs/>
          <w:sz w:val="22"/>
          <w:szCs w:val="22"/>
        </w:rPr>
      </w:pPr>
    </w:p>
    <w:p w14:paraId="764FB8EC" w14:textId="77777777" w:rsidR="0013132F" w:rsidRDefault="0013132F" w:rsidP="008A589E">
      <w:pPr>
        <w:rPr>
          <w:rFonts w:ascii="Abadi" w:hAnsi="Abadi"/>
          <w:b/>
          <w:bCs/>
          <w:sz w:val="22"/>
          <w:szCs w:val="22"/>
        </w:rPr>
      </w:pPr>
    </w:p>
    <w:p w14:paraId="2E7C26E8" w14:textId="77777777" w:rsidR="0013132F" w:rsidRDefault="0013132F" w:rsidP="008A589E">
      <w:pPr>
        <w:rPr>
          <w:rFonts w:ascii="Abadi" w:hAnsi="Abadi"/>
          <w:b/>
          <w:bCs/>
          <w:sz w:val="22"/>
          <w:szCs w:val="22"/>
        </w:rPr>
      </w:pPr>
    </w:p>
    <w:p w14:paraId="09F2E5A2" w14:textId="77777777" w:rsidR="0013132F" w:rsidRDefault="0013132F" w:rsidP="008A589E">
      <w:pPr>
        <w:rPr>
          <w:rFonts w:ascii="Abadi" w:hAnsi="Abadi"/>
          <w:b/>
          <w:bCs/>
          <w:sz w:val="22"/>
          <w:szCs w:val="22"/>
        </w:rPr>
      </w:pPr>
    </w:p>
    <w:p w14:paraId="73008076" w14:textId="77777777" w:rsidR="0013132F" w:rsidRDefault="0013132F" w:rsidP="008A589E">
      <w:pPr>
        <w:rPr>
          <w:rFonts w:ascii="Abadi" w:hAnsi="Abadi"/>
          <w:b/>
          <w:bCs/>
          <w:sz w:val="22"/>
          <w:szCs w:val="22"/>
        </w:rPr>
      </w:pPr>
    </w:p>
    <w:p w14:paraId="29A3FEDC" w14:textId="77777777" w:rsidR="0013132F" w:rsidRPr="0013132F" w:rsidRDefault="0013132F" w:rsidP="008A589E">
      <w:pPr>
        <w:rPr>
          <w:rFonts w:ascii="Abadi" w:hAnsi="Abadi"/>
          <w:b/>
          <w:bCs/>
          <w:sz w:val="22"/>
          <w:szCs w:val="22"/>
        </w:rPr>
      </w:pPr>
    </w:p>
    <w:p w14:paraId="2D366F94" w14:textId="77777777" w:rsidR="008A589E" w:rsidRPr="0013132F" w:rsidRDefault="008A589E" w:rsidP="008A589E">
      <w:pPr>
        <w:rPr>
          <w:rFonts w:ascii="Abadi" w:hAnsi="Abadi"/>
          <w:b/>
          <w:bCs/>
          <w:sz w:val="22"/>
          <w:szCs w:val="22"/>
        </w:rPr>
      </w:pPr>
    </w:p>
    <w:p w14:paraId="1C635CEE" w14:textId="7CC2C112" w:rsidR="008A589E" w:rsidRPr="0013132F" w:rsidRDefault="0013132F" w:rsidP="008A589E">
      <w:pPr>
        <w:rPr>
          <w:rFonts w:ascii="Abadi" w:hAnsi="Abadi"/>
          <w:b/>
          <w:bCs/>
          <w:sz w:val="24"/>
          <w:szCs w:val="24"/>
        </w:rPr>
      </w:pPr>
      <w:r>
        <w:rPr>
          <w:rFonts w:ascii="Abadi" w:hAnsi="Abadi"/>
          <w:b/>
          <w:bCs/>
          <w:sz w:val="24"/>
          <w:szCs w:val="24"/>
        </w:rPr>
        <w:lastRenderedPageBreak/>
        <w:t>Total</w:t>
      </w:r>
      <w:r w:rsidR="008A589E" w:rsidRPr="0013132F">
        <w:rPr>
          <w:rFonts w:ascii="Abadi" w:hAnsi="Abadi"/>
          <w:b/>
          <w:bCs/>
          <w:sz w:val="24"/>
          <w:szCs w:val="24"/>
        </w:rPr>
        <w:t xml:space="preserve"> peer assessment (mark: </w:t>
      </w:r>
      <w:r>
        <w:rPr>
          <w:rFonts w:ascii="Abadi" w:hAnsi="Abadi"/>
          <w:b/>
          <w:bCs/>
          <w:sz w:val="24"/>
          <w:szCs w:val="24"/>
        </w:rPr>
        <w:t>6</w:t>
      </w:r>
      <w:r w:rsidR="001B530D">
        <w:rPr>
          <w:rFonts w:ascii="Abadi" w:hAnsi="Abadi"/>
          <w:b/>
          <w:bCs/>
          <w:sz w:val="24"/>
          <w:szCs w:val="24"/>
        </w:rPr>
        <w:t>.1</w:t>
      </w:r>
      <w:r w:rsidR="008A589E" w:rsidRPr="0013132F">
        <w:rPr>
          <w:rFonts w:ascii="Abadi" w:hAnsi="Abadi"/>
          <w:b/>
          <w:bCs/>
          <w:sz w:val="24"/>
          <w:szCs w:val="24"/>
        </w:rPr>
        <w:t xml:space="preserve"> /8)</w:t>
      </w:r>
    </w:p>
    <w:p w14:paraId="2AF0D9F9" w14:textId="77777777" w:rsidR="008A589E" w:rsidRPr="0013132F" w:rsidRDefault="008A589E" w:rsidP="008A589E">
      <w:pPr>
        <w:spacing w:after="60" w:line="252" w:lineRule="auto"/>
        <w:rPr>
          <w:rFonts w:ascii="Abadi" w:hAnsi="Abadi"/>
          <w:color w:val="000000" w:themeColor="text1"/>
          <w:sz w:val="22"/>
          <w:szCs w:val="22"/>
        </w:rPr>
      </w:pPr>
    </w:p>
    <w:p w14:paraId="0D19134B" w14:textId="77777777" w:rsidR="008A589E" w:rsidRPr="0013132F" w:rsidRDefault="008A589E" w:rsidP="008A589E">
      <w:pPr>
        <w:spacing w:after="60" w:line="252" w:lineRule="auto"/>
        <w:rPr>
          <w:rFonts w:ascii="Abadi" w:hAnsi="Abadi"/>
          <w:color w:val="000000" w:themeColor="text1"/>
          <w:sz w:val="22"/>
          <w:szCs w:val="22"/>
          <w:lang w:val="en-US"/>
        </w:rPr>
      </w:pPr>
    </w:p>
    <w:p w14:paraId="74394996" w14:textId="77777777" w:rsidR="0013132F" w:rsidRPr="0013132F" w:rsidRDefault="0013132F" w:rsidP="0013132F">
      <w:pPr>
        <w:spacing w:before="100" w:beforeAutospacing="1" w:after="100" w:afterAutospacing="1" w:line="300" w:lineRule="atLeast"/>
        <w:rPr>
          <w:rFonts w:ascii="Abadi" w:eastAsia="Times New Roman" w:hAnsi="Abadi" w:cs="Segoe UI"/>
          <w:sz w:val="21"/>
          <w:szCs w:val="21"/>
        </w:rPr>
      </w:pPr>
      <w:r w:rsidRPr="0013132F">
        <w:rPr>
          <w:rFonts w:ascii="Abadi" w:eastAsia="Times New Roman" w:hAnsi="Abadi" w:cs="Segoe UI"/>
          <w:sz w:val="21"/>
          <w:szCs w:val="21"/>
        </w:rPr>
        <w:t xml:space="preserve">The project demonstrates strong business relevance, a clearly defined prediction objective, and an appropriate selection of machine learning techniques to address customer activation challenges. The use of </w:t>
      </w:r>
      <w:r w:rsidRPr="0013132F">
        <w:rPr>
          <w:rFonts w:ascii="Abadi" w:eastAsia="Times New Roman" w:hAnsi="Abadi" w:cs="Segoe UI"/>
          <w:b/>
          <w:bCs/>
          <w:sz w:val="21"/>
          <w:szCs w:val="21"/>
        </w:rPr>
        <w:t>Logistic Regression</w:t>
      </w:r>
      <w:r w:rsidRPr="0013132F">
        <w:rPr>
          <w:rFonts w:ascii="Abadi" w:eastAsia="Times New Roman" w:hAnsi="Abadi" w:cs="Segoe UI"/>
          <w:sz w:val="21"/>
          <w:szCs w:val="21"/>
        </w:rPr>
        <w:t xml:space="preserve"> provides a transparent and interpretable baseline, while </w:t>
      </w:r>
      <w:r w:rsidRPr="0013132F">
        <w:rPr>
          <w:rFonts w:ascii="Abadi" w:eastAsia="Times New Roman" w:hAnsi="Abadi" w:cs="Segoe UI"/>
          <w:b/>
          <w:bCs/>
          <w:sz w:val="21"/>
          <w:szCs w:val="21"/>
        </w:rPr>
        <w:t>XGBoost</w:t>
      </w:r>
      <w:r w:rsidRPr="0013132F">
        <w:rPr>
          <w:rFonts w:ascii="Abadi" w:eastAsia="Times New Roman" w:hAnsi="Abadi" w:cs="Segoe UI"/>
          <w:sz w:val="21"/>
          <w:szCs w:val="21"/>
        </w:rPr>
        <w:t xml:space="preserve"> is well suited to capturing complex, non-linear patterns within customer behaviour data. Furthermore, the incorporation of </w:t>
      </w:r>
      <w:r w:rsidRPr="0013132F">
        <w:rPr>
          <w:rFonts w:ascii="Abadi" w:eastAsia="Times New Roman" w:hAnsi="Abadi" w:cs="Segoe UI"/>
          <w:b/>
          <w:bCs/>
          <w:sz w:val="21"/>
          <w:szCs w:val="21"/>
        </w:rPr>
        <w:t>SHAP</w:t>
      </w:r>
      <w:r w:rsidRPr="0013132F">
        <w:rPr>
          <w:rFonts w:ascii="Abadi" w:eastAsia="Times New Roman" w:hAnsi="Abadi" w:cs="Segoe UI"/>
          <w:sz w:val="21"/>
          <w:szCs w:val="21"/>
        </w:rPr>
        <w:t xml:space="preserve"> analysis enhances model explainability by identifying the key factors that influence predictions, enabling stakeholders to better understand model outcomes and support targeted business interventions. Collectively, these approaches provide a solid foundation for developing a predictive solution that is both technically robust and operationally valuable.</w:t>
      </w:r>
    </w:p>
    <w:p w14:paraId="54C8FB6C" w14:textId="77777777" w:rsidR="0013132F" w:rsidRPr="0013132F" w:rsidRDefault="0013132F" w:rsidP="0013132F">
      <w:pPr>
        <w:spacing w:before="100" w:beforeAutospacing="1" w:after="100" w:afterAutospacing="1" w:line="300" w:lineRule="atLeast"/>
        <w:rPr>
          <w:rFonts w:ascii="Abadi" w:eastAsia="Times New Roman" w:hAnsi="Abadi" w:cs="Segoe UI"/>
          <w:sz w:val="21"/>
          <w:szCs w:val="21"/>
        </w:rPr>
      </w:pPr>
      <w:r w:rsidRPr="0013132F">
        <w:rPr>
          <w:rFonts w:ascii="Abadi" w:eastAsia="Times New Roman" w:hAnsi="Abadi" w:cs="Segoe UI"/>
          <w:sz w:val="21"/>
          <w:szCs w:val="21"/>
        </w:rPr>
        <w:t>However, several methodological concerns should be addressed to improve the reliability and validity of the results. Potential data leakage from variables that directly reveal the target outcome, inconsistent activation definitions across project documentation, limited reliance on AUC as the primary performance metric, and insufficient validation procedures may undermine the credibility of the reported model performance. To strengthen the solution, leakage-prone variables should be removed, a single activation definition should be adopted, evaluation metrics should be expanded to include measures such as Precision, Recall, F1-Score, and PR-AUC, and SMOTE should be applied only after the dataset has been split. In addition, implementing time-based validation will provide a more realistic assessment of future performance and account for behavioural changes over time. These improvements will significantly enhance the model's reliability, business value, and readiness for production deployment.</w:t>
      </w:r>
    </w:p>
    <w:p w14:paraId="1BC02C20" w14:textId="77777777" w:rsidR="008A589E" w:rsidRPr="0013132F" w:rsidRDefault="008A589E">
      <w:pPr>
        <w:rPr>
          <w:rFonts w:ascii="Abadi" w:hAnsi="Abadi"/>
        </w:rPr>
      </w:pPr>
    </w:p>
    <w:sectPr w:rsidR="008A589E" w:rsidRPr="0013132F" w:rsidSect="008A589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15C"/>
    <w:multiLevelType w:val="hybridMultilevel"/>
    <w:tmpl w:val="5BCACC1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5036A39"/>
    <w:multiLevelType w:val="hybridMultilevel"/>
    <w:tmpl w:val="726C1A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32195551">
    <w:abstractNumId w:val="1"/>
  </w:num>
  <w:num w:numId="2" w16cid:durableId="200261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9E"/>
    <w:rsid w:val="0013132F"/>
    <w:rsid w:val="001B530D"/>
    <w:rsid w:val="0054397B"/>
    <w:rsid w:val="007907D2"/>
    <w:rsid w:val="007D5E14"/>
    <w:rsid w:val="008A589E"/>
    <w:rsid w:val="009E13D7"/>
    <w:rsid w:val="009E413A"/>
    <w:rsid w:val="00C26C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A3FB"/>
  <w15:chartTrackingRefBased/>
  <w15:docId w15:val="{8F678C0F-624A-4D4E-8505-F6350267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89E"/>
    <w:pPr>
      <w:spacing w:after="0" w:line="240" w:lineRule="auto"/>
    </w:pPr>
    <w:rPr>
      <w:rFonts w:ascii="Calibri" w:eastAsia="Calibri" w:hAnsi="Calibri" w:cs="Calibri"/>
      <w:kern w:val="0"/>
      <w:sz w:val="20"/>
      <w:szCs w:val="20"/>
      <w:lang w:eastAsia="en-ZA"/>
      <w14:ligatures w14:val="none"/>
    </w:rPr>
  </w:style>
  <w:style w:type="paragraph" w:styleId="Heading1">
    <w:name w:val="heading 1"/>
    <w:basedOn w:val="Normal"/>
    <w:next w:val="Normal"/>
    <w:link w:val="Heading1Char"/>
    <w:uiPriority w:val="9"/>
    <w:qFormat/>
    <w:rsid w:val="008A5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8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8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8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8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89E"/>
    <w:rPr>
      <w:rFonts w:eastAsiaTheme="majorEastAsia" w:cstheme="majorBidi"/>
      <w:color w:val="272727" w:themeColor="text1" w:themeTint="D8"/>
    </w:rPr>
  </w:style>
  <w:style w:type="paragraph" w:styleId="Title">
    <w:name w:val="Title"/>
    <w:basedOn w:val="Normal"/>
    <w:next w:val="Normal"/>
    <w:link w:val="TitleChar"/>
    <w:uiPriority w:val="10"/>
    <w:qFormat/>
    <w:rsid w:val="008A58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89E"/>
    <w:pPr>
      <w:spacing w:before="160"/>
      <w:jc w:val="center"/>
    </w:pPr>
    <w:rPr>
      <w:i/>
      <w:iCs/>
      <w:color w:val="404040" w:themeColor="text1" w:themeTint="BF"/>
    </w:rPr>
  </w:style>
  <w:style w:type="character" w:customStyle="1" w:styleId="QuoteChar">
    <w:name w:val="Quote Char"/>
    <w:basedOn w:val="DefaultParagraphFont"/>
    <w:link w:val="Quote"/>
    <w:uiPriority w:val="29"/>
    <w:rsid w:val="008A589E"/>
    <w:rPr>
      <w:i/>
      <w:iCs/>
      <w:color w:val="404040" w:themeColor="text1" w:themeTint="BF"/>
    </w:rPr>
  </w:style>
  <w:style w:type="paragraph" w:styleId="ListParagraph">
    <w:name w:val="List Paragraph"/>
    <w:basedOn w:val="Normal"/>
    <w:qFormat/>
    <w:rsid w:val="008A589E"/>
    <w:pPr>
      <w:ind w:left="720"/>
      <w:contextualSpacing/>
    </w:pPr>
  </w:style>
  <w:style w:type="character" w:styleId="IntenseEmphasis">
    <w:name w:val="Intense Emphasis"/>
    <w:basedOn w:val="DefaultParagraphFont"/>
    <w:uiPriority w:val="21"/>
    <w:qFormat/>
    <w:rsid w:val="008A589E"/>
    <w:rPr>
      <w:i/>
      <w:iCs/>
      <w:color w:val="0F4761" w:themeColor="accent1" w:themeShade="BF"/>
    </w:rPr>
  </w:style>
  <w:style w:type="paragraph" w:styleId="IntenseQuote">
    <w:name w:val="Intense Quote"/>
    <w:basedOn w:val="Normal"/>
    <w:next w:val="Normal"/>
    <w:link w:val="IntenseQuoteChar"/>
    <w:uiPriority w:val="30"/>
    <w:qFormat/>
    <w:rsid w:val="008A5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89E"/>
    <w:rPr>
      <w:i/>
      <w:iCs/>
      <w:color w:val="0F4761" w:themeColor="accent1" w:themeShade="BF"/>
    </w:rPr>
  </w:style>
  <w:style w:type="character" w:styleId="IntenseReference">
    <w:name w:val="Intense Reference"/>
    <w:basedOn w:val="DefaultParagraphFont"/>
    <w:uiPriority w:val="32"/>
    <w:qFormat/>
    <w:rsid w:val="008A589E"/>
    <w:rPr>
      <w:b/>
      <w:bCs/>
      <w:smallCaps/>
      <w:color w:val="0F4761" w:themeColor="accent1" w:themeShade="BF"/>
      <w:spacing w:val="5"/>
    </w:rPr>
  </w:style>
  <w:style w:type="table" w:styleId="TableGrid">
    <w:name w:val="Table Grid"/>
    <w:basedOn w:val="TableNormal"/>
    <w:uiPriority w:val="39"/>
    <w:rsid w:val="008A589E"/>
    <w:pPr>
      <w:spacing w:after="0" w:line="240" w:lineRule="auto"/>
    </w:pPr>
    <w:rPr>
      <w:rFonts w:ascii="Calibri" w:eastAsia="Calibri" w:hAnsi="Calibri" w:cs="Calibri"/>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6C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1519</Words>
  <Characters>9393</Characters>
  <Application>Microsoft Office Word</Application>
  <DocSecurity>0</DocSecurity>
  <Lines>223</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Lesejane</dc:creator>
  <cp:keywords/>
  <dc:description/>
  <cp:lastModifiedBy>Benny Lesejane</cp:lastModifiedBy>
  <cp:revision>2</cp:revision>
  <dcterms:created xsi:type="dcterms:W3CDTF">2026-10-26T17:10:00Z</dcterms:created>
  <dcterms:modified xsi:type="dcterms:W3CDTF">2026-10-26T21:56:00Z</dcterms:modified>
</cp:coreProperties>
</file>