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D43DF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default"/>
          <w:b/>
          <w:bCs/>
          <w:sz w:val="32"/>
          <w:szCs w:val="40"/>
          <w:lang w:val="en-US" w:eastAsia="zh-CN"/>
        </w:rPr>
        <w:t>Link Graph</w:t>
      </w:r>
    </w:p>
    <w:p w14:paraId="46916B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17870" cy="2529840"/>
            <wp:effectExtent l="0" t="0" r="381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7870" cy="2529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7C7F04"/>
    <w:p w14:paraId="06555C22">
      <w:pPr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Test Adequacy Assessment</w:t>
      </w:r>
    </w:p>
    <w:p w14:paraId="5C94386B">
      <w:pPr>
        <w:rPr>
          <w:rFonts w:hint="eastAsia"/>
        </w:rPr>
      </w:pPr>
      <w:r>
        <w:rPr>
          <w:rFonts w:hint="eastAsia"/>
        </w:rPr>
        <w:t xml:space="preserve">1. Coverage of User Stories: All 3 user stories are fully mapped to corresponding test scripts (CS_test_1.java, CS_test_2.java, CS_test_3.java), covering distinct access paths (direct study page, homepage search, student terms page) for undergraduate Computer Science courses at The </w:t>
      </w:r>
      <w:bookmarkStart w:id="0" w:name="_GoBack"/>
      <w:bookmarkEnd w:id="0"/>
      <w:r>
        <w:rPr>
          <w:rFonts w:hint="eastAsia"/>
        </w:rPr>
        <w:t>University of Manchester.</w:t>
      </w:r>
    </w:p>
    <w:p w14:paraId="2714A0BE">
      <w:pPr>
        <w:rPr>
          <w:rFonts w:hint="eastAsia"/>
        </w:rPr>
      </w:pPr>
      <w:r>
        <w:rPr>
          <w:rFonts w:hint="eastAsia"/>
        </w:rPr>
        <w:t>2. Functional Completeness: Each test script implements all steps specified in the user story scenarios (navigation, search input, course selection, browser closure), with no missing core operations.</w:t>
      </w:r>
    </w:p>
    <w:p w14:paraId="5A1D0C57">
      <w:pPr>
        <w:rPr>
          <w:rFonts w:hint="eastAsia"/>
        </w:rPr>
      </w:pPr>
      <w:r>
        <w:rPr>
          <w:rFonts w:hint="eastAsia"/>
        </w:rPr>
        <w:t>3. Consistency: Test scripts align with execution logs (log.txt) and user story requirements, ensuring reproducibility and validity of test outcomes.</w:t>
      </w:r>
    </w:p>
    <w:p w14:paraId="36B1AFA2">
      <w:pPr>
        <w:rPr>
          <w:rFonts w:hint="eastAsia"/>
        </w:rPr>
      </w:pPr>
      <w:r>
        <w:rPr>
          <w:rFonts w:hint="eastAsia"/>
        </w:rPr>
        <w:t>4. Adequacy Conclusion: The test suite achieves full coverage of intended user workflows and success criteria. No critical gaps identified in functional or path coverage.</w:t>
      </w:r>
    </w:p>
    <w:p w14:paraId="4CC2FB02">
      <w:pPr>
        <w:rPr>
          <w:rFonts w:hint="eastAsia"/>
        </w:rPr>
      </w:pP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9"/>
        <w:gridCol w:w="3995"/>
        <w:gridCol w:w="2764"/>
      </w:tblGrid>
      <w:tr w14:paraId="021B35B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E018DE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Assessment Dimension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35414F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Calculation Basis</w:t>
            </w:r>
          </w:p>
        </w:tc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EF3479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Result (Coverage/Adequacy)</w:t>
            </w:r>
          </w:p>
        </w:tc>
      </w:tr>
      <w:tr w14:paraId="3D85D23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201E5C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User Story Coverage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13E8A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 user stories fully mapped to 3 corresponding test scripts (no untested stories)</w:t>
            </w:r>
          </w:p>
        </w:tc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F45EDA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7ED9444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223444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Scenario Step Coverage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2C40BE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Each test script implements 100% of steps in its matched user story scenario</w:t>
            </w:r>
          </w:p>
        </w:tc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4F3F4D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7CDD16F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BA747B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Functional Path Coverage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A2EBB8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All 3 distinct access paths (direct/ homepage/ terms page) fully tested</w:t>
            </w:r>
          </w:p>
        </w:tc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D2A3EC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1393C2D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0EECF3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Consistency with Logs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BD4624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All test script steps align with execution records in log.txt</w:t>
            </w:r>
          </w:p>
        </w:tc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5EE31B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</w:tr>
      <w:tr w14:paraId="3AAD693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C0E19B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Overall Test Adequacy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8E63BA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Aggregation of above dimensions (no critical gaps identified)</w:t>
            </w:r>
          </w:p>
        </w:tc>
        <w:tc>
          <w:tcPr>
            <w:tcW w:w="27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A17E34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</w:tr>
    </w:tbl>
    <w:p w14:paraId="515B5CB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1F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2025-11-27T10:53:58Z</dcterms:created>
  <dc:creator>lvpei</dc:creator>
  <cp:lastModifiedBy>吕培鑫</cp:lastModifiedBy>
  <dcterms:modified xsi:type="dcterms:W3CDTF">2025-11-27T11:00:08Z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eyJoZGlkIjoiM2Y5NjUyNDFkMjY5NTM5MmQxYzI2YjVhMDEwOGM5YjkiLCJ1c2VySWQiOiIxNDkzOTE3MjE1In0=</vt:lpwstr>
  </property>
  <property fmtid="{D5CDD505-2E9C-101B-9397-08002B2CF9AE}" pid="4" name="ICV">
    <vt:lpwstr>220B9C82B4C945D08CB1A5AA86021B85_12</vt:lpwstr>
  </property>
</Properties>
</file>