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500"/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48"/>
          <w:szCs w:val="48"/>
        </w:rPr>
        <w:t>技术建议报告书</w:t>
      </w:r>
    </w:p>
    <w:p>
      <w:pPr>
        <w:spacing w:after="260"/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28"/>
          <w:szCs w:val="28"/>
        </w:rPr>
        <w:t>数据安全与隐私 · 适老化 · 有限网络 · 模块扩展</w:t>
      </w:r>
    </w:p>
    <w:p>
      <w:pPr>
        <w:spacing w:after="180" w:before="180"/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617166"/>
          <w:sz w:val="23"/>
          <w:szCs w:val="23"/>
        </w:rPr>
        <w:t>家庭本地健康参考与安全模块化终端规划</w:t>
      </w:r>
    </w:p>
    <w:p>
      <w:pPr>
        <w:spacing w:after="110" w:before="520"/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86977"/>
          <w:sz w:val="19"/>
          <w:szCs w:val="19"/>
        </w:rPr>
        <w:t>事实订正版 v4.1   |   2026-10-26   |   F授权文档审定</w:t>
      </w:r>
    </w:p>
    <w:p>
      <w:pPr>
        <w:spacing w:after="460"/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617166"/>
          <w:sz w:val="17"/>
          <w:szCs w:val="17"/>
        </w:rPr>
        <w:t>基于Pi主线20013b2与ESP服务16aebdd源码、任务清单及历史记录复核</w:t>
      </w:r>
    </w:p>
    <w:p>
      <w:pPr>
        <w:pBdr>
          <w:bottom w:val="single" w:color="25634B" w:sz="10" w:space="1"/>
        </w:pBdr>
        <w:spacing w:after="100" w:before="300"/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617166"/>
          <w:sz w:val="16"/>
          <w:szCs w:val="16"/>
        </w:rPr>
        <w:t>独立技术文件 · 不属于 README · 不代表实机验收</w:t>
      </w:r>
    </w:p>
    <w:p>
      <w:r/>
    </w:p>
    <w:p>
      <w:pPr>
        <w:keepNext/>
        <w:spacing w:after="120" w:before="30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阅读说明与详细目录</w:t>
      </w:r>
    </w:p>
    <w:p>
      <w:pPr>
        <w:keepNext w:val="false"/>
        <w:spacing w:after="180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8"/>
          <w:szCs w:val="18"/>
        </w:rPr>
        <w:t>本报告区分用户指定目标、源码现状、历史记录、本轮主机测试和待实测事项。v4.1订正SDK差异、跟踪产物风险、P0分期、锁屏任务及Qt版本等事实。图解为目标逻辑架构，非真实接线/已实现功能/实机测量。目录使用Word标题字段，打开后更新整个目录。执行接口与F审定记录见docs/devdocs/04-dev-tasks-f-day1.md及04-dev-tasks-f-review.md。</w:t>
      </w:r>
    </w:p>
    <w:sdt>
      <w:sdtPr>
        <w:alias w:val="详细目录"/>
      </w:sdtPr>
      <w:sdtContent>
        <w:p>
          <w:pPr>
            <w:pStyle w:val="TOC1"/>
            <w:tabs>
              <w:tab w:val="right" w:leader="dot" w:pos="9906"/>
            </w:tabs>
          </w:pPr>
          <w:hyperlink w:anchor="_TechToc1" w:history="1">
            <w:r>
              <w:t xml:space="preserve">1. 执行摘要</w:t>
            </w:r>
            <w:r>
              <w:tab/>
            </w:r>
            <w:r>
              <w:fldChar w:fldCharType="begin" w:dirty="true"/>
            </w:r>
            <w:r>
              <w:instrText xml:space="preserve"> PAGEREF _TechToc1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2" w:history="1">
            <w:r>
              <w:t xml:space="preserve">建议优先级</w:t>
            </w:r>
            <w:r>
              <w:tab/>
            </w:r>
            <w:r>
              <w:fldChar w:fldCharType="begin" w:dirty="true"/>
            </w:r>
            <w:r>
              <w:instrText xml:space="preserve"> PAGEREF _TechToc2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3" w:history="1">
            <w:r>
              <w:t xml:space="preserve">2. 核查范围、版本和可信边界</w:t>
            </w:r>
            <w:r>
              <w:tab/>
            </w:r>
            <w:r>
              <w:fldChar w:fldCharType="begin" w:dirty="true"/>
            </w:r>
            <w:r>
              <w:instrText xml:space="preserve"> PAGEREF _TechToc3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4" w:history="1">
            <w:r>
              <w:t xml:space="preserve">2.1 仓库版本</w:t>
            </w:r>
            <w:r>
              <w:tab/>
            </w:r>
            <w:r>
              <w:fldChar w:fldCharType="begin" w:dirty="true"/>
            </w:r>
            <w:r>
              <w:instrText xml:space="preserve"> PAGEREF _TechToc4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5" w:history="1">
            <w:r>
              <w:t xml:space="preserve">2.2 核查到的架构事实</w:t>
            </w:r>
            <w:r>
              <w:tab/>
            </w:r>
            <w:r>
              <w:fldChar w:fldCharType="begin" w:dirty="true"/>
            </w:r>
            <w:r>
              <w:instrText xml:space="preserve"> PAGEREF _TechToc5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6" w:history="1">
            <w:r>
              <w:t xml:space="preserve">2.3 新仓库进展：RC522、PBR1 与啸天需求更新</w:t>
            </w:r>
            <w:r>
              <w:tab/>
            </w:r>
            <w:r>
              <w:fldChar w:fldCharType="begin" w:dirty="true"/>
            </w:r>
            <w:r>
              <w:instrText xml:space="preserve"> PAGEREF _TechToc6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7" w:history="1">
            <w:r>
              <w:t xml:space="preserve">2.4 技能检索与方法说明</w:t>
            </w:r>
            <w:r>
              <w:tab/>
            </w:r>
            <w:r>
              <w:fldChar w:fldCharType="begin" w:dirty="true"/>
            </w:r>
            <w:r>
              <w:instrText xml:space="preserve"> PAGEREF _TechToc7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8" w:history="1">
            <w:r>
              <w:t xml:space="preserve">3. 产品边界与安全原则</w:t>
            </w:r>
            <w:r>
              <w:tab/>
            </w:r>
            <w:r>
              <w:fldChar w:fldCharType="begin" w:dirty="true"/>
            </w:r>
            <w:r>
              <w:instrText xml:space="preserve"> PAGEREF _TechToc8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9" w:history="1">
            <w:r>
              <w:t xml:space="preserve">3.1 健康参考用途</w:t>
            </w:r>
            <w:r>
              <w:tab/>
            </w:r>
            <w:r>
              <w:fldChar w:fldCharType="begin" w:dirty="true"/>
            </w:r>
            <w:r>
              <w:instrText xml:space="preserve"> PAGEREF _TechToc9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10" w:history="1">
            <w:r>
              <w:t xml:space="preserve">3.2 安全原则</w:t>
            </w:r>
            <w:r>
              <w:tab/>
            </w:r>
            <w:r>
              <w:fldChar w:fldCharType="begin" w:dirty="true"/>
            </w:r>
            <w:r>
              <w:instrText xml:space="preserve"> PAGEREF _TechToc10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11" w:history="1">
            <w:r>
              <w:t xml:space="preserve">4. 目标架构</w:t>
            </w:r>
            <w:r>
              <w:tab/>
            </w:r>
            <w:r>
              <w:fldChar w:fldCharType="begin" w:dirty="true"/>
            </w:r>
            <w:r>
              <w:instrText xml:space="preserve"> PAGEREF _TechToc11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12" w:history="1">
            <w:r>
              <w:t xml:space="preserve">5. 用户、PIN、卡片与任务归属</w:t>
            </w:r>
            <w:r>
              <w:tab/>
            </w:r>
            <w:r>
              <w:fldChar w:fldCharType="begin" w:dirty="true"/>
            </w:r>
            <w:r>
              <w:instrText xml:space="preserve"> PAGEREF _TechToc12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13" w:history="1">
            <w:r>
              <w:t xml:space="preserve">5.1 用户流程</w:t>
            </w:r>
            <w:r>
              <w:tab/>
            </w:r>
            <w:r>
              <w:fldChar w:fldCharType="begin" w:dirty="true"/>
            </w:r>
            <w:r>
              <w:instrText xml:space="preserve"> PAGEREF _TechToc13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14" w:history="1">
            <w:r>
              <w:t xml:space="preserve">5.2 PIN 与自动锁屏</w:t>
            </w:r>
            <w:r>
              <w:tab/>
            </w:r>
            <w:r>
              <w:fldChar w:fldCharType="begin" w:dirty="true"/>
            </w:r>
            <w:r>
              <w:instrText xml:space="preserve"> PAGEREF _TechToc14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15" w:history="1">
            <w:r>
              <w:t xml:space="preserve">5.3 用户切换与任务生命周期</w:t>
            </w:r>
            <w:r>
              <w:tab/>
            </w:r>
            <w:r>
              <w:fldChar w:fldCharType="begin" w:dirty="true"/>
            </w:r>
            <w:r>
              <w:instrText xml:space="preserve"> PAGEREF _TechToc15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16" w:history="1">
            <w:r>
              <w:t xml:space="preserve">6. 本机健康数据与 SQLCipher</w:t>
            </w:r>
            <w:r>
              <w:tab/>
            </w:r>
            <w:r>
              <w:fldChar w:fldCharType="begin" w:dirty="true"/>
            </w:r>
            <w:r>
              <w:instrText xml:space="preserve"> PAGEREF _TechToc16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17" w:history="1">
            <w:r>
              <w:t xml:space="preserve">6.1 数据存储</w:t>
            </w:r>
            <w:r>
              <w:tab/>
            </w:r>
            <w:r>
              <w:fldChar w:fldCharType="begin" w:dirty="true"/>
            </w:r>
            <w:r>
              <w:instrText xml:space="preserve"> PAGEREF _TechToc17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18" w:history="1">
            <w:r>
              <w:t xml:space="preserve">6.2 简化但可恢复的密钥模型</w:t>
            </w:r>
            <w:r>
              <w:tab/>
            </w:r>
            <w:r>
              <w:fldChar w:fldCharType="begin" w:dirty="true"/>
            </w:r>
            <w:r>
              <w:instrText xml:space="preserve"> PAGEREF _TechToc18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19" w:history="1">
            <w:r>
              <w:t xml:space="preserve">6.3 SQLCipher 和运行时限制</w:t>
            </w:r>
            <w:r>
              <w:tab/>
            </w:r>
            <w:r>
              <w:fldChar w:fldCharType="begin" w:dirty="true"/>
            </w:r>
            <w:r>
              <w:instrText xml:space="preserve"> PAGEREF _TechToc19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20" w:history="1">
            <w:r>
              <w:t xml:space="preserve">6.4 保留、删除、导出</w:t>
            </w:r>
            <w:r>
              <w:tab/>
            </w:r>
            <w:r>
              <w:fldChar w:fldCharType="begin" w:dirty="true"/>
            </w:r>
            <w:r>
              <w:instrText xml:space="preserve"> PAGEREF _TechToc20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21" w:history="1">
            <w:r>
              <w:t xml:space="preserve">7. 备份、恢复与家庭管理员</w:t>
            </w:r>
            <w:r>
              <w:tab/>
            </w:r>
            <w:r>
              <w:fldChar w:fldCharType="begin" w:dirty="true"/>
            </w:r>
            <w:r>
              <w:instrText xml:space="preserve"> PAGEREF _TechToc21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22" w:history="1">
            <w:r>
              <w:t xml:space="preserve">7.1 两种 USB 备份</w:t>
            </w:r>
            <w:r>
              <w:tab/>
            </w:r>
            <w:r>
              <w:fldChar w:fldCharType="begin" w:dirty="true"/>
            </w:r>
            <w:r>
              <w:instrText xml:space="preserve"> PAGEREF _TechToc22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23" w:history="1">
            <w:r>
              <w:t xml:space="preserve">7.2 恢复</w:t>
            </w:r>
            <w:r>
              <w:tab/>
            </w:r>
            <w:r>
              <w:fldChar w:fldCharType="begin" w:dirty="true"/>
            </w:r>
            <w:r>
              <w:instrText xml:space="preserve"> PAGEREF _TechToc23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24" w:history="1">
            <w:r>
              <w:t xml:space="preserve">8. 模块身份、授权、隔离和 UI</w:t>
            </w:r>
            <w:r>
              <w:tab/>
            </w:r>
            <w:r>
              <w:fldChar w:fldCharType="begin" w:dirty="true"/>
            </w:r>
            <w:r>
              <w:instrText xml:space="preserve"> PAGEREF _TechToc24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25" w:history="1">
            <w:r>
              <w:t xml:space="preserve">8.1 身份与密钥</w:t>
            </w:r>
            <w:r>
              <w:tab/>
            </w:r>
            <w:r>
              <w:fldChar w:fldCharType="begin" w:dirty="true"/>
            </w:r>
            <w:r>
              <w:instrText xml:space="preserve"> PAGEREF _TechToc25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26" w:history="1">
            <w:r>
              <w:t xml:space="preserve">8.2 用户级权限</w:t>
            </w:r>
            <w:r>
              <w:tab/>
            </w:r>
            <w:r>
              <w:fldChar w:fldCharType="begin" w:dirty="true"/>
            </w:r>
            <w:r>
              <w:instrText xml:space="preserve"> PAGEREF _TechToc26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27" w:history="1">
            <w:r>
              <w:t xml:space="preserve">8.3 插件进程沙箱</w:t>
            </w:r>
            <w:r>
              <w:tab/>
            </w:r>
            <w:r>
              <w:fldChar w:fldCharType="begin" w:dirty="true"/>
            </w:r>
            <w:r>
              <w:instrText xml:space="preserve"> PAGEREF _TechToc27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28" w:history="1">
            <w:r>
              <w:t xml:space="preserve">8.4 受控模块 UI</w:t>
            </w:r>
            <w:r>
              <w:tab/>
            </w:r>
            <w:r>
              <w:fldChar w:fldCharType="begin" w:dirty="true"/>
            </w:r>
            <w:r>
              <w:instrText xml:space="preserve"> PAGEREF _TechToc28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29" w:history="1">
            <w:r>
              <w:t xml:space="preserve">9. 新安全通信协议和 HTTPS</w:t>
            </w:r>
            <w:r>
              <w:tab/>
            </w:r>
            <w:r>
              <w:fldChar w:fldCharType="begin" w:dirty="true"/>
            </w:r>
            <w:r>
              <w:instrText xml:space="preserve"> PAGEREF _TechToc29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30" w:history="1">
            <w:r>
              <w:t xml:space="preserve">9.1 禁止旧明文降级</w:t>
            </w:r>
            <w:r>
              <w:tab/>
            </w:r>
            <w:r>
              <w:fldChar w:fldCharType="begin" w:dirty="true"/>
            </w:r>
            <w:r>
              <w:instrText xml:space="preserve"> PAGEREF _TechToc30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31" w:history="1">
            <w:r>
              <w:t xml:space="preserve">9.2 链路建议</w:t>
            </w:r>
            <w:r>
              <w:tab/>
            </w:r>
            <w:r>
              <w:fldChar w:fldCharType="begin" w:dirty="true"/>
            </w:r>
            <w:r>
              <w:instrText xml:space="preserve"> PAGEREF _TechToc31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32" w:history="1">
            <w:r>
              <w:t xml:space="preserve">9.3 联网总开关与有限网络</w:t>
            </w:r>
            <w:r>
              <w:tab/>
            </w:r>
            <w:r>
              <w:fldChar w:fldCharType="begin" w:dirty="true"/>
            </w:r>
            <w:r>
              <w:instrText xml:space="preserve"> PAGEREF _TechToc32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33" w:history="1">
            <w:r>
              <w:t xml:space="preserve">10. 双 Pogo 插槽、单桥板</w:t>
            </w:r>
            <w:r>
              <w:tab/>
            </w:r>
            <w:r>
              <w:fldChar w:fldCharType="begin" w:dirty="true"/>
            </w:r>
            <w:r>
              <w:instrText xml:space="preserve"> PAGEREF _TechToc33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34" w:history="1">
            <w:r>
              <w:t xml:space="preserve">10.1 当前事实与设计目标</w:t>
            </w:r>
            <w:r>
              <w:tab/>
            </w:r>
            <w:r>
              <w:fldChar w:fldCharType="begin" w:dirty="true"/>
            </w:r>
            <w:r>
              <w:instrText xml:space="preserve"> PAGEREF _TechToc34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35" w:history="1">
            <w:r>
              <w:t xml:space="preserve">10.2 未决拓扑候选</w:t>
            </w:r>
            <w:r>
              <w:tab/>
            </w:r>
            <w:r>
              <w:fldChar w:fldCharType="begin" w:dirty="true"/>
            </w:r>
            <w:r>
              <w:instrText xml:space="preserve"> PAGEREF _TechToc35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36" w:history="1">
            <w:r>
              <w:t xml:space="preserve">10.3 固件与主机改造</w:t>
            </w:r>
            <w:r>
              <w:tab/>
            </w:r>
            <w:r>
              <w:fldChar w:fldCharType="begin" w:dirty="true"/>
            </w:r>
            <w:r>
              <w:instrText xml:space="preserve"> PAGEREF _TechToc36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37" w:history="1">
            <w:r>
              <w:t xml:space="preserve">10.4 实机测试矩阵</w:t>
            </w:r>
            <w:r>
              <w:tab/>
            </w:r>
            <w:r>
              <w:fldChar w:fldCharType="begin" w:dirty="true"/>
            </w:r>
            <w:r>
              <w:instrText xml:space="preserve"> PAGEREF _TechToc37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38" w:history="1">
            <w:r>
              <w:t xml:space="preserve">11. 啸天红外围界模块</w:t>
            </w:r>
            <w:r>
              <w:tab/>
            </w:r>
            <w:r>
              <w:fldChar w:fldCharType="begin" w:dirty="true"/>
            </w:r>
            <w:r>
              <w:instrText xml:space="preserve"> PAGEREF _TechToc38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39" w:history="1">
            <w:r>
              <w:t xml:space="preserve">11.1 场景和传感器路线</w:t>
            </w:r>
            <w:r>
              <w:tab/>
            </w:r>
            <w:r>
              <w:fldChar w:fldCharType="begin" w:dirty="true"/>
            </w:r>
            <w:r>
              <w:instrText xml:space="preserve"> PAGEREF _TechToc39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40" w:history="1">
            <w:r>
              <w:t xml:space="preserve">11.2 电气与供电原则</w:t>
            </w:r>
            <w:r>
              <w:tab/>
            </w:r>
            <w:r>
              <w:fldChar w:fldCharType="begin" w:dirty="true"/>
            </w:r>
            <w:r>
              <w:instrText xml:space="preserve"> PAGEREF _TechToc40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41" w:history="1">
            <w:r>
              <w:t xml:space="preserve">11.3 最小功能范围</w:t>
            </w:r>
            <w:r>
              <w:tab/>
            </w:r>
            <w:r>
              <w:fldChar w:fldCharType="begin" w:dirty="true"/>
            </w:r>
            <w:r>
              <w:instrText xml:space="preserve"> PAGEREF _TechToc41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42" w:history="1">
            <w:r>
              <w:t xml:space="preserve">11.4 数据协议建议修正</w:t>
            </w:r>
            <w:r>
              <w:tab/>
            </w:r>
            <w:r>
              <w:fldChar w:fldCharType="begin" w:dirty="true"/>
            </w:r>
            <w:r>
              <w:instrText xml:space="preserve"> PAGEREF _TechToc42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43" w:history="1">
            <w:r>
              <w:t xml:space="preserve">11.5 页面与低网策略</w:t>
            </w:r>
            <w:r>
              <w:tab/>
            </w:r>
            <w:r>
              <w:fldChar w:fldCharType="begin" w:dirty="true"/>
            </w:r>
            <w:r>
              <w:instrText xml:space="preserve"> PAGEREF _TechToc43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44" w:history="1">
            <w:r>
              <w:t xml:space="preserve">11.6 最新原型执行、构造与来源参考</w:t>
            </w:r>
            <w:r>
              <w:tab/>
            </w:r>
            <w:r>
              <w:fldChar w:fldCharType="begin" w:dirty="true"/>
            </w:r>
            <w:r>
              <w:instrText xml:space="preserve"> PAGEREF _TechToc44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45" w:history="1">
            <w:r>
              <w:t xml:space="preserve">11.7 风险</w:t>
            </w:r>
            <w:r>
              <w:tab/>
            </w:r>
            <w:r>
              <w:fldChar w:fldCharType="begin" w:dirty="true"/>
            </w:r>
            <w:r>
              <w:instrText xml:space="preserve"> PAGEREF _TechToc45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46" w:history="1">
            <w:r>
              <w:t xml:space="preserve">12. 血压计模块</w:t>
            </w:r>
            <w:r>
              <w:tab/>
            </w:r>
            <w:r>
              <w:fldChar w:fldCharType="begin" w:dirty="true"/>
            </w:r>
            <w:r>
              <w:instrText xml:space="preserve"> PAGEREF _TechToc46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47" w:history="1">
            <w:r>
              <w:t xml:space="preserve">12.1 首期路线</w:t>
            </w:r>
            <w:r>
              <w:tab/>
            </w:r>
            <w:r>
              <w:fldChar w:fldCharType="begin" w:dirty="true"/>
            </w:r>
            <w:r>
              <w:instrText xml:space="preserve"> PAGEREF _TechToc47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48" w:history="1">
            <w:r>
              <w:t xml:space="preserve">12.2 BLE 与记录归属</w:t>
            </w:r>
            <w:r>
              <w:tab/>
            </w:r>
            <w:r>
              <w:fldChar w:fldCharType="begin" w:dirty="true"/>
            </w:r>
            <w:r>
              <w:instrText xml:space="preserve"> PAGEREF _TechToc48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49" w:history="1">
            <w:r>
              <w:t xml:space="preserve">12.3 验收</w:t>
            </w:r>
            <w:r>
              <w:tab/>
            </w:r>
            <w:r>
              <w:fldChar w:fldCharType="begin" w:dirty="true"/>
            </w:r>
            <w:r>
              <w:instrText xml:space="preserve"> PAGEREF _TechToc49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50" w:history="1">
            <w:r>
              <w:t xml:space="preserve">13. 充电宝电量读取与 Raspberry Pi OS 双处显示</w:t>
            </w:r>
            <w:r>
              <w:tab/>
            </w:r>
            <w:r>
              <w:fldChar w:fldCharType="begin" w:dirty="true"/>
            </w:r>
            <w:r>
              <w:instrText xml:space="preserve"> PAGEREF _TechToc50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51" w:history="1">
            <w:r>
              <w:t xml:space="preserve">13.1 统一遥测</w:t>
            </w:r>
            <w:r>
              <w:tab/>
            </w:r>
            <w:r>
              <w:fldChar w:fldCharType="begin" w:dirty="true"/>
            </w:r>
            <w:r>
              <w:instrText xml:space="preserve"> PAGEREF _TechToc51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52" w:history="1">
            <w:r>
              <w:t xml:space="preserve">13.2 OS 与终端 UI</w:t>
            </w:r>
            <w:r>
              <w:tab/>
            </w:r>
            <w:r>
              <w:fldChar w:fldCharType="begin" w:dirty="true"/>
            </w:r>
            <w:r>
              <w:instrText xml:space="preserve"> PAGEREF _TechToc52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53" w:history="1">
            <w:r>
              <w:t xml:space="preserve">13.3 低电量与关机策略</w:t>
            </w:r>
            <w:r>
              <w:tab/>
            </w:r>
            <w:r>
              <w:fldChar w:fldCharType="begin" w:dirty="true"/>
            </w:r>
            <w:r>
              <w:instrText xml:space="preserve"> PAGEREF _TechToc53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54" w:history="1">
            <w:r>
              <w:t xml:space="preserve">14. 适老化体验</w:t>
            </w:r>
            <w:r>
              <w:tab/>
            </w:r>
            <w:r>
              <w:fldChar w:fldCharType="begin" w:dirty="true"/>
            </w:r>
            <w:r>
              <w:instrText xml:space="preserve"> PAGEREF _TechToc54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55" w:history="1">
            <w:r>
              <w:t xml:space="preserve">15. OTA 与版本管理评估（不实施）</w:t>
            </w:r>
            <w:r>
              <w:tab/>
            </w:r>
            <w:r>
              <w:fldChar w:fldCharType="begin" w:dirty="true"/>
            </w:r>
            <w:r>
              <w:instrText xml:space="preserve"> PAGEREF _TechToc55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56" w:history="1">
            <w:r>
              <w:t xml:space="preserve">15.1 终端软件</w:t>
            </w:r>
            <w:r>
              <w:tab/>
            </w:r>
            <w:r>
              <w:fldChar w:fldCharType="begin" w:dirty="true"/>
            </w:r>
            <w:r>
              <w:instrText xml:space="preserve"> PAGEREF _TechToc56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57" w:history="1">
            <w:r>
              <w:t xml:space="preserve">15.2 模块页面/插件</w:t>
            </w:r>
            <w:r>
              <w:tab/>
            </w:r>
            <w:r>
              <w:fldChar w:fldCharType="begin" w:dirty="true"/>
            </w:r>
            <w:r>
              <w:instrText xml:space="preserve"> PAGEREF _TechToc57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58" w:history="1">
            <w:r>
              <w:t xml:space="preserve">与“模块页面可实时增加或销毁”的方向一致，评估以独立签名模块包作为最小更新单元：先下载到暂存区、校验签名/版本/UI schema/权限差异，待用户确认后在安全边界内停止旧实例、释放旧页面和工作进程，再原子切换并启动新版本；失败时恢复上一个仍满足安全版本要求的包。禁止覆盖正在运行的库文件、半包启动、静默扩大权限或把页面热插拔等同于整个终端 OTA。此为方案，不代表当前已有安全 OTA。</w:t>
            </w:r>
            <w:r>
              <w:tab/>
            </w:r>
            <w:r>
              <w:fldChar w:fldCharType="begin" w:dirty="true"/>
            </w:r>
            <w:r>
              <w:instrText xml:space="preserve"> PAGEREF _TechToc58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59" w:history="1">
            <w:r>
              <w:t xml:space="preserve">15.3 ESP 固件</w:t>
            </w:r>
            <w:r>
              <w:tab/>
            </w:r>
            <w:r>
              <w:fldChar w:fldCharType="begin" w:dirty="true"/>
            </w:r>
            <w:r>
              <w:instrText xml:space="preserve"> PAGEREF _TechToc59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60" w:history="1">
            <w:r>
              <w:t xml:space="preserve">15.4 密钥与旧协议</w:t>
            </w:r>
            <w:r>
              <w:tab/>
            </w:r>
            <w:r>
              <w:fldChar w:fldCharType="begin" w:dirty="true"/>
            </w:r>
            <w:r>
              <w:instrText xml:space="preserve"> PAGEREF _TechToc60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61" w:history="1">
            <w:r>
              <w:t xml:space="preserve">16. 推荐阶段、交付和退出标准</w:t>
            </w:r>
            <w:r>
              <w:tab/>
            </w:r>
            <w:r>
              <w:fldChar w:fldCharType="begin" w:dirty="true"/>
            </w:r>
            <w:r>
              <w:instrText xml:space="preserve"> PAGEREF _TechToc61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906"/>
            </w:tabs>
          </w:pPr>
          <w:hyperlink w:anchor="_TechToc62" w:history="1">
            <w:r>
              <w:t xml:space="preserve">通用验收要求</w:t>
            </w:r>
            <w:r>
              <w:tab/>
            </w:r>
            <w:r>
              <w:fldChar w:fldCharType="begin" w:dirty="true"/>
            </w:r>
            <w:r>
              <w:instrText xml:space="preserve"> PAGEREF _TechToc62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63" w:history="1">
            <w:r>
              <w:t xml:space="preserve">17. 集中待确认事项</w:t>
            </w:r>
            <w:r>
              <w:tab/>
            </w:r>
            <w:r>
              <w:fldChar w:fldCharType="begin" w:dirty="true"/>
            </w:r>
            <w:r>
              <w:instrText xml:space="preserve"> PAGEREF _TechToc63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64" w:history="1">
            <w:r>
              <w:t xml:space="preserve">18. 外部资料与说明</w:t>
            </w:r>
            <w:r>
              <w:tab/>
            </w:r>
            <w:r>
              <w:fldChar w:fldCharType="begin" w:dirty="true"/>
            </w:r>
            <w:r>
              <w:instrText xml:space="preserve"> PAGEREF _TechToc64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65" w:history="1">
            <w:r>
              <w:t xml:space="preserve">19. 当前结论</w:t>
            </w:r>
            <w:r>
              <w:tab/>
            </w:r>
            <w:r>
              <w:fldChar w:fldCharType="begin" w:dirty="true"/>
            </w:r>
            <w:r>
              <w:instrText xml:space="preserve"> PAGEREF _TechToc65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906"/>
            </w:tabs>
          </w:pPr>
          <w:hyperlink w:anchor="_TechToc66" w:history="1">
            <w:r>
              <w:t xml:space="preserve">附录 A｜初始需求覆盖审查</w:t>
            </w:r>
            <w:r>
              <w:tab/>
            </w:r>
            <w:r>
              <w:fldChar w:fldCharType="begin" w:dirty="true"/>
            </w:r>
            <w:r>
              <w:instrText xml:space="preserve"> PAGEREF _TechToc66 \h </w:instrText>
            </w:r>
            <w:r>
              <w:fldChar w:fldCharType="separate"/>
              <w:t>1</w:t>
            </w:r>
            <w:r>
              <w:fldChar w:fldCharType="end"/>
            </w:r>
          </w:hyperlink>
        </w:p>
      </w:sdtContent>
    </w:sdt>
    <w:p>
      <w:r/>
    </w:p>
    <w:p>
      <w:pPr>
        <w:pStyle w:val="Heading1"/>
        <w:keepNext/>
        <w:spacing w:after="120" w:before="300"/>
      </w:pPr>
      <w:bookmarkStart w:id="3001" w:name="_TechToc1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1. 执行摘要</w:t>
      </w:r>
      <w:bookmarkEnd w:id="3001"/>
    </w:p>
    <w:p>
      <w:pPr>
        <w:keepNext w:val="false"/>
        <w:spacing w:after="115" w:before="0" w:line="300"/>
        <w:jc w:val="left"/>
      </w:pPr>
      <w:r>
        <w:t>P0执行口径现已按用户确认扩展为14天最小系统：真实RC522→Pi/PIN、每用户SQLCipher、基础低权限worker、认证加密业务数据、盆栽全部已有传感器字段、啸天两路真实输入、两模块分别及同时运行。先守住身份/数据/进程边界，禁止把健康数据接入现有同进程插件后就宣称隔离。完整备份恢复、生产加固、测速/户外等仍是后续；以下旧建议分期已统一到T-01～T-17。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用户已确认的核心方向：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面向不要求仪器级精度的日常参考用途；血压模块不作诊断或治疗决策。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健康数据仅保存在终端本机；家庭成员使用刷卡加 PIN，多用户数据彼此隔离。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t>桥板 RC522 读卡、Pi 集中认证/授权；用户各自配卡与权限，同一模块可多人分别配对，但一次只服务一个当前用户。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闲置自动锁屏；锁屏后传感器/围栏任务继续运行，结果归属启动时用户。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家庭管理员只管理账户与恢复，不查看成员健康记录。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支持查看、导出、删除；个人加密备份与整机加密 USB 备份；默认保留数据，可选自动清理期限。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模块 UI 使用宿主受控声明式组件，原生插件迁出 Pi 主进程。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模块网络默认关闭；网络权限逐用户选择，撤权立即断开；保留浏览器、音乐等在线功能及互联网总开关。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规划离线、弱网、高延迟和低带宽；当前不做蜂窝热点。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双 Pogo 插槽由一个桥板管理；接口拓扑尚未确认。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充电宝已有硬件电量显示屏；MCU 可读接口未确认；目标是 Raspberry Pi OS 与终端两处显示。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OTA 仅评估；未来终端软件更新自动检查/提示，下载与安装由用户确认；模块固件无线 OTA 暂缓。</w:t>
      </w:r>
    </w:p>
    <w:p>
      <w:pPr>
        <w:pStyle w:val="Heading2"/>
        <w:keepNext/>
        <w:spacing w:after="120" w:before="220"/>
      </w:pPr>
      <w:bookmarkStart w:id="3002" w:name="_TechToc2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建议优先级</w:t>
      </w:r>
      <w:bookmarkEnd w:id="3002"/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P0（14天）：范围/接口/身份安全设计、Pi环境/SDK来源检查、逐桥及逐模块认证、PBR AEAD/ACK、PIN会话及任务归属。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P0硬门槛：每用户SQLCipher、基础worker/受控UI/默认拒网、LAN TLS、盆栽全部数据、啸天双路真实输入、双槽同时运行与单槽故障隔离。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P1：完整加密备份/离线恢复码/删除流程、生产PKI/密钥生命周期、完整systemd与网络加固、受控域名代理。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P1：双槽长期硬件产品化、啸天方向/测速/户外验证、正式安全NFC卡、单型号血压计和整机电量遥测。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t>P2：SDK完整发布自动化、终端/模块版本更新方案、进一步适老化及生产维修；P0最小跨仓来源与哈希检查不得等到P2。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OTA 维持研究项，不进入首期实现。</w:t>
      </w:r>
    </w:p>
    <w:p>
      <w:pPr>
        <w:pStyle w:val="Heading1"/>
        <w:keepNext/>
        <w:spacing w:after="120" w:before="300"/>
      </w:pPr>
      <w:bookmarkStart w:id="3003" w:name="_TechToc3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2. 核查范围、版本和可信边界</w:t>
      </w:r>
      <w:bookmarkEnd w:id="3003"/>
    </w:p>
    <w:p>
      <w:pPr>
        <w:pStyle w:val="Heading2"/>
        <w:keepNext/>
        <w:spacing w:after="120" w:before="220"/>
      </w:pPr>
      <w:bookmarkStart w:id="3004" w:name="_TechToc4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2.1 仓库版本</w:t>
      </w:r>
      <w:bookmarkEnd w:id="3004"/>
    </w:p>
    <w:tbl>
      <w:tblPr>
        <w:tblW w:type="dxa" w:w="9906"/>
        <w:tblBorders>
          <w:top w:val="single" w:color="D5DCD2" w:sz="4"/>
          <w:left w:val="single" w:color="D5DCD2" w:sz="3"/>
          <w:bottom w:val="single" w:color="D5DCD2" w:sz="4"/>
          <w:right w:val="single" w:color="D5DCD2" w:sz="3"/>
          <w:insideH w:val="single" w:color="D5DCD2" w:sz="3"/>
          <w:insideV w:val="single" w:color="D5DCD2" w:sz="3"/>
        </w:tblBorders>
        <w:tblLayout w:type="fixed"/>
        <w:tblCellMar>
          <w:top w:type="dxa" w:w="70"/>
          <w:left w:type="dxa" w:w="90"/>
          <w:bottom w:type="dxa" w:w="70"/>
          <w:right w:type="dxa" w:w="90"/>
        </w:tblCellMar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仓库</w:t>
            </w:r>
          </w:p>
        </w:tc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核对基线</w:t>
            </w:r>
          </w:p>
        </w:tc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结果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主项目 Axe665/Multi-Function-ESP32-Pi-Terminal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本轮origin/main：20013b242e8f28da788a3bd966272f960e56be08；pi_terminal代码与8349ce8一致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已fetch并核对；本轮只改建议报告和任务/审核文档，README与实现未改。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历史桥板仓库 gggitj/esp32-smart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公开远端 main：b67c8c8509afb307f4241ecfcc0cfa92234a834b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历史前身 main b67c8c8；最新进展以 ESP-Modular-Terminal-Service 为准。</w:t>
            </w:r>
          </w:p>
        </w:tc>
      </w:tr>
      <w:tr>
        <w:tc>
          <w:tcPr>
            <w:tcW w:type="dxa" w:w="3302"/>
          </w:tcPr>
          <w:p>
            <w:r>
              <w:t>桥板/模块最新仓库 gggitj/ESP-Modular-Terminal-Service</w:t>
            </w:r>
          </w:p>
        </w:tc>
        <w:tc>
          <w:tcPr>
            <w:tcW w:type="dxa" w:w="3302"/>
          </w:tcPr>
          <w:p>
            <w:r>
              <w:t>main：16aebdd5e2bd17c0addd0b00e3e963cef3252584</w:t>
            </w:r>
          </w:p>
        </w:tc>
        <w:tc>
          <w:tcPr>
            <w:tcW w:type="dxa" w:w="3302"/>
          </w:tcPr>
          <w:p>
            <w:r>
              <w:t>当前桥板/SDK/啸天需求基线；只读源码与文档核查，未在本轮烧录或实机复测。Pi 服务不在此仓库。</w:t>
            </w:r>
          </w:p>
        </w:tc>
      </w:tr>
    </w:tbl>
    <w:p>
      <w:pPr>
        <w:spacing w:after="1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6"/>
          <w:szCs w:val="6"/>
        </w:rPr>
        <w:t xml:space="preserve"> 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 xml:space="preserve">主项目代码地图/维护参考提到的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20"/>
          <w:szCs w:val="20"/>
        </w:rPr>
        <w:t>esp/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 xml:space="preserve"> 正式固件路径在当前主项目 checkout 中不存在；相应正式固件在独立仓库。不要把旧的历史快照目录当作桥板现状。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本轮按Git跟踪文件比较：两仓module-devkit共有506个文件，其中503个字节相同；README.md、docs/MAINTENANCE.md、sdk/SOURCE-MANIFEST.json三项不同。Pi独有8个为比赛产物与示例嵌入包，ESP独有2个为啸天需求/计划。Pi的sync_module_devkit.py --check因13项ESP源映射缺失失败；ESP脚本已排除Pi源映射，本轮以“source copies match but manifest needs refresh”失败（464项清单中461项元数据需刷新）。原报告“全相同/ESP缺三项Pi源”的判断不适用当前基线。D/Z须在T-02提交明确的跨仓来源/commit/路径/哈希及校验路线；本轮未运行--write。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20"/>
          <w:szCs w:val="20"/>
        </w:rPr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20"/>
          <w:szCs w:val="20"/>
        </w:rPr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20"/>
          <w:szCs w:val="20"/>
        </w:rPr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20"/>
          <w:szCs w:val="20"/>
        </w:rPr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20"/>
          <w:szCs w:val="20"/>
        </w:rPr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</w:r>
    </w:p>
    <w:p>
      <w:pPr>
        <w:pStyle w:val="Heading2"/>
        <w:keepNext/>
        <w:spacing w:after="120" w:before="220"/>
      </w:pPr>
      <w:bookmarkStart w:id="3005" w:name="_TechToc5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2.2 核查到的架构事实</w:t>
      </w:r>
      <w:bookmarkEnd w:id="3005"/>
    </w:p>
    <w:p>
      <w:pPr>
        <w:pStyle w:val="Heading2"/>
        <w:spacing w:after="120" w:line="269" w:lineRule="auto"/>
      </w:pPr>
      <w:bookmarkStart w:id="3006" w:name="_TechToc6"/>
      <w:r>
        <w:t>2.3 新仓库进展：RC522、PBR1 与啸天需求更新</w:t>
      </w:r>
      <w:bookmarkEnd w:id="3006"/>
    </w:p>
    <w:p>
      <w:pPr>
        <w:spacing w:after="120" w:line="269" w:lineRule="auto"/>
      </w:pPr>
      <w:r>
        <w:t>最新桥板/模块仓库为gggitj/ESP-Modular-Terminal-Service，main 16aebdd5e2bd17c0addd0b00e3e963cef3252584；Pi本轮fetch后origin/main为20013b242e8f28da788a3bd966272f960e56be08，pi_terminal代码树与8349ce8一致，差异为文档。此前gggitj/esp32-smart为历史前身。esp/属于独立ESP仓，Pi侧C ABI/服务/页面属于Pi仓，不能把共享目录名等同单仓权威。</w:t>
      </w:r>
    </w:p>
    <w:p>
      <w:pPr>
        <w:spacing w:after="120" w:line="269" w:lineRule="auto"/>
      </w:pPr>
      <w:r>
        <w:t>RC522 走 SPI3，默认 SS/SCK/MOSI/MISO/RST GPIO 10/12/11/13/14，仅支持 ISO14443A UID（4/7/10 字节），不读卡内安全数据。terminal-rfid-v1 包含 reader_id、boot_id、uid、uid_len、uptime_ms；持卡只报一次，连续无卡约 400 ms 后可重报。当前无 card_removed、Pi ACK 或可靠重传。桥板 MAX17043 GPIO8/9/7 只是预留。</w:t>
      </w:r>
    </w:p>
    <w:p>
      <w:pPr>
        <w:spacing w:after="120" w:line="269" w:lineRule="auto"/>
      </w:pPr>
      <w:r>
        <w:t>仓库 README 记载 ESP-IDF 5.5.4 桥板构建/烧录和 PBR1 status 往返成功，并捕获过一条真实 UID 事件；主机测试覆盖 RC522 UID 级联/CRC/异常模拟和 PBR 并发发送。Pi 接收/页面、两张卡完整使用流程、模块插回回归和桥板 MAX17043 驱动仍列为未完成。以上是上游仓库记录，本报告作者本轮未独立烧录或复测。</w:t>
      </w:r>
    </w:p>
    <w:p>
      <w:pPr>
        <w:spacing w:after="120" w:line="269" w:lineRule="auto"/>
      </w:pPr>
      <w:r>
        <w:t>安全含义：当前PBR1 CRC16/方向/类型/序号/长度仅作检错和重同步，不认证桥板、不加密UID。P0目标是项目签发逐桥测试身份与双向认证AEAD，事件带event_id、ACK、有界重传/TTL及Pi幂等去重，认证后才处理UID。Secure Boot/Flash Encryption为生产保护目标，当前设备启用状态未核实，P0不冒称具备。RC522为桥板级事件，不伪造模块slot/device上下文。</w:t>
      </w:r>
    </w:p>
    <w:p>
      <w:pPr>
        <w:spacing w:after="120" w:line="269" w:lineRule="auto"/>
      </w:pPr>
      <w:r>
        <w:t>啸天交接已更新产品名与场景：开放场地可配置直线/折线/闭合边界，另有家门口双线方向/平均速度估算。当前原型方案是两对探头、同一 ESP32 集中采集；10×10 m 是目标场景参考，闭合区需按边数扩展光路，不能由两对探头宣称完成。交接同时说明尚未采购、接线、烧录或实测。</w:t>
      </w:r>
    </w:p>
    <w:tbl>
      <w:tblPr>
        <w:tblW w:type="dxa" w:w="9906"/>
        <w:tblBorders>
          <w:top w:val="single" w:color="D5DCD2" w:sz="4"/>
          <w:left w:val="single" w:color="D5DCD2" w:sz="3"/>
          <w:bottom w:val="single" w:color="D5DCD2" w:sz="4"/>
          <w:right w:val="single" w:color="D5DCD2" w:sz="3"/>
          <w:insideH w:val="single" w:color="D5DCD2" w:sz="3"/>
          <w:insideV w:val="single" w:color="D5DCD2" w:sz="3"/>
        </w:tblBorders>
        <w:tblLayout w:type="fixed"/>
        <w:tblCellMar>
          <w:top w:type="dxa" w:w="70"/>
          <w:left w:type="dxa" w:w="90"/>
          <w:bottom w:type="dxa" w:w="70"/>
          <w:right w:type="dxa" w:w="90"/>
        </w:tblCellMar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领域</w:t>
            </w:r>
          </w:p>
        </w:tc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当前实现/约束</w:t>
            </w:r>
          </w:p>
        </w:tc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尚未实现或风险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Pi 模块会话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按module_instance最多8会话；token/序号、签名包与非用户作用域信任门槛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不是设备证书/用户授权；多会话不等于双槽。P0保留detach后有效无线业务，补设备/任务授权、槽位复用及控制恢复绑定校验，不改为拔槽即停任务。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桥板 Pogo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LinkIt/DET 仍为单槽状态；RC522 是独立 SPI 任务，通过 PBR1 发 rfid_card；读卡不依赖 attach。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Pi 接收/绑卡/登录流程未完成；双槽未实现。PBR1 当前无桥认证或 AEAD。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LAN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ESP Wi-Fi STA 按配置连接；TCP listener bind INADDR_ANY；session token；空密码配置会选 WIFI_AUTH_OPEN。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Raw TCP/CRC，无 TLS；生产须拒绝开放网络配置、限制接口/子网并通过 Pi 网关默认禁止 WAN。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BLE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使用 NimBLE GATT、分片、CRC 和应用层 token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CRC 只检错；所查 GATT 服务未体现强制安全配对属性，不应称作已加密身份认证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设备身份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PBR1 有 direction/kind/seq/len/CRC16；RC522 事件含 reader_id、boot_id、raw UID、uid_len、uptime_ms。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CRC/seq 不能认证桥板或加密 UID；需逐板身份、AEAD、事件 ACK/重传/去重。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插件包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Ed25519 descriptor 签名、哈希、文件集、路径、大小、架构/ABI 校验及缓存内容再验证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需继续规划密钥轮换/撤销、安全版本和 UI schema 兼容；签名不证明代码安全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插件运行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Pi 用 QLibrary 在主进程加载原生 C ABI 插件；动态 QML 页面进入宿主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权限清单和首次确认不是 OS 沙箱；插件原生代码可取得宿主进程权限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用户/存储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QSettings/音乐账号；无通用终端用户或SQLCipher库；盆栽已有按实例明文JSON历史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T-04/10/11/13须迁可信用户服务并禁用旧JSON写入，不自动删除或给旧记录编造用户归属。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电量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模块示例有 MAX17043 样本；桥板只预留 GPIO8/9/7，没有桥板 I²C 读取驱动。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模块电池不得当作充电宝电量；需查现有指示屏 MCU 的可读接口。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ESP 电源保护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当前模块示例有供电源稳定判断、低电压持续判断、断开 Pi 会话后休眠；供电未知时不自动休眠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模块电池保护策略不能直接当作 Pi 主机电池/整机安全关机策略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ESP OTA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正式模块 partitions.csv 目前只有 factory app 槽，没有 ota_0/ota_1 + otadata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不能直接启用安全回滚 OTA，需检查 Flash 容量、镜像和分区布局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测试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主项目有协议/会话/插件/包/安装搬移和 UI 回归入口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尚无双槽真实硬件验收或新安全协议验收；主机模拟不能替代实机</w:t>
            </w:r>
          </w:p>
        </w:tc>
      </w:tr>
      <w:tr>
        <w:tc>
          <w:tcPr>
            <w:tcW w:type="dxa" w:w="3302"/>
          </w:tcPr>
          <w:p>
            <w:r>
              <w:t>RC522 / UID</w:t>
            </w:r>
          </w:p>
        </w:tc>
        <w:tc>
          <w:tcPr>
            <w:tcW w:type="dxa" w:w="3302"/>
          </w:tcPr>
          <w:p>
            <w:r>
              <w:t>桥板已实现 ISO14443A UID 读卡、同卡持卡去重、状态查询和 PBR1 事件。</w:t>
            </w:r>
          </w:p>
        </w:tc>
        <w:tc>
          <w:tcPr>
            <w:tcW w:type="dxa" w:w="3302"/>
          </w:tcPr>
          <w:p>
            <w:r>
              <w:t>只读 UID、不读卡内安全数据；Pi 侧接收/登录流程仍未实现。仓库记录有一张卡实机事件，完整用例未验收。</w:t>
            </w:r>
          </w:p>
        </w:tc>
      </w:tr>
      <w:tr>
        <w:tc>
          <w:tcPr>
            <w:tcW w:type="dxa" w:w="3302"/>
          </w:tcPr>
          <w:p>
            <w:r>
              <w:t>PBR1 安全性</w:t>
            </w:r>
          </w:p>
        </w:tc>
        <w:tc>
          <w:tcPr>
            <w:tcW w:type="dxa" w:w="3302"/>
          </w:tcPr>
          <w:p>
            <w:r>
              <w:t>当前二进制帧含 direction/kind/seq/len/JSON/CRC16；解析器支持噪声重同步。</w:t>
            </w:r>
          </w:p>
        </w:tc>
        <w:tc>
          <w:tcPr>
            <w:tcW w:type="dxa" w:w="3302"/>
          </w:tcPr>
          <w:p>
            <w:r>
              <w:t>CRC 只检错；无桥板认证/保密。需迁移到双向认证 AEAD，Pi 与桥板一起升级。</w:t>
            </w:r>
          </w:p>
        </w:tc>
      </w:tr>
    </w:tbl>
    <w:p>
      <w:pPr>
        <w:spacing w:after="1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6"/>
          <w:szCs w:val="6"/>
        </w:rPr>
        <w:t xml:space="preserve"> </w:t>
      </w:r>
    </w:p>
    <w:p>
      <w:pPr>
        <w:pStyle w:val="Heading2"/>
        <w:keepNext/>
        <w:spacing w:after="120" w:before="220"/>
      </w:pPr>
      <w:bookmarkStart w:id="3007" w:name="_TechToc7"/>
      <w:r>
        <w:t>2.4 技能检索与方法说明</w:t>
      </w:r>
      <w:bookmarkEnd w:id="3007"/>
    </w:p>
    <w:p>
      <w:pPr>
        <w:keepNext w:val="false"/>
        <w:spacing w:after="115" w:before="0" w:line="300"/>
        <w:jc w:val="left"/>
      </w:pPr>
      <w:r>
        <w:t>按 find-skills 搜索了架构评审/需求追踪技能；architecture-review 命中项偏游戏项目且含 shell command directive，不适合本项目，未安装。采用 esp32-pogo-debugger 源码核查流程及已安装的 MIT docx-manipulation 技能维护本报告。技能辅助方法，不替代源码、器件手册、需求确认或实测。</w:t>
      </w:r>
    </w:p>
    <w:p>
      <w:pPr>
        <w:pStyle w:val="Heading1"/>
        <w:keepNext/>
        <w:spacing w:after="120" w:before="300"/>
      </w:pPr>
      <w:bookmarkStart w:id="3008" w:name="_TechToc8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3. 产品边界与安全原则</w:t>
      </w:r>
      <w:bookmarkEnd w:id="3008"/>
    </w:p>
    <w:p>
      <w:pPr>
        <w:pStyle w:val="Heading2"/>
      </w:pPr>
      <w:r>
        <w:t>2.5 本轮复核、已跟踪产物与发布阻塞</w:t>
      </w:r>
    </w:p>
    <w:p>
      <w:r>
        <w:t>本轮发现Pi main已跟踪module-devkit/artifacts/smart-planter-3.0.0/下6个文件（含1160208字节固件）及示例embedded_package.json/.tar.zst两项。产物说明明确称固件含本机私有provision配置；gitignore不取消已跟踪文件。因此“不公开/已忽略”的描述不能当作仓库事实。本轮未提取、打印或判断具体凭据是否仍有效。</w:t>
      </w:r>
    </w:p>
    <w:p>
      <w:r>
        <w:t>B-07保持最高优先级相关产物发布阻塞。用户授权本机只读核查，本轮对已跟踪固件做可打印字符串模式扫描：0个PEM私钥块、0个字段名=长值候选、20处凭据相关字符串（可能为格式串）。未打印具体值、联网验证、访问设备或修改文件；不能据此证明无秘密或凭据失效。F/D/L仍须在受控构建环境核查配置来源与有效性；有效凭据先轮换，取消跟踪/删除/改写历史另行明确授权。</w:t>
      </w:r>
    </w:p>
    <w:p>
      <w:r>
        <w:t>本轮主机验证：x86_64/Qt6.10.1现有Pi protocol_test与盆栽history/ABI测试通过，SDK validate通过；Linux GCC下RC522子程序通过，但全套ESP runner失败于并发fixture依赖windows.h，GPIO guard未执行。两仓SDK --check均失败，原因见2.1。本轮无Pi/ESP实机预检，不能替目标Qt6.5.3、SQLCipher、worker、TLS或双槽签认。</w:t>
      </w:r>
    </w:p>
    <w:p>
      <w:pPr>
        <w:pStyle w:val="Heading2"/>
        <w:keepNext/>
        <w:spacing w:after="120" w:before="220"/>
      </w:pPr>
      <w:bookmarkStart w:id="3009" w:name="_TechToc9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3.1 健康参考用途</w:t>
      </w:r>
      <w:bookmarkEnd w:id="3009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血压模块属于家庭日常参考功能，不作诊断/治疗决策；界面复述读数和设备状态，不生成诊断结论。即使如此，个人健康数据仍按敏感数据处理。设备质量、测量误差、标签和当地法规仍需单独核实，免责声明不能替代质量验证。</w:t>
      </w:r>
    </w:p>
    <w:p>
      <w:pPr>
        <w:pStyle w:val="Heading2"/>
        <w:keepNext/>
        <w:spacing w:after="120" w:before="220"/>
      </w:pPr>
      <w:bookmarkStart w:id="3010" w:name="_TechToc10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3.2 安全原则</w:t>
      </w:r>
      <w:bookmarkEnd w:id="3010"/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本地优先、默认最少收集。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 健康数据不上传，也不在恢复联网后补传。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身份与授权分离。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 设备证书回答“这是什么设备”；用户授权回答“此用户是否允许该设备执行该能力”。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拒绝即关闭。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 旧协议、证书错误、身份不匹配、用户未授权、遥测陈旧，都不能默默按正常处理。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主机强制执行。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 QML 隐藏按钮、manifest 声明或签名本身都不是权限隔离。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可审计但不泄露。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 记授权变更/恢复/导出结果；不记 PIN、token、卡片秘密、健康值或请求正文。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失联即未知。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 不能把最后一次好状态当当前正常状态，亦不能因未知电量自动关机。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安全功能与安全承诺分开。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 模块告警不是安防级保证；血压参考功能不是医疗器械认证。</w:t>
      </w:r>
    </w:p>
    <w:p>
      <w:pPr>
        <w:pStyle w:val="Heading1"/>
        <w:keepNext/>
        <w:spacing w:after="120" w:before="300"/>
      </w:pPr>
      <w:bookmarkStart w:id="3011" w:name="_TechToc11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4. 目标架构</w:t>
      </w:r>
      <w:bookmarkEnd w:id="3011"/>
    </w:p>
    <w:p>
      <w:pPr>
        <w:keepNext/>
        <w:spacing w:before="100" w:after="4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07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07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Noto Sans CJK SC" w:hAnsi="Noto Sans CJK SC"/>
          <w:i/>
          <w:color w:val="617166"/>
          <w:sz w:val="17"/>
        </w:rPr>
        <w:t>图 1｜桥板提供读卡硬件入口，Pi 作为唯一用户身份和数据访问权威。</w:t>
      </w:r>
    </w:p>
    <w:p>
      <w:pPr>
        <w:keepNext/>
        <w:spacing w:before="100" w:after="60"/>
        <w:jc w:val="center"/>
      </w:pPr>
      <w:r/>
    </w:p>
    <w:p>
      <w:pPr>
        <w:keepNext/>
        <w:spacing w:after="65" w:before="100"/>
        <w:jc w:val="center"/>
      </w:pPr>
      <w:r/>
    </w:p>
    <w:p>
      <w:pPr>
        <w:shd w:fill="F1F4F0" w:val="clear"/>
        <w:spacing w:after="12" w:before="0" w:line="250"/>
        <w:ind w:left="18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65343"/>
          <w:sz w:val="16"/>
          <w:szCs w:val="16"/>
        </w:rPr>
        <w:t>NFC 卡 + PIN + 适老 QML</w:t>
      </w:r>
    </w:p>
    <w:p>
      <w:pPr>
        <w:shd w:fill="F1F4F0" w:val="clear"/>
        <w:spacing w:after="12" w:before="0" w:line="250"/>
        <w:ind w:left="18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65343"/>
          <w:sz w:val="16"/>
          <w:szCs w:val="16"/>
        </w:rPr>
        <w:t xml:space="preserve">            │</w:t>
      </w:r>
    </w:p>
    <w:p>
      <w:pPr>
        <w:shd w:fill="F1F4F0" w:val="clear"/>
        <w:spacing w:after="12" w:before="0" w:line="250"/>
        <w:ind w:left="18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65343"/>
          <w:sz w:val="16"/>
          <w:szCs w:val="16"/>
        </w:rPr>
        <w:t xml:space="preserve">            ▼</w:t>
      </w:r>
    </w:p>
    <w:p>
      <w:pPr>
        <w:shd w:fill="F1F4F0" w:val="clear"/>
        <w:spacing w:after="12" w:before="0" w:line="250"/>
        <w:ind w:left="18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65343"/>
          <w:sz w:val="16"/>
          <w:szCs w:val="16"/>
        </w:rPr>
        <w:t>Pi 受信任终端服务（唯一用户/任务上下文）</w:t>
      </w:r>
    </w:p>
    <w:p>
      <w:pPr>
        <w:shd w:fill="F1F4F0" w:val="clear"/>
        <w:spacing w:after="12" w:before="0" w:line="250"/>
        <w:ind w:left="18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65343"/>
          <w:sz w:val="16"/>
          <w:szCs w:val="16"/>
        </w:rPr>
        <w:t xml:space="preserve"> ├─ 认证、锁屏、用户级配对与权限策略</w:t>
      </w:r>
    </w:p>
    <w:p>
      <w:pPr>
        <w:shd w:fill="F1F4F0" w:val="clear"/>
        <w:spacing w:after="12" w:before="0" w:line="250"/>
        <w:ind w:left="18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65343"/>
          <w:sz w:val="16"/>
          <w:szCs w:val="16"/>
        </w:rPr>
        <w:t xml:space="preserve"> ├─ SQLCipher 用户库、导出/备份/恢复</w:t>
      </w:r>
    </w:p>
    <w:p>
      <w:pPr>
        <w:shd w:fill="F1F4F0" w:val="clear"/>
        <w:spacing w:after="12" w:before="0" w:line="250"/>
        <w:ind w:left="18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65343"/>
          <w:sz w:val="16"/>
          <w:szCs w:val="16"/>
        </w:rPr>
        <w:t xml:space="preserve"> ├─ 健康/围栏任务绑定、告警、语音</w:t>
      </w:r>
    </w:p>
    <w:p>
      <w:pPr>
        <w:shd w:fill="F1F4F0" w:val="clear"/>
        <w:spacing w:after="12" w:before="0" w:line="250"/>
        <w:ind w:left="18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65343"/>
          <w:sz w:val="16"/>
          <w:szCs w:val="16"/>
        </w:rPr>
        <w:t xml:space="preserve"> ├─ 电量状态与分级关机策略</w:t>
      </w:r>
    </w:p>
    <w:p>
      <w:pPr>
        <w:shd w:fill="F1F4F0" w:val="clear"/>
        <w:spacing w:after="12" w:before="0" w:line="250"/>
        <w:ind w:left="18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65343"/>
          <w:sz w:val="16"/>
          <w:szCs w:val="16"/>
        </w:rPr>
        <w:t xml:space="preserve"> └─ 受控网络代理（互联网权限默认拒绝）</w:t>
      </w:r>
    </w:p>
    <w:p>
      <w:pPr>
        <w:shd w:fill="F1F4F0" w:val="clear"/>
        <w:spacing w:after="12" w:before="0" w:line="250"/>
        <w:ind w:left="18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65343"/>
          <w:sz w:val="16"/>
          <w:szCs w:val="16"/>
        </w:rPr>
        <w:t xml:space="preserve">            │ 有界、版本化 IPC；白名单 UI schema</w:t>
      </w:r>
    </w:p>
    <w:p>
      <w:pPr>
        <w:shd w:fill="F1F4F0" w:val="clear"/>
        <w:spacing w:after="12" w:before="0" w:line="250"/>
        <w:ind w:left="18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65343"/>
          <w:sz w:val="16"/>
          <w:szCs w:val="16"/>
        </w:rPr>
        <w:t xml:space="preserve">            ▼</w:t>
      </w:r>
    </w:p>
    <w:p>
      <w:pPr>
        <w:shd w:fill="F1F4F0" w:val="clear"/>
        <w:spacing w:after="12" w:before="0" w:line="250"/>
        <w:ind w:left="18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65343"/>
          <w:sz w:val="16"/>
          <w:szCs w:val="16"/>
        </w:rPr>
        <w:t xml:space="preserve">  每模块实例独立、低权限工作进程</w:t>
      </w:r>
    </w:p>
    <w:p>
      <w:pPr>
        <w:shd w:fill="F1F4F0" w:val="clear"/>
        <w:spacing w:after="12" w:before="0" w:line="250"/>
        <w:ind w:left="18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65343"/>
          <w:sz w:val="16"/>
          <w:szCs w:val="16"/>
        </w:rPr>
        <w:t xml:space="preserve">  默认不可读数据库/任意文件/互联网</w:t>
      </w:r>
    </w:p>
    <w:p>
      <w:pPr>
        <w:shd w:fill="F1F4F0" w:val="clear"/>
        <w:spacing w:after="12" w:before="0" w:line="250"/>
        <w:ind w:left="18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65343"/>
          <w:sz w:val="16"/>
          <w:szCs w:val="16"/>
        </w:rPr>
        <w:t xml:space="preserve">            │ BLE 安全会话或 TLS LAN 会话</w:t>
      </w:r>
    </w:p>
    <w:p>
      <w:pPr>
        <w:shd w:fill="F1F4F0" w:val="clear"/>
        <w:spacing w:after="12" w:before="0" w:line="250"/>
        <w:ind w:left="18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65343"/>
          <w:sz w:val="16"/>
          <w:szCs w:val="16"/>
        </w:rPr>
        <w:t xml:space="preserve">            ▼</w:t>
      </w:r>
    </w:p>
    <w:p>
      <w:pPr>
        <w:shd w:fill="F1F4F0" w:val="clear"/>
        <w:spacing w:after="12" w:before="0" w:line="250"/>
        <w:ind w:left="18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65343"/>
          <w:sz w:val="16"/>
          <w:szCs w:val="16"/>
        </w:rPr>
        <w:t xml:space="preserve"> ESP32 模块 ←→ 单桥板双插槽状态/身份/电池遥测</w:t>
      </w:r>
    </w:p>
    <w:p>
      <w:pPr>
        <w:spacing w:after="85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6"/>
          <w:szCs w:val="6"/>
        </w:rPr>
        <w:t xml:space="preserve"> </w:t>
      </w:r>
    </w:p>
    <w:p>
      <w:pPr>
        <w:keepNext w:val="false"/>
        <w:spacing w:after="115" w:before="0" w:line="300"/>
        <w:jc w:val="left"/>
      </w:pPr>
      <w:r>
        <w:t>用户指定目标为Pi 3B、ARM64 Raspberry Pi OS Bookworm、Qt6.5.3、Wayland；本轮未连接Pi核验。SDK盆栽历史VALIDATION记录使用Qt6.4.2与labwc/Wayland，不代表目标Qt6.5.3已验证。Pi 3B通常1GB RAM，板型/revision仍需现场核对。原生低权限worker按需启动，不为每模块建Qt引擎；必须测双模块内存/CPU/启动/SQLCipher KDF与写入延迟，不以放弃隔离换性能。面板/UPower接口仍待核验。</w:t>
      </w:r>
    </w:p>
    <w:p>
      <w:pPr>
        <w:pStyle w:val="Heading1"/>
        <w:keepNext/>
        <w:spacing w:after="120" w:before="300"/>
      </w:pPr>
      <w:bookmarkStart w:id="3012" w:name="_TechToc12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5. 用户、PIN、卡片与任务归属</w:t>
      </w:r>
      <w:bookmarkEnd w:id="3012"/>
    </w:p>
    <w:p>
      <w:pPr>
        <w:keepNext/>
        <w:spacing w:before="100" w:after="4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071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07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Noto Sans CJK SC" w:hAnsi="Noto Sans CJK SC"/>
          <w:i/>
          <w:color w:val="617166"/>
          <w:sz w:val="17"/>
        </w:rPr>
        <w:t>图 2｜任务固定原用户；锁屏不改变数据归属。</w:t>
      </w:r>
    </w:p>
    <w:p>
      <w:pPr>
        <w:keepNext/>
        <w:spacing w:before="100" w:after="60"/>
        <w:jc w:val="center"/>
      </w:pPr>
      <w:r/>
    </w:p>
    <w:p>
      <w:pPr>
        <w:keepNext/>
        <w:spacing w:after="65" w:before="100"/>
        <w:jc w:val="center"/>
      </w:pPr>
      <w:r/>
    </w:p>
    <w:p>
      <w:pPr>
        <w:pStyle w:val="Heading2"/>
        <w:keepNext/>
        <w:spacing w:after="120" w:before="220"/>
      </w:pPr>
      <w:bookmarkStart w:id="3013" w:name="_TechToc13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5.1 用户流程</w:t>
      </w:r>
      <w:bookmarkEnd w:id="3013"/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t>RC522 读卡硬件位于桥板；Pi 是唯一用户身份、PIN、授权和健康数据访问权威。桥板只通过逐板认证的 AEAD PBR 转发 UID 事件，不持有 PIN、用户档案或健康数据。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t>原型使用 RC522 兼容的 13.56 MHz ISO14443A 普通卡，只读 UID 选择用户档案；允许真实本机数据，但 PIN 始终必需。普通 UID 卡可复制，故 PIN 限速、锁屏、SQLCipher 和桥板 AEAD 必须先实现。原型卡不是生产认证凭证；产品验证换密码学双向认证卡和逐卡密钥。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同一个物理模块允许多个用户分别配对；授权表按“用户 × 设备身份 × 能力”保存。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运行时只有一个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activeUserId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；管理员仅管理账户和恢复，不自动继承设备信任或健康记录访问权。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t>原型普通卡 UID 只作档案选择符，不作为认证秘密。Pi 锁屏刷已绑定卡只显示对应 PIN 页；添加卡需用户先 PIN 登录并主动进入短时绑卡模式。管理员 PIN 验证后可撤销遗失卡映射但不可看健康数据；补卡由用户本人重新绑定。</w:t>
      </w:r>
    </w:p>
    <w:p>
      <w:pPr>
        <w:pStyle w:val="Heading2"/>
        <w:keepNext/>
        <w:spacing w:after="120" w:before="220"/>
      </w:pPr>
      <w:bookmarkStart w:id="3014" w:name="_TechToc14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5.2 PIN 与自动锁屏</w:t>
      </w:r>
      <w:bookmarkEnd w:id="3014"/>
    </w:p>
    <w:p>
      <w:pPr>
        <w:keepNext w:val="false"/>
        <w:spacing w:after="115" w:before="0" w:line="300"/>
        <w:jc w:val="left"/>
      </w:pPr>
      <w:r>
        <w:t>用户可自行选择 PIN 长度，已确认至少 6 位数字并允许更长，同时启用尝试限速。PIN 派生应使用成熟 KDF，参数在 Pi 上实测。限速只防在线猜测，不能单独保护被取走的存储介质。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自动锁屏隐藏敏感内容并撤销前台读取，不停止已授权健康/围栏任务，也不改变启动用户。前台会话能力与任务能力分开：可信服务仅为运行任务保留必要解锁状态，任务只可追加绑定用户/设备的新记录，不可读取历史、导出或选择其他用户。切换/退出前按5.3收尾，随后关库并撤销旧任务。锁屏告警使用通用提示，不播姓名、读数或精确位置。此处订正F第一稿“锁屏即停任务”的偏差；功能尚待实现。</w:t>
      </w:r>
    </w:p>
    <w:p>
      <w:pPr>
        <w:pStyle w:val="Heading2"/>
        <w:keepNext/>
        <w:spacing w:after="120" w:before="220"/>
      </w:pPr>
      <w:bookmarkStart w:id="3015" w:name="_TechToc15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5.3 用户切换与任务生命周期</w:t>
      </w:r>
      <w:bookmarkEnd w:id="3015"/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测量过程中：等待测量完成，记录仍绑定启动用户。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持续围栏任务：用户明确停止后才能切换；新用户须自行授权并启动。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失联/进程异常：UI 显示状态未知或数据不完整，不能猜测为正常。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t>已确认的异常恢复策略：Pi/模块重启后先解锁原用户，再恢复绑定该用户的任务；恢复前须重新建立模块安全认证会话，不复用旧会话。若测量是否完成无法确认，允许用户显式取消并将记录标记为“不完整”，再切换用户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任务记录携带 user ID、module identity、session/task ID 和创建时上下文代次；迟到事件按原任务归属校验，防止切换后串用户。</w:t>
      </w:r>
    </w:p>
    <w:p>
      <w:pPr>
        <w:pStyle w:val="Heading1"/>
        <w:keepNext/>
        <w:spacing w:after="120" w:before="300"/>
      </w:pPr>
      <w:bookmarkStart w:id="3016" w:name="_TechToc16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6. 本机健康数据与 SQLCipher</w:t>
      </w:r>
      <w:bookmarkEnd w:id="3016"/>
    </w:p>
    <w:p>
      <w:pPr>
        <w:pStyle w:val="Heading2"/>
        <w:keepNext/>
        <w:spacing w:after="120" w:before="220"/>
      </w:pPr>
      <w:bookmarkStart w:id="3017" w:name="_TechToc17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6.1 数据存储</w:t>
      </w:r>
      <w:bookmarkEnd w:id="3017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P0要求每用户独立SQLCipher数据库，由可信数据服务管理连接；worker/QML不持有DB文件、key或任意SQL。当前盆栽module.cpp/History.h已存在按module_instance散列文件名保存的明文JSON温度历史，没有userId；散列文件名不是加密。T-10/11/13须迁到可信API并禁用P0旧JSON读写。无归属旧记录默认保留且不供P0业务读取，不得自动归给首位用户或擅自删除；迁移/删除须用户确认。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每条测量至少区分：用户、来源（手动/设备）、设备型号/身份、测量值及单位、设备有效性标记、测量时间与接收时间。时间来源不可信时明确标记，不伪装精确时间。</w:t>
      </w:r>
    </w:p>
    <w:p>
      <w:pPr>
        <w:pStyle w:val="Heading2"/>
        <w:keepNext/>
        <w:spacing w:after="120" w:before="220"/>
      </w:pPr>
      <w:bookmarkStart w:id="3018" w:name="_TechToc18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6.2 简化但可恢复的密钥模型</w:t>
      </w:r>
      <w:bookmarkEnd w:id="3018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仅用 PIN 直接作为数据库密钥看似简单，但无法支持独立恢复、改 PIN 和管理员不解密。建议保留最低限度密钥封装：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每用户随机数据库密钥；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PIN 派生密钥保护数据库密钥；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用户自己的恢复凭证提供另一条解封路径。</w:t>
      </w:r>
    </w:p>
    <w:p>
      <w:pPr>
        <w:keepNext w:val="false"/>
        <w:spacing w:after="115" w:before="0" w:line="300"/>
        <w:jc w:val="left"/>
      </w:pPr>
      <w:r>
        <w:t>产品长期目标保留独立离线恢复码，与USB备份分开保管；但完整恢复凭证/备份/删除流程列P1，P0不得声称已可恢复。P0随机DB key由PIN派生KEK认证封装，改PIN原子重封装；无恢复能力时须提示遗忘PIN/介质损坏可导致不可恢复。管理员不代解密成员数据，不引入云KMS/万能恢复PIN。</w:t>
      </w:r>
    </w:p>
    <w:p>
      <w:pPr>
        <w:pStyle w:val="Heading2"/>
        <w:keepNext/>
        <w:spacing w:after="120" w:before="220"/>
      </w:pPr>
      <w:bookmarkStart w:id="3019" w:name="_TechToc19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6.3 SQLCipher 和运行时限制</w:t>
      </w:r>
      <w:bookmarkEnd w:id="3019"/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首次登录做 KDF；登录后由受信任服务保持必要的短期解锁状态，后台任务不把密钥传给模块进程。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在 Pi 上测 KDF、页面查询和写入延迟；数据库更新使用事务，防止断电半写。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需要禁用不安全的明文临时文件路径，核对 WAL、journal、崩溃转储、swap、日志和导出暂存区。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SQLCipher 保护静态数据库，不保护已解锁且被 root/恶意宿主控制的设备；不作“绝对防盗”承诺。</w:t>
      </w:r>
    </w:p>
    <w:p>
      <w:pPr>
        <w:pStyle w:val="Heading2"/>
        <w:keepNext/>
        <w:spacing w:after="120" w:before="220"/>
      </w:pPr>
      <w:bookmarkStart w:id="3020" w:name="_TechToc20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6.4 保留、删除、导出</w:t>
      </w:r>
      <w:bookmarkEnd w:id="3020"/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默认记录保留，用户可独立设置自动清理期限；提醒清理范围，删除本用户过期记录和对应本机缓存。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个人导出默认加密，由用户设置/输入文件密码；不在临时目录留明文副本。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CSV 等明文通用格式如未来提供，必须作为显式高风险操作并二次确认。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删除本机不等于删除已拔出的 USB 备份。报告和 UI 必须说明历史备份不受本机删除影响。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不承诺在 wear-leveling Flash 上逐行物理擦除；可评估销毁整份用户密钥来快速不可读化。</w:t>
      </w:r>
    </w:p>
    <w:p>
      <w:pPr>
        <w:pStyle w:val="Heading1"/>
        <w:keepNext/>
        <w:spacing w:after="120" w:before="300"/>
      </w:pPr>
      <w:bookmarkStart w:id="3021" w:name="_TechToc21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7. 备份、恢复与家庭管理员</w:t>
      </w:r>
      <w:bookmarkEnd w:id="3021"/>
    </w:p>
    <w:p>
      <w:pPr>
        <w:pStyle w:val="Heading2"/>
        <w:keepNext/>
        <w:spacing w:after="120" w:before="220"/>
      </w:pPr>
      <w:bookmarkStart w:id="3022" w:name="_TechToc22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7.1 两种 USB 备份</w:t>
      </w:r>
      <w:bookmarkEnd w:id="3022"/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个人备份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：用户主动备份本人资料，使用用户设定的独立密码加密。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整机备份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：管理员可备份整机结构，但用户资料分别保留用户级密文，管理员不能解密查看。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两者都应采用一致性数据库快照、完整性验证、失败不覆盖、USB 拔出安全；插盘不自动复制。整机外层可加密，但这不能替代用户级加密。</w:t>
      </w:r>
    </w:p>
    <w:p>
      <w:pPr>
        <w:pStyle w:val="Heading2"/>
        <w:keepNext/>
        <w:spacing w:after="120" w:before="220"/>
      </w:pPr>
      <w:bookmarkStart w:id="3023" w:name="_TechToc23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7.2 恢复</w:t>
      </w:r>
      <w:bookmarkEnd w:id="3023"/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管理员负责恢复账户/设备结构，不获得成员数据库密钥。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每个用户须使用自己的恢复凭证解密其数据；未提供凭证的用户资料保持密文或由该用户选择销毁，管理员不可代解。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恢复后不自动恢复模块互联网权限、卡片信任或旧活动任务；需重新确认。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t>PIN 恢复保留数据须使用该用户离线恢复码；若恢复码也遗失，管理员不得绕过加密，用户只能选择销毁旧密钥/数据后从空档案开始。</w:t>
      </w:r>
    </w:p>
    <w:p>
      <w:pPr>
        <w:pStyle w:val="Heading1"/>
        <w:keepNext/>
        <w:spacing w:after="120" w:before="300"/>
      </w:pPr>
      <w:bookmarkStart w:id="3024" w:name="_TechToc24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8. 模块身份、授权、隔离和 UI</w:t>
      </w:r>
      <w:bookmarkEnd w:id="3024"/>
    </w:p>
    <w:p>
      <w:pPr>
        <w:keepNext/>
        <w:spacing w:before="100" w:after="4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071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07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Noto Sans CJK SC" w:hAnsi="Noto Sans CJK SC"/>
          <w:i/>
          <w:color w:val="617166"/>
          <w:sz w:val="17"/>
        </w:rPr>
        <w:t>图 3｜读卡事件经桥认证、UID 匹配、PIN 解锁和授权后才开放模块能力。</w:t>
      </w:r>
    </w:p>
    <w:p>
      <w:pPr>
        <w:keepNext/>
        <w:spacing w:before="100" w:after="60"/>
        <w:jc w:val="center"/>
      </w:pPr>
      <w:r/>
    </w:p>
    <w:p>
      <w:pPr>
        <w:keepNext/>
        <w:spacing w:after="65" w:before="100"/>
        <w:jc w:val="center"/>
      </w:pPr>
      <w:r/>
    </w:p>
    <w:p>
      <w:pPr>
        <w:pStyle w:val="Heading2"/>
        <w:keepNext/>
        <w:spacing w:after="120" w:before="220"/>
      </w:pPr>
      <w:bookmarkStart w:id="3025" w:name="_TechToc25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8.1 身份与密钥</w:t>
      </w:r>
      <w:bookmarkEnd w:id="3025"/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目标SDK应新增设备密钥生成/注册、挑战认证、凭据/指纹验证和假密钥测试工具，当前不能由现有token/签名包推断这些已实现。桥板仅项目签发逐板测试身份，签发私钥由F受控保存，Pi只持验证公钥；模块保留正式签发/逐台DIY两条路线，P0盆栽和啸天各独立DIY测试身份。公开SDK、模板及通用镜像不得含共享生产私钥或有效设备secret；现有跟踪固件风险见2.5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设备全局配对由本地管理员核对指纹显式确认；正式模块走项目/厂商签发，DIY模块逐台唯一密钥。登记设备不自动授予访问成员数据，用户仍须按设备/能力自行授权；管理员无权代成员授予健康历史读取。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Pi 端确认挑战响应、协议版本、设备身份、槽位绑定和抗重放；模块身份不等于用户授权。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t>设备身份密钥、插件包 Ed25519 发布者密钥、TLS/BLE 会话密钥、NFC 用户凭证密钥互相分离。普通卡 UID 只作用户档案选择符，不能单独解锁；PIN 始终必需。产品版 NFC 卡密钥按卡片/用户独立管理。</w:t>
      </w:r>
    </w:p>
    <w:p>
      <w:pPr>
        <w:pStyle w:val="Heading2"/>
        <w:keepNext/>
        <w:spacing w:after="120" w:before="220"/>
      </w:pPr>
      <w:bookmarkStart w:id="3026" w:name="_TechToc26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8.2 用户级权限</w:t>
      </w:r>
      <w:bookmarkEnd w:id="3026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每用户、每模块、每能力单独授权。建议能力划分：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提交新测量；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读取本人历史；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使用本地 BLE/局域连接；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访问指定外部服务；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任意外网访问（高风险例外）。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manifest 只声明请求，不自动授予。用户可撤销；切换到无授权用户时，代理立即关闭既有外网连接并拒绝新连接。本地模块通信与互联网访问是两个权限面。</w:t>
      </w:r>
    </w:p>
    <w:p>
      <w:pPr>
        <w:keepNext w:val="false"/>
        <w:spacing w:after="115" w:before="0" w:line="300"/>
        <w:jc w:val="left"/>
      </w:pPr>
      <w:r>
        <w:t>健康历史与外网限制：已确认采用强制互斥策略。同一模块对当前用户不得同时拥有“读取健康历史”和“任意互联网访问”；即使用户分别发出两项授权，主机权限服务也必须拒绝第二项并说明原因。切换权限时先撤销/终止旧能力，再授予新能力。</w:t>
      </w:r>
    </w:p>
    <w:p>
      <w:pPr>
        <w:spacing w:after="115"/>
      </w:pPr>
      <w:r>
        <w:rPr/>
        <w:t>用户仍可单独选择读取本人历史、访问白名单指定服务或任意外网；指定服务能力需由代理校验域名、重定向和目标地址，限制本机/私网管理地址访问。白名单不是数学上的零泄露保证；网络功能仍不得自动读取健康库。</w:t>
      </w:r>
    </w:p>
    <w:p>
      <w:pPr>
        <w:pStyle w:val="Heading2"/>
        <w:keepNext/>
        <w:spacing w:after="120" w:before="220"/>
      </w:pPr>
      <w:bookmarkStart w:id="3027" w:name="_TechToc27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8.3 插件进程沙箱</w:t>
      </w:r>
      <w:bookmarkEnd w:id="3027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当前ModuleManager通过QLibrary在宿主主进程加载C ABI，模块QML也进入宿主；manifest/信任弹窗不是OS隔离。P0至少迁为每实例独立低权限worker、有界版本IPC、宿主受控UI、文件/DB拒绝及默认拒公网。完整CPU/内存/seccomp/namespace加固及网络代理按P1深化，但P0必须以真实拒绝测试证明基本边界，QProcess本身不算沙箱。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20"/>
          <w:szCs w:val="20"/>
        </w:rPr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优先利用 Raspberry Pi OS 的 systemd 沙箱配置、Linux UID/文件权限、网络隔离和必要的 syscall 限制；应核查发行版、内核、systemd 版本及可部署性。沙箱是纵深防御，不等于完整 VM 隔离。</w:t>
      </w:r>
    </w:p>
    <w:p>
      <w:pPr>
        <w:pStyle w:val="Heading2"/>
        <w:keepNext/>
        <w:spacing w:after="120" w:before="220"/>
      </w:pPr>
      <w:bookmarkStart w:id="3028" w:name="_TechToc28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8.4 受控模块 UI</w:t>
      </w:r>
      <w:bookmarkEnd w:id="3028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禁止模块任意加载 QML/JavaScript。模块输出版本化、大小受限的数据 schema；宿主用白名单原生组件绘制。动作采用白名单 ID，参数范围由 C++ 服务校验。远程图片、任意文件路径、JS 表达式和任意 QObject 暴露均不允许。</w:t>
      </w:r>
    </w:p>
    <w:p>
      <w:pPr>
        <w:pStyle w:val="Heading1"/>
        <w:keepNext/>
        <w:spacing w:after="120" w:before="300"/>
      </w:pPr>
      <w:bookmarkStart w:id="3029" w:name="_TechToc29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9. 新安全通信协议、TLS与HTTPS</w:t>
      </w:r>
      <w:bookmarkEnd w:id="3029"/>
    </w:p>
    <w:p>
      <w:pPr>
        <w:keepNext/>
        <w:spacing w:before="100" w:after="4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071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07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Noto Sans CJK SC" w:hAnsi="Noto Sans CJK SC"/>
          <w:i/>
          <w:color w:val="617166"/>
          <w:sz w:val="17"/>
        </w:rPr>
        <w:t>图 7｜现有 PBR CRC 与目标逐板认证 AEAD 的安全迁移边界。</w:t>
      </w:r>
    </w:p>
    <w:p>
      <w:pPr>
        <w:pStyle w:val="Heading2"/>
        <w:keepNext/>
        <w:spacing w:after="120" w:before="220"/>
      </w:pPr>
      <w:bookmarkStart w:id="3030" w:name="_TechToc30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9.1 禁止旧明文降级</w:t>
      </w:r>
      <w:bookmarkEnd w:id="3030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用户明确选择只允许新安全协议。版本协商不成功、认证失败、证书无效、重放、用户撤权或加密错误时，关闭业务会话；不回退原有 token-only/raw TCP。升级后旧固件需提示“需安全固件/不支持”，不能静默继续连接。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需为旧模块准备有界物理升级/恢复路径；“不允许旧协议”不应被误写成“无法维修或恢复”。兼容矩阵应覆盖 Pi、桥板、模块固件和 SDK 版本。</w:t>
      </w:r>
    </w:p>
    <w:p>
      <w:pPr>
        <w:pStyle w:val="Heading2"/>
        <w:keepNext/>
        <w:spacing w:after="120" w:before="220"/>
      </w:pPr>
      <w:bookmarkStart w:id="3031" w:name="_TechToc31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9.2 链路建议</w:t>
      </w:r>
      <w:bookmarkEnd w:id="3031"/>
    </w:p>
    <w:tbl>
      <w:tblPr>
        <w:tblW w:type="dxa" w:w="9906"/>
        <w:tblBorders>
          <w:top w:val="single" w:color="D5DCD2" w:sz="4"/>
          <w:left w:val="single" w:color="D5DCD2" w:sz="3"/>
          <w:bottom w:val="single" w:color="D5DCD2" w:sz="4"/>
          <w:right w:val="single" w:color="D5DCD2" w:sz="3"/>
          <w:insideH w:val="single" w:color="D5DCD2" w:sz="3"/>
          <w:insideV w:val="single" w:color="D5DCD2" w:sz="3"/>
        </w:tblBorders>
        <w:tblLayout w:type="fixed"/>
        <w:tblCellMar>
          <w:top w:type="dxa" w:w="70"/>
          <w:left w:type="dxa" w:w="90"/>
          <w:bottom w:type="dxa" w:w="70"/>
          <w:right w:type="dxa" w:w="90"/>
        </w:tblCellMar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链路</w:t>
            </w:r>
          </w:p>
        </w:tc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建议路线</w:t>
            </w:r>
          </w:p>
        </w:tc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备注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互联网 API/更新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HTTPS，证书及主机名校验，失败关闭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不允许忽略错误、HTTP 重定向到明文或任意跨域降级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模块热点 LAN/TCP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TLS 及设备身份认证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这是 TLS TCP，不称 HTTPS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BLE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LE Secure Connections/安全配对 + 应用挑战认证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配对方法要防首次中间人攻击；无屏设备评估 Pogo 辅助带外绑定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Pi—桥板 PBR1 UART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目标：逐板桥身份双向挑战 + AEAD；nonce/seq 防重放；CRC 仅用于 framing/检错；UID 事件 ACK/有界重传。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当前 PBR1 只有 CRC/序号，无认证/加密。Pi 与桥板必须成套升级，不回退旧明文协议。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插件包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HTTPS（如适用）+ 既有 Ed25519 包签名/哈希验证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TLS 防传输窃听/篡改，签名验证发行者和内容，两者不互替</w:t>
            </w:r>
          </w:p>
        </w:tc>
      </w:tr>
    </w:tbl>
    <w:p>
      <w:pPr>
        <w:spacing w:after="1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6"/>
          <w:szCs w:val="6"/>
        </w:rPr>
        <w:t xml:space="preserve"> 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不自创密码算法。密钥轮换、撤销、首次配对、无可信时间、证书到期和设备丢失都要列进协议测试。</w:t>
      </w:r>
    </w:p>
    <w:p>
      <w:pPr>
        <w:pStyle w:val="Heading2"/>
        <w:keepNext/>
        <w:spacing w:after="120" w:before="220"/>
      </w:pPr>
      <w:bookmarkStart w:id="3032" w:name="_TechToc32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9.3 联网总开关与有限网络（长期产品策略）</w:t>
      </w:r>
      <w:bookmarkEnd w:id="3032"/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总开关只控制外网，不关闭本地 BLE、Pogo 或受限局域连接。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浏览器、音乐、更新等保留分功能开关；关闭时取消请求/下载，并阻止各网络子系统建立新外网连接。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仅针对“网络接口有 IP”不能判定互联网可用；状态拆为接口、局域模块链路、互联网可达。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离线健康功能照常工作；无健康数据待上传队列。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采用有限超时、有上限重试、用户主动重试、流量/缓存上限和清楚状态提示；不因网络恢复自动下载大包。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不做蜂窝热点；离线、弱网、高延迟、低带宽及频繁断开均需考虑。P0固定LAN-only业务TLS及设备认证，BLE profile禁用并测拒绝；若后续启用BLE，先完成认证加密并经F审查，不允许回退明文。模块公网授权/域名代理属P1，P0默认拒绝worker公网和热点WAN转发，不把主机浏览器/音乐联网权限给模块。</w:t>
      </w:r>
    </w:p>
    <w:p>
      <w:pPr>
        <w:pStyle w:val="Heading1"/>
        <w:keepNext/>
        <w:spacing w:after="120" w:before="300"/>
      </w:pPr>
      <w:bookmarkStart w:id="3033" w:name="_TechToc33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10. 双 Pogo 插槽、单桥板</w:t>
      </w:r>
      <w:bookmarkEnd w:id="3033"/>
    </w:p>
    <w:p>
      <w:pPr>
        <w:keepNext/>
        <w:spacing w:before="100" w:after="4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071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07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Noto Sans CJK SC" w:hAnsi="Noto Sans CJK SC"/>
          <w:i/>
          <w:color w:val="617166"/>
          <w:sz w:val="17"/>
        </w:rPr>
        <w:t>图 4｜双槽桥板拓扑仍待硬件方案选定。</w:t>
      </w:r>
    </w:p>
    <w:p>
      <w:pPr>
        <w:keepNext/>
        <w:spacing w:before="100" w:after="60"/>
        <w:jc w:val="center"/>
      </w:pPr>
      <w:r/>
    </w:p>
    <w:p>
      <w:pPr>
        <w:keepNext/>
        <w:spacing w:after="65" w:before="100"/>
        <w:jc w:val="center"/>
      </w:pPr>
      <w:r/>
    </w:p>
    <w:p>
      <w:pPr>
        <w:pStyle w:val="Heading2"/>
        <w:keepNext/>
        <w:spacing w:after="120" w:before="220"/>
      </w:pPr>
      <w:bookmarkStart w:id="3034" w:name="_TechToc34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10.1 当前事实与设计目标</w:t>
      </w:r>
      <w:bookmarkEnd w:id="3034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已确认目标是终端两个可同时插模块的触点位、由同一桥板管理；目前通信拓扑未定。桥板正式源码只有一组 DET/实例和 LinkIt 单套全局状态，Pi 端虽然有多会话容器，仍不表示桥板已支持双槽。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协议至少区分：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bridge_id：逐桥稳定设备身份；启动代次使用独立boot_id，不能重启即换身份或把两个概念混为一谈；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slot_id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：物理槽位；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device_id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：安全设备身份；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session_id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：一次会话实例。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 xml:space="preserve">不能以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20"/>
          <w:szCs w:val="20"/>
        </w:rPr>
        <w:t>module_id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 xml:space="preserve"> 或 slot 单独当作设备安全身份。</w:t>
      </w:r>
    </w:p>
    <w:p>
      <w:pPr>
        <w:pStyle w:val="Heading2"/>
        <w:keepNext/>
        <w:spacing w:after="120" w:before="220"/>
      </w:pPr>
      <w:bookmarkStart w:id="3035" w:name="_TechToc35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10.2 未决拓扑候选</w:t>
      </w:r>
      <w:bookmarkEnd w:id="3035"/>
    </w:p>
    <w:tbl>
      <w:tblPr>
        <w:tblW w:type="dxa" w:w="9906"/>
        <w:tblBorders>
          <w:top w:val="single" w:color="D5DCD2" w:sz="4"/>
          <w:left w:val="single" w:color="D5DCD2" w:sz="3"/>
          <w:bottom w:val="single" w:color="D5DCD2" w:sz="4"/>
          <w:right w:val="single" w:color="D5DCD2" w:sz="3"/>
          <w:insideH w:val="single" w:color="D5DCD2" w:sz="3"/>
          <w:insideV w:val="single" w:color="D5DCD2" w:sz="3"/>
        </w:tblBorders>
        <w:tblLayout w:type="fixed"/>
        <w:tblCellMar>
          <w:top w:type="dxa" w:w="70"/>
          <w:left w:type="dxa" w:w="90"/>
          <w:bottom w:type="dxa" w:w="70"/>
          <w:right w:type="dxa" w:w="90"/>
        </w:tblCellMar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方案</w:t>
            </w:r>
          </w:p>
        </w:tc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优点</w:t>
            </w:r>
          </w:p>
        </w:tc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代价/风险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每槽独立通信通道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并行、故障隔离较直接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UART/引脚/PCB/功耗资源增加；需检查 ESP32-S3 外设与现有 UART0/1 分配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共享总线 + 多路开关/复用器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节省资源，桥板统一调度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需要切换时序、总线占用管理、热插拔和单槽故障隔离；切换时可能暂停链路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可寻址共享总线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布线/资源少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模块协议须支持唯一地址和冲突仲裁，不能直接假设现有协议具备</w:t>
            </w:r>
          </w:p>
        </w:tc>
      </w:tr>
    </w:tbl>
    <w:p>
      <w:pPr>
        <w:spacing w:after="1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6"/>
          <w:szCs w:val="6"/>
        </w:rPr>
        <w:t xml:space="preserve"> 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建议先做原理图、ESP32-S3 外设占用、信号完整性和供电预算评估，再决定。每槽独立检测线/稳定槽位标识有助于去耦；双槽事件不能共用一个全局 attach 布尔量。</w:t>
      </w:r>
    </w:p>
    <w:p>
      <w:pPr>
        <w:pStyle w:val="Heading2"/>
        <w:keepNext/>
        <w:spacing w:after="120" w:before="220"/>
      </w:pPr>
      <w:bookmarkStart w:id="3036" w:name="_TechToc36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10.3 固件与主机改造</w:t>
      </w:r>
      <w:bookmarkEnd w:id="3036"/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桥板 LinkIt 单实例状态拆成按 slot 管理的状态机/上下文。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每槽独立检测、去抖、握手、超时、配置缓存和安全身份绑定。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PBR1 协议扩展槽位、bridge boot ID、事件序号、session generation；旧事件/重放拒绝。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互动确认后的目标：保留当前触点/业务分离。物理拔出释放槽位，已有认证和授权仍有效的独立无线任务继续，绑定device_id、业务session、task_id与原用户，不绑定槽位占用。桥板USB失联只使位置unknown并禁止新刷卡/绑卡/物理接入确认；已登记用户可本机PIN解锁查看、停止或撤权。控制恢复须重新认证和核对位置，匹配不重建有效业务，冲突隔离新绑定而不转移旧任务授权；业务安全失败仍关闭相应业务。T-05/11/16补槽位复用、迟到事件、恢复/冲突测试，不把当前仅更新状态视作已实现完整安全边界。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桥板恢复/模块移槽重新认证控制身份与位置绑定，不凭旧token/实例继承权限，也不无故重启仍有效的安全业务。Pi或模块自身重启导致业务会话失效时，原用户须解锁并重新认证后恢复任务。slot_id仅位置属性；控制binding_generation防旧位置事件串槽，业务按device/session/task/原用户归属。</w:t>
      </w:r>
    </w:p>
    <w:p>
      <w:pPr>
        <w:pStyle w:val="Heading2"/>
        <w:keepNext/>
        <w:spacing w:after="120" w:before="220"/>
      </w:pPr>
      <w:bookmarkStart w:id="3037" w:name="_TechToc37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10.4 实机测试矩阵</w:t>
      </w:r>
      <w:bookmarkEnd w:id="3037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两个不同型号同时在线、相同型号同时在线、任意插入顺序、单槽拔出/接触抖动、另一槽继续工作、总线冲突、桥板重启、模块移槽、错误/重复事件、单槽短路/过流以及两个模块共享热点时的网络路由都需实测。仿真不能替代这些验收。</w:t>
      </w:r>
    </w:p>
    <w:p>
      <w:pPr>
        <w:pStyle w:val="Heading1"/>
        <w:keepNext/>
        <w:spacing w:after="120" w:before="300"/>
      </w:pPr>
      <w:bookmarkStart w:id="3038" w:name="_TechToc38"/>
      <w:r>
        <w:t>11. 啸天红外围界模块</w:t>
      </w:r>
      <w:bookmarkEnd w:id="3038"/>
    </w:p>
    <w:p>
      <w:pPr>
        <w:keepNext/>
        <w:spacing w:before="100" w:after="4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071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07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Noto Sans CJK SC" w:hAnsi="Noto Sans CJK SC"/>
          <w:i/>
          <w:color w:val="617166"/>
          <w:sz w:val="17"/>
        </w:rPr>
        <w:t>图 5｜单线、门口双线测速、折线/闭合围界分模式；逻辑示意，不是接线图。</w:t>
      </w:r>
    </w:p>
    <w:p>
      <w:pPr>
        <w:keepNext/>
        <w:spacing w:before="100" w:after="60"/>
        <w:jc w:val="center"/>
      </w:pPr>
      <w:r/>
    </w:p>
    <w:p>
      <w:pPr>
        <w:keepNext/>
        <w:spacing w:after="65" w:before="100"/>
        <w:jc w:val="center"/>
      </w:pPr>
      <w:r/>
    </w:p>
    <w:p>
      <w:pPr>
        <w:keepNext w:val="false"/>
        <w:spacing w:after="115" w:before="0" w:line="300"/>
        <w:jc w:val="left"/>
      </w:pPr>
      <w:r>
        <w:t>本节依据 gggitj/ESP-Modular-Terminal-Service 的 module-devkit/examples/xiaotian/DEVELOPMENT-NOTES.md 和 PROTOTYPE-PLAN.md（main 16aebdd）更新；当前仍为设计准备，不是已实现功能。旧名“哮天犬”已由仓库最新需求更新为“啸天”。</w:t>
      </w:r>
    </w:p>
    <w:p>
      <w:pPr>
        <w:pStyle w:val="Heading2"/>
        <w:keepNext/>
        <w:spacing w:after="120" w:before="220"/>
      </w:pPr>
      <w:bookmarkStart w:id="3039" w:name="_TechToc39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11.1 场景和传感器路线</w:t>
      </w:r>
      <w:bookmarkEnd w:id="3039"/>
    </w:p>
    <w:p>
      <w:pPr>
        <w:keepNext w:val="false"/>
        <w:spacing w:after="115" w:before="0" w:line="300"/>
        <w:jc w:val="left"/>
      </w:pPr>
      <w:r>
        <w:t>产品正式名“啸天”，长期目标为开放场地可调直线/折线/闭合围界及门口方向/平均速度。3–5m仅试验距离，10×10m仅后续参考。上游计划记录尚未采购/接线/烧录/实测，本轮未联系L核实当前实物进展。L按团队P0第1天下单、目标第3天到货；没有回执不得标到货或完成。</w:t>
      </w:r>
    </w:p>
    <w:p>
      <w:pPr>
        <w:keepNext w:val="false"/>
        <w:spacing w:after="115" w:before="0" w:line="300"/>
        <w:jc w:val="left"/>
      </w:pPr>
      <w:r>
        <w:t>技术路线优先主动对射红外。首轮两对探头 + 一块现有 ESP32 集中采集两路，允许必要低压线，不要求探头独立无线。目标对象为人员及猫/小型犬，低误报优先；两侧近地可固定，需兼容屋檐遮挡与直接日晒/雨淋。优先明确规格的户外对射器件及干接点输出；最终型号、IP 等级、束高/间距依手册与试装确定，GPIO 不写死。</w:t>
      </w:r>
    </w:p>
    <w:p>
      <w:pPr>
        <w:keepNext w:val="false"/>
        <w:spacing w:after="115" w:before="0" w:line="300"/>
        <w:jc w:val="left"/>
      </w:pPr>
      <w:r>
        <w:t>两对探头可重布置为单线告警、门口平行双线测速组或相邻折线；同一 ESP32 用同一单调时钟。围界模式每段独立，任一已布防段触发告警；门口模式仅对有效 A→B/B→A 配对输出方向与区间平均速度。方向测速与围界告警是不同模式，不以任意边事件差测速。</w:t>
      </w:r>
    </w:p>
    <w:p>
      <w:pPr>
        <w:pStyle w:val="Heading2"/>
        <w:keepNext/>
        <w:spacing w:after="120" w:before="220"/>
      </w:pPr>
      <w:bookmarkStart w:id="3040" w:name="_TechToc40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11.2 电气与供电原则</w:t>
      </w:r>
      <w:bookmarkEnd w:id="3040"/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ESP32-S3 GPIO 是 3.3V 逻辑；不可把 5/12/24V 输出直接接入。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干接点/开集电极优先；外部逻辑按需要做电平转换/光耦隔离。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野外长线评估光耦、TVS、防反接、滤波、ESD/浪涌和接地/隔离策略。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传感器供电与 ESP 不同源时，先决定共地或隔离；避免电源反灌。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t>首轮集中采集/集中供电优先；探头是否最终独立供电或无线回传仍待决定。可用低压线给两端共供电，不要求每端各自配电池。记录 ESP、两对发射/接收端、接口/稳压与无线峰值电流；续航只按实测报告。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t>传感器型号、实际 GPIO、供电电压和光学间距仍待器件/样机确定；禁止预先写死 GPIO。两侧近地安装已确认，可调支架试装后记录实际束高/间距；封装和立柱附件按现场外形另定。</w:t>
      </w:r>
    </w:p>
    <w:p>
      <w:pPr>
        <w:pStyle w:val="Heading2"/>
        <w:keepNext/>
        <w:spacing w:after="120" w:before="220"/>
      </w:pPr>
      <w:bookmarkStart w:id="3041" w:name="_TechToc41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11.3 最小功能范围</w:t>
      </w:r>
      <w:bookmarkEnd w:id="3041"/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t>本团队14天P0只验两路独立真实遮挡/恢复、去抖/未知状态、安全传输、页面及双模块并行；不要求方向/速度或户外围界。围界每段独立、门口专用双线有效时序配对等长期语义保留在P1，不能以P0缩范围否认产品长期目标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armed/disarmed；触发计数；告警保持；输入去抖；心跳。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最近触发时间由终端记；显示供电来源、电量有效性和最近状态时间。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短暂遮挡去抖，告警保持一段时间以让用户看见；参数都做范围校验。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首期不做蜂鸣器、继电器、手机推送、摄像头联动、多光束精确定位、拨号或安防级联。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防拆/断线当前可列作后续需求；在没有相应输入硬件时不能把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tamper=false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 /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sensor_online=true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 伪装成已检测事实。</w:t>
      </w:r>
    </w:p>
    <w:p>
      <w:pPr>
        <w:pStyle w:val="Heading2"/>
        <w:keepNext/>
        <w:spacing w:after="120" w:before="220"/>
      </w:pPr>
      <w:bookmarkStart w:id="3042" w:name="_TechToc42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11.4 数据协议建议修正</w:t>
      </w:r>
      <w:bookmarkEnd w:id="3042"/>
    </w:p>
    <w:p>
      <w:pPr>
        <w:spacing w:after="120" w:line="269" w:lineRule="auto"/>
      </w:pPr>
      <w:r>
        <w:t>新执行清单把一对发射/接收头定义为一条独立光路；商品内部“多光束”若只给一路汇总输出，仍只算一个可读检测段。首轮两对探头在单线/测速/折线模式间重布置；闭合区域需按边数增加光路。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02"/>
        <w:gridCol w:w="3302"/>
        <w:gridCol w:w="3302"/>
      </w:tblGrid>
      <w:tr>
        <w:tc>
          <w:tcPr>
            <w:tcW w:type="dxa" w:w="1800"/>
            <w:vAlign w:val="center"/>
            <w:shd w:fill="25634B"/>
          </w:tcPr>
          <w:p>
            <w:r>
              <w:t>模式</w:t>
            </w:r>
          </w:p>
        </w:tc>
        <w:tc>
          <w:tcPr>
            <w:tcW w:type="dxa" w:w="3600"/>
            <w:vAlign w:val="center"/>
            <w:shd w:fill="25634B"/>
          </w:tcPr>
          <w:p>
            <w:r>
              <w:t>拓扑</w:t>
            </w:r>
          </w:p>
        </w:tc>
        <w:tc>
          <w:tcPr>
            <w:tcW w:type="dxa" w:w="4824"/>
            <w:vAlign w:val="center"/>
            <w:shd w:fill="25634B"/>
          </w:tcPr>
          <w:p>
            <w:r>
              <w:t>算法/输出边界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r>
              <w:t>单线告警</w:t>
            </w:r>
          </w:p>
        </w:tc>
        <w:tc>
          <w:tcPr>
            <w:tcW w:type="dxa" w:w="3600"/>
            <w:vAlign w:val="center"/>
            <w:shd w:fill="FFFFFF"/>
          </w:tcPr>
          <w:p>
            <w:r>
              <w:t>一对探头 / 一段</w:t>
            </w:r>
          </w:p>
        </w:tc>
        <w:tc>
          <w:tcPr>
            <w:tcW w:type="dxa" w:w="4824"/>
            <w:vAlign w:val="center"/>
            <w:shd w:fill="FFFFFF"/>
          </w:tcPr>
          <w:p>
            <w:r>
              <w:t>遮挡、恢复、触发时间、布防/撤防；用于先验证稳定输入。</w:t>
            </w:r>
          </w:p>
        </w:tc>
      </w:tr>
      <w:tr>
        <w:tc>
          <w:tcPr>
            <w:tcW w:type="dxa" w:w="1800"/>
            <w:vAlign w:val="center"/>
            <w:shd w:fill="F1F5F0"/>
          </w:tcPr>
          <w:p>
            <w:r>
              <w:t>门口通行</w:t>
            </w:r>
          </w:p>
        </w:tc>
        <w:tc>
          <w:tcPr>
            <w:tcW w:type="dxa" w:w="3600"/>
            <w:vAlign w:val="center"/>
            <w:shd w:fill="F1F5F0"/>
          </w:tcPr>
          <w:p>
            <w:r>
              <w:t>两条平行线 A/B；同 ESP32、同一单调时钟</w:t>
            </w:r>
          </w:p>
        </w:tc>
        <w:tc>
          <w:tcPr>
            <w:tcW w:type="dxa" w:w="4824"/>
            <w:vAlign w:val="center"/>
            <w:shd w:fill="F1F5F0"/>
          </w:tcPr>
          <w:p>
            <w:r>
              <w:t>同一有效通行 A→B/B→A 判进入/离开；v=d/|tB−tA| 是垂直间距 d 上的区间平均速度估算，不是瞬时速度。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r>
              <w:t>折线/开放围界</w:t>
            </w:r>
          </w:p>
        </w:tc>
        <w:tc>
          <w:tcPr>
            <w:tcW w:type="dxa" w:w="3600"/>
            <w:vAlign w:val="center"/>
            <w:shd w:fill="FFFFFF"/>
          </w:tcPr>
          <w:p>
            <w:r>
              <w:t>多段首尾按场地组合，各段有独立 segment_id</w:t>
            </w:r>
          </w:p>
        </w:tc>
        <w:tc>
          <w:tcPr>
            <w:tcW w:type="dxa" w:w="4824"/>
            <w:vAlign w:val="center"/>
            <w:shd w:fill="FFFFFF"/>
          </w:tcPr>
          <w:p>
            <w:r>
              <w:t>逐边告警与事件顺序；不从任意相邻折线的时间差测速。</w:t>
            </w:r>
          </w:p>
        </w:tc>
      </w:tr>
      <w:tr>
        <w:tc>
          <w:tcPr>
            <w:tcW w:type="dxa" w:w="1800"/>
            <w:vAlign w:val="center"/>
            <w:shd w:fill="F1F5F0"/>
          </w:tcPr>
          <w:p>
            <w:r>
              <w:t>闭合区域</w:t>
            </w:r>
          </w:p>
        </w:tc>
        <w:tc>
          <w:tcPr>
            <w:tcW w:type="dxa" w:w="3600"/>
            <w:vAlign w:val="center"/>
            <w:shd w:fill="F1F5F0"/>
          </w:tcPr>
          <w:p>
            <w:r>
              <w:t>闭合三角形至少三段、四边形至少四段</w:t>
            </w:r>
          </w:p>
        </w:tc>
        <w:tc>
          <w:tcPr>
            <w:tcW w:type="dxa" w:w="4824"/>
            <w:vAlign w:val="center"/>
            <w:shd w:fill="F1F5F0"/>
          </w:tcPr>
          <w:p>
            <w:r>
              <w:t>两对原型不能覆盖 10×10 m 全开放矩形；需按实际边数增配光路。</w:t>
            </w:r>
          </w:p>
        </w:tc>
      </w:tr>
    </w:tbl>
    <w:p/>
    <w:p>
      <w:pPr>
        <w:spacing w:after="100"/>
      </w:pPr>
      <w:r>
        <w:t>下列xiaotian.v2仅为P1多模式示意，非P0冻结协议。P0受控数据包络/双路字段见F审核稿p0-data-v1；单调时间只在同一device_boot_id内比较。</w:t>
      </w:r>
    </w:p>
    <w:p>
      <w:pPr>
        <w:spacing w:after="140"/>
        <w:ind w:left="200"/>
      </w:pPr>
      <w:r>
        <w:rPr>
          <w:rFonts w:ascii="Noto Sans Mono" w:hAnsi="Noto Sans Mono"/>
          <w:sz w:val="16"/>
        </w:rPr>
        <w:t>{</w:t>
        <w:br/>
        <w:t xml:space="preserve">  "schema": "xiaotian.v2",</w:t>
        <w:br/>
        <w:t xml:space="preserve">  "mode": "passage",</w:t>
        <w:br/>
        <w:t xml:space="preserve">  "event_id": "boot-id:42",</w:t>
        <w:br/>
        <w:t xml:space="preserve">  "clock": {"boot_id": "...", "sample_ms": 1480},</w:t>
        <w:br/>
        <w:t xml:space="preserve">  "segments": [</w:t>
        <w:br/>
        <w:t xml:space="preserve">    {"segment_id": "A", "edge": "blocked", "sample_ms": 1000},</w:t>
        <w:br/>
        <w:t xml:space="preserve">    {"segment_id": "B", "edge": "blocked", "sample_ms": 1480}</w:t>
        <w:br/>
        <w:t xml:space="preserve">  ],</w:t>
        <w:br/>
        <w:t xml:space="preserve">  "passage": {"direction": "in", "mean_speed_m_s": null, "validity": "uncalibrated"}</w:t>
        <w:br/>
        <w:t>}</w:t>
      </w:r>
    </w:p>
    <w:p>
      <w:pPr>
        <w:keepNext w:val="false"/>
        <w:spacing w:after="115" w:before="0" w:line="300"/>
        <w:jc w:val="left"/>
      </w:pPr>
      <w:r>
        <w:t>每条分段事件携带 segment_id、event_id、edge/status、设备单调时间和 boot_id；Pi 另记接收时间。没有可信绝对时钟时不伪造日期时间。原始 GPIO/诊断信息仅在用户主动开启诊断视图时展示。</w:t>
      </w:r>
    </w:p>
    <w:p>
      <w:pPr>
        <w:keepNext w:val="false"/>
        <w:spacing w:after="115" w:before="0" w:line="300"/>
        <w:jc w:val="left"/>
      </w:pPr>
      <w:r>
        <w:t>业务告警仍走固定认证 BLE/LAN 数据面，LinkIt/PBR 只承载控制和桥板事件。命令参数范围校验、session/sequence 去重、按当前用户能力授权；未知命令有界拒绝，不重启模块。测速组的 A/B 边沿用同 ESP 单调时钟，终端接收时间不参与速度计算。</w:t>
      </w:r>
    </w:p>
    <w:p>
      <w:pPr>
        <w:pStyle w:val="Heading2"/>
        <w:keepNext/>
        <w:spacing w:after="120" w:before="220"/>
      </w:pPr>
      <w:bookmarkStart w:id="3043" w:name="_TechToc43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11.5 页面与低网策略</w:t>
      </w:r>
      <w:bookmarkEnd w:id="3043"/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清楚显示“已布防/未布防/告警/离线/故障/状态未知”；过期心跳后转未知。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告警次数仅表示本次设备启动后的计数时应明确；如需持久历史，由终端记录事件。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没有电池检测时显示“未检测”，不推算电量；没有防拆/断线硬件时不声称已检测。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t>显示布局模式、各段/两条测速线状态、触发次数、最近事件、方向与速度有效性、供电/数据新鲜度；原始诊断字段默认折叠。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t>实时告警只在 Pi 本地链路覆盖内承诺。失联转“监测中断/未知”；模块有界缓存事件，重连 ACK 后补报并标记原始发生时间/接收时间，缓存溢出报告缺口。补报不是实时告警。</w:t>
      </w:r>
    </w:p>
    <w:p>
      <w:pPr>
        <w:pStyle w:val="Heading2"/>
        <w:spacing w:after="120" w:line="269" w:lineRule="auto"/>
      </w:pPr>
      <w:bookmarkStart w:id="3044" w:name="_TechToc44"/>
      <w:r>
        <w:t>11.6 最新原型执行、构造与来源参考</w:t>
      </w:r>
      <w:bookmarkEnd w:id="3044"/>
    </w:p>
    <w:p>
      <w:pPr>
        <w:spacing w:after="120" w:line="269" w:lineRule="auto"/>
      </w:pPr>
      <w:r>
        <w:t>上游PROTOTYPE-PLAN仍建议首轮比较单线、门口方向/平均速度和折线告警；本团队最新确认的P0覆盖其执行优先级：先两路真实输入与双模块闭环，方向/速度/户外/闭合验收列P1。测速长期只用同ESP边沿时间，单人依次通行，并与独立参考比对；只算出数值不算测速验证。</w:t>
      </w:r>
    </w:p>
    <w:p>
      <w:pPr>
        <w:spacing w:after="120" w:line="269" w:lineRule="auto"/>
      </w:pPr>
      <w:r>
        <w:t>商品选择前核两端电压/电流、干接点或 NPN/PNP 输出、遮挡/断电状态、响应与恢复延迟、内部双束汇总行为、户外指标和相邻多对串扰。普通继电器触点适合告警不代表具备测速精度；测不到足够稳定的边沿时，页面必须标“速度未验证/不提供估算”。</w:t>
      </w:r>
    </w:p>
    <w:p>
      <w:pPr>
        <w:spacing w:after="120" w:line="269" w:lineRule="auto"/>
      </w:pPr>
      <w:r>
        <w:t>产品构造建议：探头保持原光学窗/遮光/密封，控制盒装 ESP32、稳压和输入保护；先用成品盒和可调转接件，不定制红外透光外罩。墙面/门框/栏杆固定优先；立柱、地插、三脚架单独选配。现阶段不限预算做技术方案，未来若启用学生原型 250 元采购上限，另做 BOM 和取舍表。</w:t>
      </w:r>
    </w:p>
    <w:p>
      <w:pPr>
        <w:spacing w:after="120" w:line="269" w:lineRule="auto"/>
      </w:pPr>
      <w:r>
        <w:t>参考仓库只作方案灵感而非已验证依赖：Deanly/infrared-early-warning-system（多通道保持思路，未见明确许可证）；LuxLucas/esp32-ir-barrier（MIT，单路 NEC/超时思路，户外和多段未证）；wu-sui-jie/esp32-iot-mqtt-linkage（仅据文档参考事件/心跳，未审阅检测源码）；Waelguesmi25/Infrared-Barrier（MIT 原理图/PCB 本次未解析）；nstoker/Laser-Fence（GPL-3.0-or-later，游戏单路传感器，不是户外围界）。仅参考公开描述，不复制代码；每项按许可、硬件、户外验收重新审查。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t>下一阶段并行比较至少两款探头、外形/支撑/控制盒、电源和线缆；同时整理段 ID/布局/采集时间 schema。当前技术比较不限预算，学生原型 250 元作为后续独立 BOM 情景，不裁剪本阶段架构。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t>选型须比较输出类型、响应/恢复延迟、双光束汇总逻辑、抗串扰与户外条件；不能仅凭“带继电器”推定测速精度。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桌面验证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：万用表核输出电压、电平转换、遮挡/无遮挡电平、响应时间、毛刺、最小/最大稳定距离。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工程初始化：module_id须D/L核查已有编号并由F批准，0x19仅旧候选，本轮未发现可作为权威的中央registry。现有ESP仓module-devkit/examples/xiaotian/仅两份需求/执行文档，Pi仓无该目录；目标在既有ESP示例下新增firmware/，Pi由Z做受控页面，不声称已有固件/插件。GPIO/板型/输出电平由L实测后定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t>P0先实现同ESP两路独立事件与时间、状态未知和安全会话；Pi页面采用受控UI与隔离worker，不加载模块任意QML。既有C ABI/盆栽JSON历史路径须迁移，不能原样复用后宣称隔离。模式/测速/户外扩展按P1独立验收。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实机验收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：传感器型号、接线、板型、GPIO、电压/电流、距离、强光/夜晚/雨雾、误报漏报、固件 commit、插件包 SHA256 及未测项均留记录；未测项标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NOT TESTED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。</w:t>
      </w:r>
    </w:p>
    <w:p>
      <w:pPr>
        <w:pStyle w:val="Heading2"/>
        <w:keepNext/>
        <w:spacing w:after="120" w:before="220"/>
      </w:pPr>
      <w:bookmarkStart w:id="3045" w:name="_TechToc45"/>
      <w:r>
        <w:t>11.7 风险</w:t>
      </w:r>
      <w:bookmarkEnd w:id="3045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户外红外受阳光、雨雾、灰尘、昆虫、植物摆动和光轴偏移影响；长线有感应和浪涌；传感器可能使用 12/24V；独立电源续航受红外发射端电流影响。未实测前不得声称支持某距离、全天候或安防级可靠性。</w:t>
      </w:r>
    </w:p>
    <w:p>
      <w:pPr>
        <w:pStyle w:val="Heading1"/>
        <w:keepNext/>
        <w:spacing w:after="120" w:before="300"/>
      </w:pPr>
      <w:bookmarkStart w:id="3046" w:name="_TechToc46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12. 血压计模块</w:t>
      </w:r>
      <w:bookmarkEnd w:id="3046"/>
    </w:p>
    <w:p>
      <w:pPr>
        <w:pStyle w:val="Heading2"/>
        <w:keepNext/>
        <w:spacing w:after="120" w:before="220"/>
      </w:pPr>
      <w:bookmarkStart w:id="3047" w:name="_TechToc47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12.1 首期路线</w:t>
      </w:r>
      <w:bookmarkEnd w:id="3047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 xml:space="preserve">使用一款有公开协议/合法接口的现成血压计或测量模块；ESP32 读取并转发或由 Pi 连接，需实测后决定。优先考察标准 BLE Blood Pressure Service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20"/>
          <w:szCs w:val="20"/>
        </w:rPr>
        <w:t>0x1810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，但不可假定候选产品实现标准或允许数据访问。</w:t>
      </w:r>
    </w:p>
    <w:p>
      <w:pPr>
        <w:keepNext w:val="false"/>
        <w:spacing w:after="115" w:before="0" w:line="300"/>
        <w:jc w:val="left"/>
      </w:pPr>
      <w:r>
        <w:t>首期只做单型号适配器，内部映射到稳定的项目记录 schema；保留型号、来源、单位、时间、有效性和错误原因。自动测量与手工录入都支持，并在 UI/存储中区分来源，避免重复记录。</w:t>
      </w:r>
    </w:p>
    <w:p>
      <w:pPr>
        <w:pStyle w:val="Heading2"/>
        <w:keepNext/>
        <w:spacing w:after="120" w:before="220"/>
      </w:pPr>
      <w:bookmarkStart w:id="3048" w:name="_TechToc48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12.2 BLE 与记录归属</w:t>
      </w:r>
      <w:bookmarkEnd w:id="3048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ESP 同时做模块业务 BLE 端点和血压计 BLE 主机时，要验证并行角色/多连接、内存、连接参数、扫描和断线重连。若不稳定，评估 Pi 直接连接设备或独立通信前端，不牺牲模块主链路。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当前用户在任务开始时绑定；数据只写当前用户本机库。模块默认只提交本次测量；用户可单独授权读取本人历史。管理员无数据读取权。设备、链路或读数异常标注无效/不完整，不能补造数据或给诊断。</w:t>
      </w:r>
    </w:p>
    <w:p>
      <w:pPr>
        <w:pStyle w:val="Heading2"/>
        <w:keepNext/>
        <w:spacing w:after="120" w:before="220"/>
      </w:pPr>
      <w:bookmarkStart w:id="3049" w:name="_TechToc49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12.3 验收</w:t>
      </w:r>
      <w:bookmarkEnd w:id="3049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确认设备型号与协议授权；记录单位和边界值验证；重复/乱序/重连；切换用户不会串档；锁屏期间结果仍归任务发起者；手动/自动数据来源清楚；弱网/无网不影响本地查看；不能把模块误当医疗校准标准。</w:t>
      </w:r>
    </w:p>
    <w:p>
      <w:pPr>
        <w:pStyle w:val="Heading1"/>
        <w:keepNext/>
        <w:spacing w:after="120" w:before="300"/>
      </w:pPr>
      <w:bookmarkStart w:id="3050" w:name="_TechToc50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13. 充电宝电量读取与 Raspberry Pi OS 双处显示</w:t>
      </w:r>
      <w:bookmarkEnd w:id="3050"/>
    </w:p>
    <w:p>
      <w:pPr>
        <w:keepNext/>
        <w:spacing w:before="100" w:after="4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/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071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07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Noto Sans CJK SC" w:hAnsi="Noto Sans CJK SC"/>
          <w:i/>
          <w:color w:val="617166"/>
          <w:sz w:val="17"/>
        </w:rPr>
        <w:t>图 6｜电池接口仍待核实；统一遥测服务支持终端和 Bookworm 桌面展示。</w:t>
      </w:r>
    </w:p>
    <w:p>
      <w:pPr>
        <w:keepNext/>
        <w:spacing w:before="100" w:after="60"/>
        <w:jc w:val="center"/>
      </w:pPr>
      <w:r/>
    </w:p>
    <w:p>
      <w:pPr>
        <w:keepNext/>
        <w:spacing w:after="65" w:before="100"/>
        <w:jc w:val="center"/>
      </w:pPr>
      <w:r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现有电量指示屏已经由用户硬件实现；此项目不重复设计屏幕。屏幕背后的电量计/充电管理是否提供桥板 MCU 遥测接口尚未确认。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候选接口全部保留，不提前定型：</w:t>
      </w:r>
    </w:p>
    <w:tbl>
      <w:tblPr>
        <w:tblW w:type="dxa" w:w="9906"/>
        <w:tblBorders>
          <w:top w:val="single" w:color="D5DCD2" w:sz="4"/>
          <w:left w:val="single" w:color="D5DCD2" w:sz="3"/>
          <w:bottom w:val="single" w:color="D5DCD2" w:sz="4"/>
          <w:right w:val="single" w:color="D5DCD2" w:sz="3"/>
          <w:insideH w:val="single" w:color="D5DCD2" w:sz="3"/>
          <w:insideV w:val="single" w:color="D5DCD2" w:sz="3"/>
        </w:tblBorders>
        <w:tblLayout w:type="fixed"/>
        <w:tblCellMar>
          <w:top w:type="dxa" w:w="70"/>
          <w:left w:type="dxa" w:w="90"/>
          <w:bottom w:type="dxa" w:w="70"/>
          <w:right w:type="dxa" w:w="90"/>
        </w:tblCellMar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方案</w:t>
            </w:r>
          </w:p>
        </w:tc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可能数据</w:t>
            </w:r>
          </w:p>
        </w:tc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适用性/限制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复用现有 SMBus/I²C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容量、百分比、电压、充电状态（视芯片）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优先查芯片手册/总线；寄存器/地址须确认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复用现有 UART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控制器定义的电量和状态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要有公开协议/固件访问，不猜私有命令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增加独立 I²C fuel gauge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电压及估算电量，依型号而异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引脚/地址/电平/校准/成本待测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ADC 电压采样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电压及粗略 SOC 估计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受负载/温度/电芯曲线影响，不报告精确容量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GPIO 状态输出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充电、PG、低电量等离散值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作为补充，不是百分比测量</w:t>
            </w:r>
          </w:p>
        </w:tc>
      </w:tr>
    </w:tbl>
    <w:p>
      <w:pPr>
        <w:spacing w:after="1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6"/>
          <w:szCs w:val="6"/>
        </w:rPr>
        <w:t xml:space="preserve"> </w:t>
      </w:r>
    </w:p>
    <w:p>
      <w:pPr>
        <w:pStyle w:val="Heading2"/>
        <w:keepNext/>
        <w:spacing w:after="120" w:before="220"/>
      </w:pPr>
      <w:bookmarkStart w:id="3051" w:name="_TechToc51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13.1 统一遥测</w:t>
      </w:r>
      <w:bookmarkEnd w:id="3051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桥板向 Pi 报告来源类型、有效标志、采样序号/时间、百分比（可空）、电压（可空）、充电状态/外部供电状态及故障。陈旧或断连置为未知，不展示最后值为实时值。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必须区分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0"/>
          <w:szCs w:val="20"/>
        </w:rPr>
        <w:t>桥板充电宝电池、Pi 主机电池、模块电池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 xml:space="preserve">。当前 ESP 示例的 MAX17043/盆栽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20"/>
          <w:szCs w:val="20"/>
        </w:rPr>
        <w:t>battery_pct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 xml:space="preserve"> 是模块示例数据，不得直接当作充电宝或 Pi 电量。</w:t>
      </w:r>
    </w:p>
    <w:p>
      <w:pPr>
        <w:pStyle w:val="Heading2"/>
        <w:keepNext/>
        <w:spacing w:after="120" w:before="220"/>
      </w:pPr>
      <w:bookmarkStart w:id="3052" w:name="_TechToc52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13.2 OS 与终端 UI</w:t>
      </w:r>
      <w:bookmarkEnd w:id="3052"/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Pi Terminal 状态栏/快捷面板显示详细状态、新鲜度和告警。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Raspberry Pi OS 顶栏/托盘用单一后台电量服务适配；具体桌面环境和 power supply/UPower 支持待确认。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若 OS 只能通过 UPower 等接口发布系统电池，评估合规集成；不能由普通 UI 直接写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/sys/class/power_supply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 伪造硬件。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两处消费同一状态源，避免重复读取/策略不一致。</w:t>
      </w:r>
    </w:p>
    <w:p>
      <w:pPr>
        <w:pStyle w:val="Heading2"/>
        <w:keepNext/>
        <w:spacing w:after="120" w:before="220"/>
      </w:pPr>
      <w:bookmarkStart w:id="3053" w:name="_TechToc53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13.3 低电量与关机策略</w:t>
      </w:r>
      <w:bookmarkEnd w:id="3053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用户要求支持：提醒、模块安全休眠，并在更低阈值让 Pi 安全关机；电量数据未知/失联只提示，不自动动作。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建议分级：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t>达到低电量阈值：提醒用户，并请求除啸天围栏外的其他模块安全休眠；围栏继续运行。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19"/>
          <w:szCs w:val="19"/>
        </w:rPr>
        <w:t>达到更低的临界阈值：提示围栏监测即将停止；完成数据库事务和必要收尾后，执行 Pi 安全关机。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围栏继续到临界阈值；关机前须确认检测端供电、告警状态及安全收尾结果。软件策略不能保证硬件突然断电时持续监测。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有效采样持续低于阈值才触发；外部供电恢复优先取消倒计时；未知/过期不触发自动关机。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软件关机无法替代硬件低压/过流/过温保护，也无法应对突然断电。阈值、持续时间、电源来源信号与可用续航须实测。</w:t>
      </w:r>
    </w:p>
    <w:p>
      <w:pPr>
        <w:pStyle w:val="Heading1"/>
        <w:keepNext/>
        <w:spacing w:after="120" w:before="300"/>
      </w:pPr>
      <w:bookmarkStart w:id="3054" w:name="_TechToc54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14. 适老化体验</w:t>
      </w:r>
      <w:bookmarkEnd w:id="3054"/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首期同时支持大字号、高对比、大触控区、简化流程和语音提示。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触控目标按目标屏幕缩放实测，不机械照搬桌面像素尺寸；现项目主要面向 1024×600，最终要在实际设备检查。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颜色之外用文字/图标/形状表达状态；键盘焦点、读屏、输入法和返回路径可见。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语音设置允许简洁/详细/静音。详细播报可由用户选择；锁屏仍采用隐私策略，敏感数值/姓名/位置不默认外放。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离线语音/本地状态提示优先；不录音、不上传语音。播报可调音量、重播、打断，并遵循现有媒体降音逻辑。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“家庭参考”界面避免诊断性红绿结论和治疗建议；异常值只提示复测/咨询合格专业人员，不作算法诊断。</w:t>
      </w:r>
    </w:p>
    <w:p>
      <w:pPr>
        <w:pStyle w:val="Heading1"/>
        <w:keepNext/>
        <w:spacing w:after="120" w:before="300"/>
      </w:pPr>
      <w:bookmarkStart w:id="3055" w:name="_TechToc55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15. OTA 与版本管理评估（不实施）</w:t>
      </w:r>
      <w:bookmarkEnd w:id="3055"/>
    </w:p>
    <w:p>
      <w:pPr>
        <w:pStyle w:val="Heading2"/>
        <w:keepNext/>
        <w:spacing w:after="120" w:before="220"/>
      </w:pPr>
      <w:bookmarkStart w:id="3056" w:name="_TechToc56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15.1 终端软件</w:t>
      </w:r>
      <w:bookmarkEnd w:id="3056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选项：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签名应用版本目录/原子切换，主程序与三个随版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terminal_*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 库整体匹配；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系统包管理器签名包；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A/B 系统镜像或只读系统恢复方案。</w:t>
      </w:r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要先知道 OS 安装形态、启动方式、存储空间、当前更新机制和现场维护能力。用户已决定只自动检查/提示，下载与安装需用户确认。任何方案还要处理 HTTPS、独立签名、版本防回滚、断电恢复、健康检查、数据库迁移和离线维修。</w:t>
      </w:r>
    </w:p>
    <w:p>
      <w:pPr>
        <w:pStyle w:val="Heading2"/>
        <w:keepNext/>
        <w:spacing w:after="120" w:before="220"/>
      </w:pPr>
      <w:bookmarkStart w:id="3057" w:name="_TechToc57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15.2 模块页面/插件</w:t>
      </w:r>
      <w:bookmarkEnd w:id="3057"/>
    </w:p>
    <w:p>
      <w:pPr>
        <w:pStyle w:val="Heading2"/>
        <w:spacing w:after="120"/>
      </w:pPr>
      <w:bookmarkStart w:id="3058" w:name="_TechToc58"/>
      <w:r>
        <w:rPr>
          <w:rFonts w:ascii="Noto Sans CJK SC" w:hAnsi="Noto Sans CJK SC"/>
          <w:b/>
          <w:i w:val="0"/>
          <w:color w:val="183329"/>
          <w:sz w:val="26"/>
        </w:rPr>
        <w:t>与“模块页面可实时增加或销毁”的方向一致，评估以独立签名模块包作为最小更新单元：先下载到暂存区、校验签名/版本/UI schema/权限差异，待用户确认后在安全边界内停止旧实例、释放旧页面和工作进程，再原子切换并启动新版本；失败时恢复上一个仍满足安全版本要求的包。禁止覆盖正在运行的库文件、半包启动、静默扩大权限或把页面热插拔等同于整个终端 OTA。此为方案，不代表当前已有安全 OTA。</w:t>
      </w:r>
      <w:bookmarkEnd w:id="3058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现有签名模块包机制可作为起点，但需加入 UI schema/权限差异预览、用户确认、包安全版本、分阶段启用和故障回滚。安装新模块包不是安装整个终端系统。</w:t>
      </w:r>
    </w:p>
    <w:p>
      <w:pPr>
        <w:pStyle w:val="Heading2"/>
        <w:keepNext/>
        <w:spacing w:after="120" w:before="220"/>
      </w:pPr>
      <w:bookmarkStart w:id="3059" w:name="_TechToc59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15.3 ESP 固件</w:t>
      </w:r>
      <w:bookmarkEnd w:id="3059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ESP模块无线OTA暂缓。当前正式partitions.csv仅factory app（0x10000，大小0x177000），无ota_0/ota_1或otadata；安全回滚OTA需重新评估分区/签名/自检和恢复。盆栽历史记录16MB Flash只对应其记录板，不代表每块目标设备容量；应逐板核实，不能笼统宣称已有双槽。</w:t>
      </w:r>
    </w:p>
    <w:p>
      <w:pPr>
        <w:pStyle w:val="Heading2"/>
        <w:keepNext/>
        <w:spacing w:after="120" w:before="220"/>
      </w:pPr>
      <w:bookmarkStart w:id="3060" w:name="_TechToc60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15.4 密钥与旧协议</w:t>
      </w:r>
      <w:bookmarkEnd w:id="3060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新协议只允许新安全版本，禁止静默降级；但 OTA/恢复应允许在安全版本约束内回滚到已签名且仍安全的版本。证书、包签名密钥轮换与撤销策略应在更新功能前确定。</w:t>
      </w:r>
    </w:p>
    <w:p>
      <w:pPr>
        <w:pStyle w:val="Heading1"/>
        <w:keepNext/>
        <w:spacing w:after="120" w:before="300"/>
      </w:pPr>
      <w:bookmarkStart w:id="3061" w:name="_TechToc61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16. 推荐阶段、交付和退出标准</w:t>
      </w:r>
      <w:bookmarkEnd w:id="3061"/>
    </w:p>
    <w:tbl>
      <w:tblPr>
        <w:tblW w:type="dxa" w:w="9906"/>
        <w:tblBorders>
          <w:top w:val="single" w:color="D5DCD2" w:sz="4"/>
          <w:left w:val="single" w:color="D5DCD2" w:sz="3"/>
          <w:bottom w:val="single" w:color="D5DCD2" w:sz="4"/>
          <w:right w:val="single" w:color="D5DCD2" w:sz="3"/>
          <w:insideH w:val="single" w:color="D5DCD2" w:sz="3"/>
          <w:insideV w:val="single" w:color="D5DCD2" w:sz="3"/>
        </w:tblBorders>
        <w:tblLayout w:type="fixed"/>
        <w:tblCellMar>
          <w:top w:type="dxa" w:w="70"/>
          <w:left w:type="dxa" w:w="90"/>
          <w:bottom w:type="dxa" w:w="70"/>
          <w:right w:type="dxa" w:w="90"/>
        </w:tblCellMar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阶段</w:t>
            </w:r>
          </w:p>
        </w:tc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工作</w:t>
            </w:r>
          </w:p>
        </w:tc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退出条件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P0 第1～3天：设计与预检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F范围/接口/权限；D身份/协议/SDK来源；Z Qt/SQLCipher/worker；L采购/双槽电气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D/Z/L签认；密码设计审查；来源/哈希与构建路线；B-07固件发布风险处置；FAIL有owner和修复日。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P0 第4～10天：最小安全闭环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RC522/PIN/任务归属、SQLCipher、worker/受控UI、PBR AEAD/ACK、LAN TLS、两模块真实数据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跨用户/锁屏任务/拒网/篡改/重放/明文拒绝通过；盆栽全字段和啸天两路分别实测。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P0 第11～14天：并发与最终验收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两模块分别运行后，同时至少30分钟；单槽故障、桥重启/重认证，F审核PR与完整旅程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T-16/Journey-001实机证据全部符合；安全硬门槛不可削减，任一失败则P0未通过。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P1 安全产品化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完整备份/恢复码/删除、生产身份/密钥、完整sandbox/代理、正式密码学卡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恢复/权限/凭据生命周期及加固拒绝测试独立通过，不冒称P0已具备恢复。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P1 硬件与场景深化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双槽长期可靠性、啸天方向/速度/户外、单型号血压计、整机电量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器件/环境/误报漏报/测速和电量接口均有实测，未测保持未知。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P2 长期交付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SDK完整发布自动化、进一步适老化、生产维修/版本治理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发布/来源校验和兼容性可重复；不能延后P0最小来源检查。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R OTA 研究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终端更新方式、恢复与数据库兼容方案比较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安全评审和恢复演练计划通过；不要求本期启用更新</w:t>
            </w:r>
          </w:p>
        </w:tc>
      </w:tr>
    </w:tbl>
    <w:p>
      <w:pPr>
        <w:spacing w:after="1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6"/>
          <w:szCs w:val="6"/>
        </w:rPr>
        <w:t xml:space="preserve"> </w:t>
      </w:r>
    </w:p>
    <w:p>
      <w:pPr>
        <w:pStyle w:val="Heading2"/>
        <w:keepNext/>
        <w:spacing w:after="120" w:before="220"/>
      </w:pPr>
      <w:bookmarkStart w:id="3062" w:name="_TechToc62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83329"/>
          <w:sz w:val="26"/>
          <w:szCs w:val="26"/>
        </w:rPr>
        <w:t>通用验收要求</w:t>
      </w:r>
      <w:bookmarkEnd w:id="3062"/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每个功能区分源码单测、主机模拟、目标 Pi 构建、Pi 实机、ESP 板实机和环境实测；不能用其中一种替代其他层级。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安全测试按阶段覆盖错误身份、重放、明文降级、证书失效、跨用户、撤权断网与损坏DB；恢复凭证丢失/备份泄露为P1完整恢复路径测试，不以P0未实现的恢复能力冒称通过。当前跟踪私有固件的B-07先于相关产物发布处置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双槽/无线测试覆盖乱序、断线、同时连接、模块移槽、桥板重启、弱信号和供电瞬降。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户外告警记录真实距离、光照、天气、机械偏移、遮挡物、误报/漏报，不用模拟结果声称野外稳定。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UI 在目标 Pi 触摸屏上检查大字、对比度、键盘、语音、焦点、锁屏隐私和弱网状态。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记录 firmware commit、插件包 SHA256、硬件板型、接线与测试环境；未测试标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NOT TESTED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。</w:t>
      </w:r>
    </w:p>
    <w:p>
      <w:pPr>
        <w:pStyle w:val="Heading1"/>
        <w:keepNext/>
        <w:spacing w:after="120" w:before="300"/>
      </w:pPr>
      <w:bookmarkStart w:id="3063" w:name="_TechToc63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17. 集中待确认事项</w:t>
      </w:r>
      <w:bookmarkEnd w:id="3063"/>
    </w:p>
    <w:p>
      <w:pPr>
        <w:keepNext w:val="false"/>
        <w:spacing w:after="115" w:before="0" w:line="300"/>
        <w:jc w:val="left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20"/>
          <w:szCs w:val="20"/>
        </w:rPr>
        <w:t>以下问题会改变技术路径。之前逐步讨论确认的产品边界已在上文记录，不再重复询问。</w:t>
      </w:r>
    </w:p>
    <w:tbl>
      <w:tblPr>
        <w:tblW w:type="dxa" w:w="9906"/>
        <w:tblBorders>
          <w:top w:val="single" w:color="D5DCD2" w:sz="4"/>
          <w:left w:val="single" w:color="D5DCD2" w:sz="3"/>
          <w:bottom w:val="single" w:color="D5DCD2" w:sz="4"/>
          <w:right w:val="single" w:color="D5DCD2" w:sz="3"/>
          <w:insideH w:val="single" w:color="D5DCD2" w:sz="3"/>
          <w:insideV w:val="single" w:color="D5DCD2" w:sz="3"/>
        </w:tblBorders>
        <w:tblLayout w:type="fixed"/>
        <w:tblCellMar>
          <w:top w:type="dxa" w:w="70"/>
          <w:left w:type="dxa" w:w="90"/>
          <w:bottom w:type="dxa" w:w="70"/>
          <w:right w:type="dxa" w:w="90"/>
        </w:tblCellMar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#</w:t>
            </w:r>
          </w:p>
        </w:tc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待确认问题</w:t>
            </w:r>
          </w:p>
        </w:tc>
        <w:tc>
          <w:tcPr>
            <w:tcW w:type="dxa" w:w="3302"/>
            <w:shd w:fill="25634B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当前建议/状态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1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用户指定Pi 3B、ARM64 Bookworm、Qt6.5.3、Wayland；本轮未核验运行态，历史为Qt6.4.2/labwc。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确认实际Qt/plugin/桌面面板和UPower；目标与历史版本分别记录。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2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啸天探头候选型号及可量化误报/漏报验收阈值？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误报优先少；人员/猫/小型犬，遮檐和暴露雨晒场景均需样本测试；不得预设零误报/漏报。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3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两仓SDK长期发布权威/制品方式尚未选定；P0最小来源/哈希与同步检查当前失败。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D/Z在T-02先做显式跨仓来源和校验，完整发布工具P2再定；不自动覆盖SDK。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4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两个 Pogo 端口的原理图/电气是否各有 DET 与通信，或共享总线/复用器？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未定；需查看原理图和 ESP32-S3 引脚/外设预算后选择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5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充电宝电量屏控制板芯片/接口（I²C、SMBus、UART、ADC、GPIO）是什么？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未确认；候选均保留，待查料号/原理图/测试点</w:t>
            </w:r>
          </w:p>
        </w:tc>
      </w:tr>
      <w:tr>
        <w:trPr>
          <w:tblHeader w:val="off"/>
        </w:trPr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6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产品验证阶段安全 NFC 卡/读卡器型号与逐卡密钥注入流程？</w:t>
            </w:r>
          </w:p>
        </w:tc>
        <w:tc>
          <w:tcPr>
            <w:tcW w:type="dxa" w:w="3302"/>
            <w:shd w:fill="FFFFFF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原型 RC522 UID + PIN；正式版须密码学双向认证卡，具体选型待定。</w:t>
            </w:r>
          </w:p>
        </w:tc>
      </w:tr>
      <w:tr>
        <w:trPr>
          <w:tblHeader w:val="off"/>
        </w:trPr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7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血压计首期候选型号和数据访问授权/协议文档？</w:t>
            </w:r>
          </w:p>
        </w:tc>
        <w:tc>
          <w:tcPr>
            <w:tcW w:type="dxa" w:w="3302"/>
            <w:shd w:fill="F6F8F5" w:val="clear"/>
            <w:tcMar>
              <w:top w:type="dxa" w:w="90"/>
              <w:left w:type="dxa" w:w="105"/>
              <w:bottom w:type="dxa" w:w="90"/>
              <w:right w:type="dxa" w:w="105"/>
            </w:tcMar>
            <w:vAlign w:val="center"/>
          </w:tcPr>
          <w:p>
            <w:r>
              <w:t>当前无候选；优先有公开 BLE Blood Pressure Service/正式协议和数据导出文档的设备，核实后再适配。</w:t>
            </w:r>
          </w:p>
        </w:tc>
      </w:tr>
    </w:tbl>
    <w:p>
      <w:pPr>
        <w:spacing w:after="10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6"/>
          <w:szCs w:val="6"/>
        </w:rPr>
        <w:t xml:space="preserve"> </w:t>
      </w:r>
    </w:p>
    <w:p>
      <w:pPr>
        <w:pStyle w:val="Heading1"/>
        <w:keepNext/>
        <w:spacing w:after="120" w:before="300"/>
      </w:pPr>
      <w:bookmarkStart w:id="3064" w:name="_TechToc64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18. 外部资料与说明</w:t>
      </w:r>
      <w:bookmarkEnd w:id="3064"/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SQLCipher Design：&lt;https://www.zetetic.net/sqlcipher/design/&gt;。数据库加密不能替代恢复策略、临时文件管理和 OS 权限控制。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ESP-IDF OTA 文档：&lt;https://docs.espressif.com/projects/esp-idf/en/stable/esp32s3/api-reference/system/ota.html&gt;。具体实现必须按该固件实际 ESP-IDF 版本（仓库说明为 5.5.4）复核，不能直接把当前 stable 文档 API 当成已兼容。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主项目源码参考：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pi_terminal/src/core/ConnectionManager.cpp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、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TransportPolicy.h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、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ModuleManager.cpp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、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PackageReceiver.cpp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、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pi_terminal/tools/package_tool.py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、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pi_terminal/src/transport/HotspotLanTransport.cpp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、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pi_terminal/src/ui/SystemTools.cpp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t>桥板/模块仓库源码参考：&lt;https://github.com/gggitj/ESP-Modular-Terminal-Service&gt;，main 16aebdd；特别是 esp/S3_PiBridge_LinkIt_Host/main/{main.c,rfid_service.c,rc522.c}、tests/、README，以及 module-devkit/examples/xiaotian/{DEVELOPMENT-NOTES.md,PROTOTYPE-PLAN.md}。旧 esp32-smart 仅作历史基线。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项目维护工作流：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skills/esp32-pogo-debugger/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 xml:space="preserve"> 与其 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references/source-map.md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、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  <w:t>references/firmware.md</w:t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。技能文档用于维护边界，不代替现行源码与实测。</w:t>
      </w:r>
    </w:p>
    <w:p>
      <w:pPr>
        <w:pStyle w:val="ListParagraph"/>
        <w:numPr>
          <w:ilvl w:val="0"/>
          <w:numId w:val="2"/>
        </w:numPr>
        <w:spacing w:after="70" w:line="285"/>
        <w:ind w:left="420" w:hanging="220"/>
      </w:pPr>
      <w:r>
        <w:t>输入交接：用户提供的外部 DEVELOPMENT-NOTES.md（啸天需求草案，2026-10-26）。该文件不作为 README 内容，也未被覆盖。</w:t>
      </w:r>
    </w:p>
    <w:p>
      <w:pPr>
        <w:pStyle w:val="Heading1"/>
        <w:keepNext/>
        <w:spacing w:after="120" w:before="300"/>
      </w:pPr>
      <w:bookmarkStart w:id="3065" w:name="_TechToc65"/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31"/>
          <w:szCs w:val="31"/>
        </w:rPr>
        <w:t>19. 当前结论</w:t>
      </w:r>
      <w:bookmarkEnd w:id="3065"/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本轮F授权确认通过的是已订正报告、分工、P0范围与安全边界；当前无Pi用户/PIN/SQLCipher/worker及新安全协议实现的验收证据，不应先让真实敏感数据进入现有QLibrary插件。</w:t>
      </w: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5634B"/>
          <w:sz w:val="19"/>
          <w:szCs w:val="19"/>
        </w:rPr>
      </w: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D/Z第1天开展安全/驱动/隔离预检，第2天前明确跨仓SDK来源/哈希和修复路线；L并行采购及双槽电气核验。不得把完整SDK发布工具后移P2当作跳过P0一致性核对的理由。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t>啸天最终目标仍为可调红外围界与门口方向/速度；本P0仅要求两路真实输入、安全页面和双模块并行。10×10m闭合区、测速/户外属后续；采购/接线状态需L回执，本轮不代签。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血压计首期只接一款有明确协议的设备，并将手动记录纳入同一用户边界。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电池接口候选保持开放；先查充电宝控制器资料，随后定义遥测与 OS 集成，不重复设计现有电量显示硬件。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83329"/>
          <w:sz w:val="19"/>
          <w:szCs w:val="19"/>
        </w:rPr>
        <w:t>OTA 只比较方案，不启用自动安装或模块无线刷写。</w:t>
      </w:r>
    </w:p>
    <w:p>
      <w:pPr>
        <w:pStyle w:val="ListParagraph"/>
        <w:numPr>
          <w:ilvl w:val="0"/>
          <w:numId w:val="3"/>
        </w:numPr>
        <w:spacing w:after="70" w:line="285"/>
        <w:ind w:left="420" w:hanging="220"/>
      </w:pPr>
      <w:r>
        <w:t>本报告v4.1是按源码/历史记录核对后的规划与F文档审定，不是实现或实机结论；D/Z/L技术确认、密码协议细节和B-01～B-07证据仍待完成，T-01/IT-001及T-17/P0均未通过。确认范围与未检查项见docs/devdocs/04-dev-tasks-f-review.md。</w:t>
      </w:r>
    </w:p>
    <w:p>
      <w:pPr>
        <w:pStyle w:val="Heading1"/>
      </w:pPr>
      <w:bookmarkStart w:id="3066" w:name="_TechToc66"/>
      <w:r>
        <w:t>附录 A｜初始需求覆盖审查</w:t>
      </w:r>
      <w:bookmarkEnd w:id="3066"/>
    </w:p>
    <w:p>
      <w:pPr>
        <w:spacing w:after="160"/>
      </w:pPr>
      <w:r>
        <w:t>本表逐项映射最初提出的规划主题，并注明对话中已作出的决策或当前边界。它用于检查报告覆盖范围，不代表相关功能已经实现。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2"/>
        <w:gridCol w:w="3302"/>
        <w:gridCol w:w="3302"/>
      </w:tblGrid>
      <w:tr>
        <w:tc>
          <w:tcPr>
            <w:tcW w:type="dxa" w:w="2232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25634B" w:val="clear"/>
            <w:vAlign w:val="center"/>
          </w:tcPr>
          <w:p>
            <w:r>
              <w:t>最初主题</w:t>
            </w:r>
          </w:p>
        </w:tc>
        <w:tc>
          <w:tcPr>
            <w:tcW w:type="dxa" w:w="5976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25634B" w:val="clear"/>
            <w:vAlign w:val="center"/>
          </w:tcPr>
          <w:p>
            <w:r>
              <w:t>已确认决策与边界</w:t>
            </w:r>
          </w:p>
        </w:tc>
        <w:tc>
          <w:tcPr>
            <w:tcW w:type="dxa" w:w="1800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25634B" w:val="clear"/>
            <w:vAlign w:val="center"/>
          </w:tcPr>
          <w:p>
            <w:r>
              <w:t>报告位置</w:t>
            </w:r>
          </w:p>
        </w:tc>
      </w:tr>
      <w:tr>
        <w:tc>
          <w:tcPr>
            <w:tcW w:type="dxa" w:w="2232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FFFFF" w:val="clear"/>
            <w:vAlign w:val="center"/>
          </w:tcPr>
          <w:p>
            <w:r>
              <w:t>数据安全、隐私、适老化、有限网络</w:t>
            </w:r>
          </w:p>
        </w:tc>
        <w:tc>
          <w:tcPr>
            <w:tcW w:type="dxa" w:w="5976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FFFFF" w:val="clear"/>
            <w:vAlign w:val="center"/>
          </w:tcPr>
          <w:p>
            <w:r>
              <w:t>本机健康数据；适老化；离线优先；联网总开关。已确认：模块不能同时读取健康历史并任意联网；管理员无健康数据权限。</w:t>
            </w:r>
          </w:p>
        </w:tc>
        <w:tc>
          <w:tcPr>
            <w:tcW w:type="dxa" w:w="1800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FFFFF" w:val="clear"/>
            <w:vAlign w:val="center"/>
          </w:tcPr>
          <w:p>
            <w:r>
              <w:t>第 3、9、14 节；第 5–8 节</w:t>
            </w:r>
          </w:p>
        </w:tc>
      </w:tr>
      <w:tr>
        <w:tc>
          <w:tcPr>
            <w:tcW w:type="dxa" w:w="2232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1F5F0" w:val="clear"/>
            <w:vAlign w:val="center"/>
          </w:tcPr>
          <w:p>
            <w:r>
              <w:t>安全围栏模块</w:t>
            </w:r>
          </w:p>
        </w:tc>
        <w:tc>
          <w:tcPr>
            <w:tcW w:type="dxa" w:w="5976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1F5F0" w:val="clear"/>
            <w:vAlign w:val="center"/>
          </w:tcPr>
          <w:p>
            <w:r>
              <w:t>啸天最终目标为开放场地直线/折线/闭合围界和门口测速；首轮两对探头/同一ESP，单线、双线、折线分模式；10×10 m 为后续参考。</w:t>
            </w:r>
          </w:p>
        </w:tc>
        <w:tc>
          <w:tcPr>
            <w:tcW w:type="dxa" w:w="1800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1F5F0" w:val="clear"/>
            <w:vAlign w:val="center"/>
          </w:tcPr>
          <w:p>
            <w:r>
              <w:t>第 11 节；最新交接 main 16aebdd</w:t>
            </w:r>
          </w:p>
        </w:tc>
      </w:tr>
      <w:tr>
        <w:tc>
          <w:tcPr>
            <w:tcW w:type="dxa" w:w="2232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FFFFF" w:val="clear"/>
            <w:vAlign w:val="center"/>
          </w:tcPr>
          <w:p>
            <w:r>
              <w:t>血压计模块</w:t>
            </w:r>
          </w:p>
        </w:tc>
        <w:tc>
          <w:tcPr>
            <w:tcW w:type="dxa" w:w="5976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FFFFF" w:val="clear"/>
            <w:vAlign w:val="center"/>
          </w:tcPr>
          <w:p>
            <w:r>
              <w:t>家庭参考、不用于诊疗；自动测量与手动录入；先接一款有协议文档的现成设备。</w:t>
            </w:r>
          </w:p>
        </w:tc>
        <w:tc>
          <w:tcPr>
            <w:tcW w:type="dxa" w:w="1800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FFFFF" w:val="clear"/>
            <w:vAlign w:val="center"/>
          </w:tcPr>
          <w:p>
            <w:r>
              <w:t>第 3、12 节；待确认表 #7</w:t>
            </w:r>
          </w:p>
        </w:tc>
      </w:tr>
      <w:tr>
        <w:tc>
          <w:tcPr>
            <w:tcW w:type="dxa" w:w="2232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1F5F0" w:val="clear"/>
            <w:vAlign w:val="center"/>
          </w:tcPr>
          <w:p>
            <w:r>
              <w:t>NFC/RFID 用户切换</w:t>
            </w:r>
          </w:p>
        </w:tc>
        <w:tc>
          <w:tcPr>
            <w:tcW w:type="dxa" w:w="5976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1F5F0" w:val="clear"/>
            <w:vAlign w:val="center"/>
          </w:tcPr>
          <w:p>
            <w:r>
              <w:t>RC522 物理读卡在桥板，Pi 是身份权威。普通 ISO14443A UID 原型 + 强制 PIN，可用真实本机数据；登录后显式绑卡，管理员可挂失；正式产品换密码学安全卡。UID 派生留存。</w:t>
            </w:r>
          </w:p>
        </w:tc>
        <w:tc>
          <w:tcPr>
            <w:tcW w:type="dxa" w:w="1800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1F5F0" w:val="clear"/>
            <w:vAlign w:val="center"/>
          </w:tcPr>
          <w:p>
            <w:r>
              <w:t>第 2.3、5、8、9 节</w:t>
            </w:r>
          </w:p>
        </w:tc>
      </w:tr>
      <w:tr>
        <w:tc>
          <w:tcPr>
            <w:tcW w:type="dxa" w:w="2232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FFFFF" w:val="clear"/>
            <w:vAlign w:val="center"/>
          </w:tcPr>
          <w:p>
            <w:r>
              <w:t>终端 QML 登录与多用户数据</w:t>
            </w:r>
          </w:p>
        </w:tc>
        <w:tc>
          <w:tcPr>
            <w:tcW w:type="dxa" w:w="5976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FFFFF" w:val="clear"/>
            <w:vAlign w:val="center"/>
          </w:tcPr>
          <w:p>
            <w:r>
              <w:t>QML 只负责交互；可信服务做认证/权限；每用户 SQLCipher；恢复凭证、导出、删除、USB 备份与管理员隔离。</w:t>
            </w:r>
          </w:p>
        </w:tc>
        <w:tc>
          <w:tcPr>
            <w:tcW w:type="dxa" w:w="1800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FFFFF" w:val="clear"/>
            <w:vAlign w:val="center"/>
          </w:tcPr>
          <w:p>
            <w:r>
              <w:t>第 5–7 节</w:t>
            </w:r>
          </w:p>
        </w:tc>
      </w:tr>
      <w:tr>
        <w:tc>
          <w:tcPr>
            <w:tcW w:type="dxa" w:w="2232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1F5F0" w:val="clear"/>
            <w:vAlign w:val="center"/>
          </w:tcPr>
          <w:p>
            <w:r>
              <w:t>HTTPS 与模块链路加密</w:t>
            </w:r>
          </w:p>
        </w:tc>
        <w:tc>
          <w:tcPr>
            <w:tcW w:type="dxa" w:w="5976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1F5F0" w:val="clear"/>
            <w:vAlign w:val="center"/>
          </w:tcPr>
          <w:p>
            <w:r>
              <w:t>外网 HTTPS；LAN/TCP 用 TLS；BLE 安全配对与应用认证；只允许新安全协议，失败关闭。</w:t>
            </w:r>
          </w:p>
        </w:tc>
        <w:tc>
          <w:tcPr>
            <w:tcW w:type="dxa" w:w="1800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1F5F0" w:val="clear"/>
            <w:vAlign w:val="center"/>
          </w:tcPr>
          <w:p>
            <w:r>
              <w:t>第 9 节</w:t>
            </w:r>
          </w:p>
        </w:tc>
      </w:tr>
      <w:tr>
        <w:tc>
          <w:tcPr>
            <w:tcW w:type="dxa" w:w="2232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FFFFF" w:val="clear"/>
            <w:vAlign w:val="center"/>
          </w:tcPr>
          <w:p>
            <w:r>
              <w:t>桥板握手与充电宝电量</w:t>
            </w:r>
          </w:p>
        </w:tc>
        <w:tc>
          <w:tcPr>
            <w:tcW w:type="dxa" w:w="5976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FFFFF" w:val="clear"/>
            <w:vAlign w:val="center"/>
          </w:tcPr>
          <w:p>
            <w:r>
              <w:t>桥板 RC522 UID 已有；Pi 未接收。当前 PBR CRC-only，目标逐板身份+AEAD+ACK。MAX17043 桥板只留脚，无读取驱动。</w:t>
            </w:r>
          </w:p>
        </w:tc>
        <w:tc>
          <w:tcPr>
            <w:tcW w:type="dxa" w:w="1800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FFFFF" w:val="clear"/>
            <w:vAlign w:val="center"/>
          </w:tcPr>
          <w:p>
            <w:r>
              <w:t>第 2.3、9、10、13 节</w:t>
            </w:r>
          </w:p>
        </w:tc>
      </w:tr>
      <w:tr>
        <w:tc>
          <w:tcPr>
            <w:tcW w:type="dxa" w:w="2232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1F5F0" w:val="clear"/>
            <w:vAlign w:val="center"/>
          </w:tcPr>
          <w:p>
            <w:r>
              <w:t>双 Pogo 触点与多模块</w:t>
            </w:r>
          </w:p>
        </w:tc>
        <w:tc>
          <w:tcPr>
            <w:tcW w:type="dxa" w:w="5976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1F5F0" w:val="clear"/>
            <w:vAlign w:val="center"/>
          </w:tcPr>
          <w:p>
            <w:r>
              <w:t>双槽同桥板为目标但拓扑未定；最新桥板实现仍单DET/单实例。需要桥板控制面与Pi路由改造并实机验证。</w:t>
            </w:r>
          </w:p>
        </w:tc>
        <w:tc>
          <w:tcPr>
            <w:tcW w:type="dxa" w:w="1800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1F5F0" w:val="clear"/>
            <w:vAlign w:val="center"/>
          </w:tcPr>
          <w:p>
            <w:r>
              <w:t>第 10、16 节；拓扑未定</w:t>
            </w:r>
          </w:p>
        </w:tc>
      </w:tr>
      <w:tr>
        <w:tc>
          <w:tcPr>
            <w:tcW w:type="dxa" w:w="2232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FFFFF" w:val="clear"/>
            <w:vAlign w:val="center"/>
          </w:tcPr>
          <w:p>
            <w:r>
              <w:t>OTA 与动态模块页面</w:t>
            </w:r>
          </w:p>
        </w:tc>
        <w:tc>
          <w:tcPr>
            <w:tcW w:type="dxa" w:w="5976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FFFFF" w:val="clear"/>
            <w:vAlign w:val="center"/>
          </w:tcPr>
          <w:p>
            <w:r>
              <w:t>本期只评估终端 OTA，自动检查提示、用户确认下载安装；模块固件 OTA 暂缓；评估独立签名模块包页面/实例增删与安全替换生命周期。</w:t>
            </w:r>
          </w:p>
        </w:tc>
        <w:tc>
          <w:tcPr>
            <w:tcW w:type="dxa" w:w="1800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FFFFF" w:val="clear"/>
            <w:vAlign w:val="center"/>
          </w:tcPr>
          <w:p>
            <w:r>
              <w:t>第 15 节；明确不代表现有 OTA 已实现</w:t>
            </w:r>
          </w:p>
        </w:tc>
      </w:tr>
      <w:tr>
        <w:tc>
          <w:tcPr>
            <w:tcW w:type="dxa" w:w="2232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1F5F0" w:val="clear"/>
            <w:vAlign w:val="center"/>
          </w:tcPr>
          <w:p>
            <w:r>
              <w:t>数据库、沙箱、权限与联网控制</w:t>
            </w:r>
          </w:p>
        </w:tc>
        <w:tc>
          <w:tcPr>
            <w:tcW w:type="dxa" w:w="5976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1F5F0" w:val="clear"/>
            <w:vAlign w:val="center"/>
          </w:tcPr>
          <w:p>
            <w:r>
              <w:t>插件迁出宿主进程、受控 UI schema、主机代理执行能力；撤权即时断网；同一模块禁止健康历史读取与任意外网权限并存。</w:t>
            </w:r>
          </w:p>
        </w:tc>
        <w:tc>
          <w:tcPr>
            <w:tcW w:type="dxa" w:w="1800"/>
            <w:tcBorders>
              <w:top w:val="single" w:sz="4" w:color="D5DCD2"/>
              <w:left w:val="single" w:sz="4" w:color="D5DCD2"/>
              <w:bottom w:val="single" w:sz="4" w:color="D5DCD2"/>
              <w:right w:val="single" w:sz="4" w:color="D5DCD2"/>
              <w:insideH w:val="single" w:sz="4" w:color="D5DCD2"/>
              <w:insideV w:val="single" w:sz="4" w:color="D5DCD2"/>
            </w:tcBorders>
            <w:shd w:fill="F1F5F0" w:val="clear"/>
            <w:vAlign w:val="center"/>
          </w:tcPr>
          <w:p>
            <w:r>
              <w:t>第 6、8、9、15 节</w:t>
            </w:r>
          </w:p>
        </w:tc>
      </w:tr>
      <w:tr>
        <w:tc>
          <w:tcPr>
            <w:tcW w:type="dxa" w:w="3302"/>
          </w:tcPr>
          <w:p>
            <w:r>
              <w:t>用户/任务恢复</w:t>
            </w:r>
          </w:p>
        </w:tc>
        <w:tc>
          <w:tcPr>
            <w:tcW w:type="dxa" w:w="3302"/>
          </w:tcPr>
          <w:p>
            <w:r>
              <w:t>用户各自授权，同一模块可多用户配对但一次仅服务当前用户；测量完成后切换、围栏需明确停止；重启先解锁并重新认证恢复原用户任务；每用户独立离线恢复码。</w:t>
            </w:r>
          </w:p>
        </w:tc>
        <w:tc>
          <w:tcPr>
            <w:tcW w:type="dxa" w:w="3302"/>
          </w:tcPr>
          <w:p>
            <w:r>
              <w:t>第 5–7 节；用户已确认</w:t>
            </w:r>
          </w:p>
        </w:tc>
      </w:tr>
    </w:tbl>
    <w:p>
      <w:pPr/>
      <w:r>
        <w:t>覆盖复核：初始主题与后续P0扩展已映射，旧分期/SDK一致性/锁屏偏差已订正。当前RC522/PBR仅有上游历史实测记录；本轮通过的是主机CRC/RC522子集与盆栽历史ABI逻辑，不是AEAD、Qt6.5.3目标驱动、双槽或实机验收。私有固件及嵌入产物已被Git跟踪，B-07未关闭，不得以gitignore或未见PEM作安全背书。</w:t>
      </w:r>
    </w:p>
    <w:p>
      <w:pPr>
        <w:pStyle w:val="Heading1"/>
      </w:pPr>
      <w:r>
        <w:t>附录 B｜F 授权审定与执行门禁</w:t>
      </w:r>
    </w:p>
    <w:p>
      <w:r>
        <w:t>用户于2026-10-26明确授权“修改我的审核稿，然后替我确认”。代理代表Mr.F确认本轮事实订正、四人职责、14天P0范围、权限/任务归属/密钥边界与分阶段冻结规则；允许按既定边界开展可行性预检和实现设计。此为文档审定，不是未提交密码方案的提前安全认可。</w:t>
      </w:r>
    </w:p>
    <w:p>
      <w:r>
        <w:t>D/Z/L技术签认、B-01～B-07证据和发布风险处置尚未完成；T-01/IT-001及T-17/P0未通过。F不会代签采购到货、真实设备状态、电气测试或未执行结果。最高优先级先处理已跟踪私有固件，再收口SDK来源和安全协议/驱动/隔离可行性。</w:t>
      </w:r>
    </w:p>
    <w:p>
      <w:r>
        <w:t>未检查：第三方逐行审计、完整应用编译/全套GUI媒体、真实凭据有效性、在线Pi/ESP、双槽电气/探头实物及DOCX最终分页渲染。无部署、烧录、凭据轮换或Git历史清理。详见docs/devdocs/04-dev-tasks-f-review.md；工作分支docs/f-day1-interface-freeze，记录尚未提交。</w:t>
      </w:r>
    </w:p>
    <w:p>
      <w:r>
        <w:t>互动澄清确认（2026-10-26）：用户逐项选择并最终确认7项决策：离槽继续有效无线任务；桥板失联继续已有任务；授权只读产物核查；关键预检失败保P0范围并重新排期；任务按设备/原用户而非占槽绑定；允许本机PIN解锁；控制恢复核对绑定且保留有效业务。第3天关键预检或第7天闭环失败时由F记录负责人/新截止日，第14天可作标注的阶段演示但P0未通过。本文与F审核稿据此修订，不代表实现或实机验收。</w:t>
      </w:r>
    </w:p>
    <w:sectPr>
      <w:headerReference w:type="default" r:id="rId6"/>
      <w:footerReference w:type="default" r:id="rId7"/>
      <w:footerReference w:type="first" r:id="rId16"/>
      <w:footerReference w:type="even" r:id="rId17"/>
      <w:pgSz w:w="11906" w:h="16838" w:orient="portrait"/>
      <w:pgMar w:top="1050" w:right="1000" w:bottom="1000" w:left="1000" w:header="48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D2" w:sz="4" w:space="5"/>
      </w:pBdr>
      <w:spacing w:before="70"/>
      <w:jc w:val="center"/>
    </w:pPr>
    <w:r>
      <w:rPr>
        <w:rFonts w:ascii="Noto Sans CJK SC" w:cs="Noto Sans CJK SC" w:eastAsia="Noto Sans CJK SC" w:hAnsi="Noto Sans CJK SC"/>
        <w:b w:val="false"/>
        <w:bCs w:val="false"/>
        <w:i w:val="false"/>
        <w:iCs w:val="false"/>
        <w:color w:val="617166"/>
        <w:sz w:val="14"/>
        <w:szCs w:val="14"/>
      </w:rPr>
      <w:t xml:space="preserve">讨论稿 v4.0  ·  2026-10-26  ·  第 </w:t>
    </w:r>
    <w:r/>
    <w:r/>
    <w:r/>
    <w:r/>
    <w:r>
      <w:rPr>
        <w:rFonts w:ascii="Noto Sans CJK SC" w:cs="Noto Sans CJK SC" w:eastAsia="Noto Sans CJK SC" w:hAnsi="Noto Sans CJK SC"/>
        <w:b w:val="false"/>
        <w:bCs w:val="false"/>
        <w:i w:val="false"/>
        <w:iCs w:val="false"/>
        <w:color w:val="617166"/>
        <w:sz w:val="14"/>
        <w:szCs w:val="14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D2" w:sz="4" w:space="5"/>
      </w:pBdr>
      <w:tabs>
        <w:tab w:val="right" w:pos="9026"/>
      </w:tabs>
      <w:spacing w:after="80"/>
    </w:pPr>
    <w:r>
      <w:rPr>
        <w:rFonts w:ascii="Noto Sans CJK SC" w:cs="Noto Sans CJK SC" w:eastAsia="Noto Sans CJK SC" w:hAnsi="Noto Sans CJK SC"/>
        <w:b w:val="false"/>
        <w:bCs w:val="false"/>
        <w:i w:val="false"/>
        <w:iCs w:val="false"/>
        <w:color w:val="617166"/>
        <w:sz w:val="15"/>
        <w:szCs w:val="15"/>
      </w:rPr>
      <w:t xml:space="preserve">技术建议报告书</w:t>
    </w:r>
    <w:r>
      <w:rPr>
        <w:rFonts w:ascii="Noto Sans CJK SC" w:cs="Noto Sans CJK SC" w:eastAsia="Noto Sans CJK SC" w:hAnsi="Noto Sans CJK SC"/>
        <w:color w:val="617166"/>
        <w:sz w:val="15"/>
        <w:szCs w:val="15"/>
      </w:rPr>
      <w:t xml:space="preserve">	安全与隐私 · 模块规划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20"/>
      </w:pPr>
    </w:lvl>
    <w:lvl w:ilvl="1" w:tentative="1">
      <w:start w:val="1"/>
      <w:numFmt w:val="lowerLetter"/>
      <w:lvlText w:val="%2)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  <w:rPr>
        <w:rFonts w:ascii="Symbol" w:cs="Symbol" w:eastAsia="Symbol" w:hAnsi="Symbol"/>
      </w:rPr>
    </w:lvl>
    <w:lvl w:ilvl="1" w:tentative="1">
      <w:start w:val="1"/>
      <w:numFmt w:val="bullet"/>
      <w:lvlText w:val="–"/>
      <w:lvlJc w:val="left"/>
      <w:pPr>
        <w:ind w:left="720" w:hanging="220"/>
      </w:pPr>
      <w:rPr>
        <w:rFonts w:ascii="Noto Sans CJK SC" w:cs="Noto Sans CJK SC" w:eastAsia="Noto Sans CJK SC" w:hAnsi="Noto Sans CJK S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color w:val="183329"/>
        <w:sz w:val="20"/>
        <w:szCs w:val="20"/>
      </w:rPr>
    </w:rPrDefault>
    <w:pPrDefault>
      <w:pPr>
        <w:spacing w:after="10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Noto Sans CJK SC" w:cs="Noto Sans CJK SC" w:eastAsia="Noto Sans CJK SC" w:hAnsi="Noto Sans CJK SC"/>
      <w:b/>
      <w:bCs/>
      <w:color w:val="25634B"/>
      <w:sz w:val="31"/>
      <w:szCs w:val="31"/>
    </w:rPr>
  </w:style>
  <w:style w:type="paragraph" w:styleId="Heading2">
    <w:name w:val="Heading 2"/>
    <w:basedOn w:val="Normal"/>
    <w:next w:val="Normal"/>
    <w:qFormat/>
    <w:pPr>
      <w:keepNext/>
      <w:spacing w:after="110" w:before="220"/>
      <w:outlineLvl w:val="1"/>
    </w:pPr>
    <w:rPr>
      <w:rFonts w:ascii="Noto Sans CJK SC" w:cs="Noto Sans CJK SC" w:eastAsia="Noto Sans CJK SC" w:hAnsi="Noto Sans CJK SC"/>
      <w:b/>
      <w:bCs/>
      <w:color w:val="18332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90" w:before="170"/>
      <w:outlineLvl w:val="2"/>
    </w:pPr>
    <w:rPr>
      <w:rFonts w:ascii="Noto Sans CJK SC" w:cs="Noto Sans CJK SC" w:eastAsia="Noto Sans CJK SC" w:hAnsi="Noto Sans CJK SC"/>
      <w:b/>
      <w:bCs/>
      <w:color w:val="586977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002afb1dbe72a9e85cd5c8552a88af10bebfccc.png"/><Relationship Id="rId10" Type="http://schemas.openxmlformats.org/officeDocument/2006/relationships/image" Target="media/25ba9a5a23cdcddcf65abbf4066a4a3ea2d107ea.png"/><Relationship Id="rId11" Type="http://schemas.openxmlformats.org/officeDocument/2006/relationships/image" Target="media/201388e737e2f8e1b2701d780849ac913b8fd854.png"/><Relationship Id="rId12" Type="http://schemas.openxmlformats.org/officeDocument/2006/relationships/image" Target="media/9d172b82a9ac14e8b81e77e4c7aa0c90cb1aac2f.png"/><Relationship Id="rId13" Type="http://schemas.openxmlformats.org/officeDocument/2006/relationships/image" Target="media/d7f06d253ba54afe232e5e451421a854daace900.png"/><Relationship Id="rId14" Type="http://schemas.openxmlformats.org/officeDocument/2006/relationships/image" Target="media/b685ff7cf1ad885b2f3f376ecba1a080c0c4e5fd.png"/><Relationship Id="rId15" Type="http://schemas.openxmlformats.org/officeDocument/2006/relationships/fontTable" Target="fontTable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技术建议报告书 v4.0——安全与隐私、适老化、有限网络及模块扩展</dc:title>
  <dc:subject>基于 Pi 主项目、ESP-Modular-Terminal-Service 最新源码与用户决策的独立技术规划</dc:subject>
  <dc:creator>Pi Terminal 技术规划</dc:creator>
  <cp:keywords>安全, 隐私, 适老化, ESP32, 双槽, 哮天犬, 血压计, OTA</cp:keywords>
  <dc:description>F-authorized documentation review; not hardware or security acceptance.</dc:description>
  <cp:lastModifiedBy>Un-named</cp:lastModifiedBy>
  <cp:revision>1</cp:revision>
  <dcterms:created xsi:type="dcterms:W3CDTF">2026-10-24T19:41:51.022Z</dcterms:created>
  <dcterms:modified xsi:type="dcterms:W3CDTF">2026-10-24T19:41:51.022Z</dcterms:modified>
  <cp:version>4.1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