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 w:cs="SimSun"/>
          <w:b/>
          <w:i w:val="0"/>
          <w:color w:val="654321"/>
          <w:sz w:val="48"/>
        </w:rPr>
        <w:t>《吴玉章在高师》票根文创</w:t>
      </w:r>
    </w:p>
    <w:p>
      <w:pPr>
        <w:jc w:val="center"/>
      </w:pPr>
      <w:r>
        <w:rPr>
          <w:rFonts w:ascii="SimSun" w:hAnsi="SimSun" w:eastAsia="SimSun" w:cs="SimSun"/>
          <w:b/>
          <w:i w:val="0"/>
          <w:color w:val="8B4513"/>
          <w:sz w:val="36"/>
        </w:rPr>
        <w:t>执行任务表</w:t>
      </w:r>
    </w:p>
    <w:p>
      <w:pPr>
        <w:jc w:val="center"/>
      </w:pPr>
      <w:r>
        <w:rPr>
          <w:rFonts w:ascii="SimSun" w:hAnsi="SimSun" w:eastAsia="SimSun" w:cs="SimSun"/>
          <w:b w:val="0"/>
          <w:i w:val="0"/>
          <w:color w:val="808080"/>
          <w:sz w:val="18"/>
        </w:rPr>
        <w:t>创建日期：2026年8月22日  |  总工期预估：6-10 周  |  状态标记：[ ] 待办  [~] 进行中  [x] 完成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第一阶段：内容准备（第1周）</w:t>
      </w:r>
    </w:p>
    <w:p>
      <w:r>
        <w:rPr>
          <w:rFonts w:ascii="SimSun" w:hAnsi="SimSun" w:eastAsia="SimSun" w:cs="SimSun"/>
          <w:b w:val="0"/>
          <w:i/>
          <w:sz w:val="20"/>
        </w:rPr>
        <w:t>目标：确定所有文字内容素材，为设计阶段提供完整文案。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 Slogan / 宣传语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根据话剧主题创作 5-10 组候选宣传语，团队投票选定最终版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剧本、吴玉章史料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精选经典台词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从剧本中筛选 3-5 句最具代表性的台词，用于票根背面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文案组/导演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完整剧本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整理吴玉章名言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收集吴玉章先生经典语录，选取 1-2 句适合票根的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吴玉章文集/史料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撰写剧情梗概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撰写 2-3 行票根背面简介（100字以内）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剧本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确定演出信息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确认首演时间、地点、场次等具体信息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演出排期表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整理制作团队名单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汇总出品方、监制、导演、设计等人员信息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团队花名册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1.7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确定收藏编号规则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决定编号方式（按场次/日期/流水号），确定首批总量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第二阶段：视觉设计（第2-3周）</w:t>
      </w:r>
    </w:p>
    <w:p>
      <w:r>
        <w:rPr>
          <w:rFonts w:ascii="SimSun" w:hAnsi="SimSun" w:eastAsia="SimSun" w:cs="SimSun"/>
          <w:b w:val="0"/>
          <w:i/>
          <w:sz w:val="20"/>
        </w:rPr>
        <w:t>目标：完成票根正反面设计定稿，确定主视觉风格。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收集参考素材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收集民国老票据、复古印刷品等视觉参考，建立情绪板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第2周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设计主视觉元素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创作票根主视觉：Logo/吴玉章剪影/高师建筑元素（至少2版）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第2周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第一阶段文案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票根正面设计稿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完成正面排版设计（剧名、主视觉、演出信息、二维码区域）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第2-3周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2.1, 2.2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票根背面设计稿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完成背面排版设计（编号、台词、名言、梗概、团队信息）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第2-3周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第一阶段文案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出 2-3 版方案对比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制作 2-3 套不同风格方案供团队评审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2.3, 2.4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2.6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团队评审定稿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团队内部投票/讨论，确定最终设计方案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全组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2.7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设计稿终稿输出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输出印刷用高清文件（CMYK、300dpi、含出血位）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2.6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生成二维码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生成指向网站的二维码，嵌入票根设计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网站域名确定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第三阶段：配套网站搭建（第3-5周）</w:t>
      </w:r>
    </w:p>
    <w:p>
      <w:r>
        <w:rPr>
          <w:rFonts w:ascii="SimSun" w:hAnsi="SimSun" w:eastAsia="SimSun" w:cs="SimSun"/>
          <w:b w:val="0"/>
          <w:i/>
          <w:sz w:val="20"/>
        </w:rPr>
        <w:t>目标：搭建票根扫码落地网站，首期内容上线。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确定技术方案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选择建站方式（静态站/WordPress/Notion站点等），确定域名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注册域名与部署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购买域名、配置服务器/托管平台（GitHub Pages/Vercel等）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 UI 设计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设计与票根风格统一的网站视觉（复古做旧风）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2.6 定稿风格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制作介绍视频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剪辑话剧宣传片/预告片（2-5分钟）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视频组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排练素材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编写角色档案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整理各角色的介绍、饰演者、历史原型信息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剧本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3.6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整理幕后花絮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收集排练照片、幕后故事、主创访谈素材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宣传组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排练期间素材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3.7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网站开发搭建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实现网站页面（首页+视频+角色+花絮模块）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第4-5周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3.2, 3.3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内容填充上线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将视频、角色档案、花絮等内容上传至网站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技术组/文案组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第5周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3.7, 3.4-3.6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3.9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移动端测试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测试手机扫码访问体验，确保响应式布局正常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全组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第5周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3.8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3.10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网站正式上线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确认无误后正式上线，二维码可正常访问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第5周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3.9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第四阶段：打样确认（第6周）</w:t>
      </w:r>
    </w:p>
    <w:p>
      <w:r>
        <w:rPr>
          <w:rFonts w:ascii="SimSun" w:hAnsi="SimSun" w:eastAsia="SimSun" w:cs="SimSun"/>
          <w:b w:val="0"/>
          <w:i/>
          <w:sz w:val="20"/>
        </w:rPr>
        <w:t>目标：确认印刷品质，确保材质、色彩、工艺符合预期。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选择印刷供应商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对比 2-3 家印刷平台（世纪开元/虎彩/本地印刷厂），确认报价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提交打样文件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将终稿设计文件提交印刷方，确认格式要求（CMYK/出血位等）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收到打样并评审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检查打样实物：色彩偏差、材质手感、撕裂线效果、二维码清晰度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全组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4.2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色彩校对与修正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如打样有色差，调整设计文件后重新打样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确认最终样品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签字确认最终样品，作为批量印刷标准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4.4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第五阶段：批量印刷（第7-8周）</w:t>
      </w:r>
    </w:p>
    <w:p>
      <w:r>
        <w:rPr>
          <w:rFonts w:ascii="SimSun" w:hAnsi="SimSun" w:eastAsia="SimSun" w:cs="SimSun"/>
          <w:b w:val="0"/>
          <w:i/>
          <w:sz w:val="20"/>
        </w:rPr>
        <w:t>目标：完成批量印刷，质检入库。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确定印刷数量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根据演出场次、发放计划确定最终印刷数量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第7周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下单批量印刷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向确认的供应商下单，交付终稿文件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第7周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4.5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跟进印刷进度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与印刷方保持沟通，确认交期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第7-8周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5.2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收货质检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收到成品后抽检：色彩、裁切、覆膜质量、二维码可扫率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第8周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入库管理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按编号整理入库，记录库存数量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第8周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5.4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第六阶段：发放使用（演出日）</w:t>
      </w:r>
    </w:p>
    <w:p>
      <w:r>
        <w:rPr>
          <w:rFonts w:ascii="SimSun" w:hAnsi="SimSun" w:eastAsia="SimSun" w:cs="SimSun"/>
          <w:b w:val="0"/>
          <w:i/>
          <w:sz w:val="20"/>
        </w:rPr>
        <w:t>目标：在演出现场有序发放/售卖纪念票根。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68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56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任务名称</w:t>
            </w:r>
          </w:p>
        </w:tc>
        <w:tc>
          <w:tcPr>
            <w:tcW w:type="dxa" w:w="3118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具体说明</w:t>
            </w:r>
          </w:p>
        </w:tc>
        <w:tc>
          <w:tcPr>
            <w:tcW w:type="dxa" w:w="102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截止时间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前置依赖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6.1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制定发放方案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确定发放方式（购票赠送/单独售卖/限量编号发放）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演出前1周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6.2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准备发放物料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准备发放用的收纳盒/信封、说明卡片等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演出前1周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6.3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安排现场人员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安排票根发放/售卖的现场工作人员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演出前3天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6.1</w:t>
            </w:r>
          </w:p>
        </w:tc>
      </w:tr>
      <w:tr>
        <w:tc>
          <w:tcPr>
            <w:tcW w:type="dxa" w:w="68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6.4</w:t>
            </w:r>
          </w:p>
        </w:tc>
        <w:tc>
          <w:tcPr>
            <w:tcW w:type="dxa" w:w="56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现场发放/售卖</w:t>
            </w:r>
          </w:p>
        </w:tc>
        <w:tc>
          <w:tcPr>
            <w:tcW w:type="dxa" w:w="3118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演出当天在签到处/出口处发放或售卖</w:t>
            </w:r>
          </w:p>
        </w:tc>
        <w:tc>
          <w:tcPr>
            <w:tcW w:type="dxa" w:w="102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现场组</w:t>
            </w:r>
          </w:p>
        </w:tc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演出日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5.5, 6.3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6.5</w:t>
            </w:r>
          </w:p>
        </w:tc>
        <w:tc>
          <w:tcPr>
            <w:tcW w:type="dxa" w:w="56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收集观众反馈</w:t>
            </w:r>
          </w:p>
        </w:tc>
        <w:tc>
          <w:tcPr>
            <w:tcW w:type="dxa" w:w="3118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记录观众对票根的评价和建议，为后续文创参考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宣传组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演出日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6.4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附一：建议人员分工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5102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职责范围</w:t>
            </w:r>
          </w:p>
        </w:tc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建议人数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文案组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Slogan创作、台词精选、名言整理、剧情梗概、角色档案文案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2-3人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设计组</w:t>
            </w:r>
          </w:p>
        </w:tc>
        <w:tc>
          <w:tcPr>
            <w:tcW w:type="dxa" w:w="5102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主视觉设计、票根正反面排版、网站UI、印刷文件输出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技术组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网站搭建、域名配置、二维码生成、移动端测试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1-2人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视频组</w:t>
            </w:r>
          </w:p>
        </w:tc>
        <w:tc>
          <w:tcPr>
            <w:tcW w:type="dxa" w:w="5102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宣传片拍摄/剪辑、幕后花絮视频制作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宣传组</w:t>
            </w:r>
          </w:p>
        </w:tc>
        <w:tc>
          <w:tcPr>
            <w:tcW w:type="dxa" w:w="51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幕后素材收集、观众反馈收集、社交媒体宣传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1-2人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制片组</w:t>
            </w:r>
          </w:p>
        </w:tc>
        <w:tc>
          <w:tcPr>
            <w:tcW w:type="dxa" w:w="5102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排期管理、供应商对接、印刷跟进、现场发放</w:t>
            </w:r>
          </w:p>
        </w:tc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1-2人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附二：关键里程碑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节点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里程碑</w:t>
            </w:r>
          </w:p>
        </w:tc>
        <w:tc>
          <w:tcPr>
            <w:tcW w:type="dxa" w:w="3969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达成标准</w:t>
            </w:r>
          </w:p>
        </w:tc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目标时间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M1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文案定稿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所有文字内容（slogan、台词、名言、梗概）确认完毕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第1周末</w:t>
            </w:r>
          </w:p>
        </w:tc>
      </w:tr>
      <w:tr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M2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设计定稿</w:t>
            </w:r>
          </w:p>
        </w:tc>
        <w:tc>
          <w:tcPr>
            <w:tcW w:type="dxa" w:w="3969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票根正反面设计终稿通过评审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第3周末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M3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网站上线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配套网站正式上线，二维码可访问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第5周末</w:t>
            </w:r>
          </w:p>
        </w:tc>
      </w:tr>
      <w:tr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M4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打样通过</w:t>
            </w:r>
          </w:p>
        </w:tc>
        <w:tc>
          <w:tcPr>
            <w:tcW w:type="dxa" w:w="3969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印刷打样确认，色彩材质达标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第6周末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M5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成品入库</w:t>
            </w:r>
          </w:p>
        </w:tc>
        <w:tc>
          <w:tcPr>
            <w:tcW w:type="dxa" w:w="3969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批量印刷完成，质检入库</w:t>
            </w:r>
          </w:p>
        </w:tc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第8周末</w:t>
            </w:r>
          </w:p>
        </w:tc>
      </w:tr>
      <w:tr>
        <w:tc>
          <w:tcPr>
            <w:tcW w:type="dxa" w:w="850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M6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正式发放</w:t>
            </w:r>
          </w:p>
        </w:tc>
        <w:tc>
          <w:tcPr>
            <w:tcW w:type="dxa" w:w="3969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演出现场发放/售卖</w:t>
            </w:r>
          </w:p>
        </w:tc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演出日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附三：风险与注意事项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风险项</w:t>
            </w:r>
          </w:p>
        </w:tc>
        <w:tc>
          <w:tcPr>
            <w:tcW w:type="dxa" w:w="3402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3685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印刷色差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牛皮纸吸墨性强，实际色彩可能与屏幕显示有偏差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务必打样确认，预留修正时间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二维码失效</w:t>
            </w:r>
          </w:p>
        </w:tc>
        <w:tc>
          <w:tcPr>
            <w:tcW w:type="dxa" w:w="3402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网站域名过期或服务器故障导致二维码无法访问</w:t>
            </w:r>
          </w:p>
        </w:tc>
        <w:tc>
          <w:tcPr>
            <w:tcW w:type="dxa" w:w="368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选择可靠托管平台，设置域名自动续费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工期延误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设计反复修改或印刷排期紧张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每个阶段预留 2-3 天缓冲期</w:t>
            </w:r>
          </w:p>
        </w:tc>
      </w:tr>
      <w:tr>
        <w:tc>
          <w:tcPr>
            <w:tcW w:type="dxa" w:w="1417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版权风险</w:t>
            </w:r>
          </w:p>
        </w:tc>
        <w:tc>
          <w:tcPr>
            <w:tcW w:type="dxa" w:w="3402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使用的字体、图片需确认授权</w:t>
            </w:r>
          </w:p>
        </w:tc>
        <w:tc>
          <w:tcPr>
            <w:tcW w:type="dxa" w:w="368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优先使用免费商用字体和原创素材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预算超支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特殊工艺或加急印刷会增加成本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提前确认报价，避免临时加急</w:t>
            </w:r>
          </w:p>
        </w:tc>
      </w:tr>
    </w:tbl>
    <w:p/>
    <w:p>
      <w:pPr>
        <w:pStyle w:val="Heading1"/>
      </w:pPr>
      <w:r>
        <w:rPr>
          <w:rFonts w:ascii="SimSun" w:hAnsi="SimSun" w:eastAsia="SimSun" w:cs="SimSun"/>
          <w:b/>
          <w:i w:val="0"/>
          <w:color w:val="654321"/>
          <w:sz w:val="32"/>
        </w:rPr>
        <w:t>附四：AI 可辅助完成的任务</w:t>
      </w:r>
    </w:p>
    <w:p>
      <w:r>
        <w:rPr>
          <w:rFonts w:ascii="SimSun" w:hAnsi="SimSun" w:eastAsia="SimSun" w:cs="SimSun"/>
          <w:b w:val="0"/>
          <w:i w:val="0"/>
          <w:sz w:val="20"/>
        </w:rPr>
        <w:t>以下任务可使用 AI 工具辅助完成，提高效率：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535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AI 辅助方式</w:t>
            </w:r>
          </w:p>
        </w:tc>
        <w:tc>
          <w:tcPr>
            <w:tcW w:type="dxa" w:w="1134"/>
            <w:shd w:fill="8B4513" w:val="clear"/>
          </w:tcPr>
          <w:p>
            <w:pPr>
              <w:jc w:val="center"/>
            </w:pPr>
            <w:r/>
            <w:r>
              <w:rPr>
                <w:rFonts w:ascii="SimSun" w:hAnsi="SimSun" w:eastAsia="SimSun" w:cs="SimSun"/>
                <w:b/>
                <w:i w:val="0"/>
                <w:color w:val="FFFFFF"/>
                <w:sz w:val="20"/>
              </w:rPr>
              <w:t>可行性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Slogan 创作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根据话剧主题、吴玉章精神生成多组宣传语候选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台词精选建议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分析剧本，推荐最具代表性和感染力的台词</w:t>
            </w:r>
          </w:p>
        </w:tc>
        <w:tc>
          <w:tcPr>
            <w:tcW w:type="dxa" w:w="1134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名言整理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汇总吴玉章先生经典语录并筛选适合票根的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剧情梗概撰写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根据剧本生成 2-3 行精炼简介</w:t>
            </w:r>
          </w:p>
        </w:tc>
        <w:tc>
          <w:tcPr>
            <w:tcW w:type="dxa" w:w="1134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票根视觉设计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生成复古做旧风格的票根设计稿/参考图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网站 UI 设计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生成与票根风格统一的网站页面设计</w:t>
            </w:r>
          </w:p>
        </w:tc>
        <w:tc>
          <w:tcPr>
            <w:tcW w:type="dxa" w:w="1134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二维码生成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生成指向网站的二维码图片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  <w:tr>
        <w:tc>
          <w:tcPr>
            <w:tcW w:type="dxa" w:w="1701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编号规则设计</w:t>
            </w:r>
          </w:p>
        </w:tc>
        <w:tc>
          <w:tcPr>
            <w:tcW w:type="dxa" w:w="4535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设计收藏编号体系和生成编号序列</w:t>
            </w:r>
          </w:p>
        </w:tc>
        <w:tc>
          <w:tcPr>
            <w:tcW w:type="dxa" w:w="1134"/>
            <w:shd w:fill="F5F0EB" w:val="clear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角色档案撰写</w:t>
            </w:r>
          </w:p>
        </w:tc>
        <w:tc>
          <w:tcPr>
            <w:tcW w:type="dxa" w:w="4535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根据剧本和历史资料生成角色介绍文案</w:t>
            </w:r>
          </w:p>
        </w:tc>
        <w:tc>
          <w:tcPr>
            <w:tcW w:type="dxa" w:w="1134"/>
          </w:tcPr>
          <w:p>
            <w:r/>
            <w:r>
              <w:rPr>
                <w:rFonts w:ascii="SimSun" w:hAnsi="SimSun" w:eastAsia="SimSun" w:cs="SimSun"/>
                <w:b w:val="0"/>
                <w:i w:val="0"/>
                <w:sz w:val="18"/>
              </w:rPr>
              <w:t>高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