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Fast CC 掌紋 ROI 兩人先導測試分析報告</w:t>
      </w:r>
    </w:p>
    <w:p>
      <w:pPr>
        <w:jc w:val="center"/>
      </w:pPr>
      <w:r>
        <w:rPr>
          <w:b/>
        </w:rPr>
        <w:t>Raspberry Pi 5 與 Camera NoIR v2</w:t>
      </w:r>
    </w:p>
    <w:p>
      <w:pPr>
        <w:jc w:val="center"/>
      </w:pPr>
      <w:r>
        <w:t>2026 年 9 月 22 日</w:t>
      </w:r>
    </w:p>
    <w:p/>
    <w:p>
      <w:pPr>
        <w:pStyle w:val="Heading1"/>
      </w:pPr>
      <w:r>
        <w:t>結論摘要</w:t>
      </w:r>
    </w:p>
    <w:p>
      <w:r>
        <w:t>目前 pipeline 已能穩定輸出可追溯的 128×128 ROI，但辨識結果尚未穩定。以固定 reference 比較 9 張同手 ROI 和 9 張 Bankey 異手 ROI，在暫定門檻 0.28 下，同手只有 4 張被接受，Bankey 則有 1 張被錯誤接受。</w:t>
      </w:r>
    </w:p>
    <w:p>
      <w:r>
        <w:rPr>
          <w:b/>
        </w:rPr>
        <w:t>核心判斷：</w:t>
      </w:r>
      <w:r>
        <w:t>同手 ROI 的位置和尺度變化會明顯推高 Fast-CC distance；同時，Bankey 的錯誤接受影像具有足夠 contrast 和 sharpness，因此問題也涉及 matcher 的分離能力和 provisional threshold。只調整門檻不能同時消除錯誤拒絕與錯誤接受。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34A6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34A6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同一隻手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34A6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Bankey 異手</w:t>
            </w:r>
          </w:p>
        </w:tc>
      </w:tr>
      <w:t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Probe 數量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9</w:t>
            </w:r>
          </w:p>
        </w:tc>
      </w:tr>
      <w:t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</w:pPr>
            <w:r>
              <w:rPr>
                <w:sz w:val="18"/>
              </w:rPr>
              <w:t>平均 distance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0.2822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0.3403</w:t>
            </w:r>
          </w:p>
        </w:tc>
      </w:tr>
      <w:t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Distance 範圍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0.1784–0.3958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0.2792–0.4041</w:t>
            </w:r>
          </w:p>
        </w:tc>
      </w:tr>
      <w:t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</w:pPr>
            <w:r>
              <w:rPr>
                <w:sz w:val="18"/>
              </w:rPr>
              <w:t>門檻 0.28 下接受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4/9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1/9</w:t>
            </w:r>
          </w:p>
        </w:tc>
      </w:tr>
      <w:tr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門檻 0.28 下拒絕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5/9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8/9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 實驗目的與協議</w:t>
      </w:r>
    </w:p>
    <w:p>
      <w:r>
        <w:t>本次先導測試分開回答兩個問題：同一隻手重複放置後是否仍能被穩定接受，以及換成 Bankey 的手後是否能被穩定拒絕。這是工程診斷，不是正式的 FAR、FRR 或安全性驗證。</w:t>
      </w:r>
    </w:p>
    <w:p>
      <w:r>
        <w:t>兩個測試共用 20260916T201834Z/sample_001 作 reference。這個設計避免更換 reference 導致兩組分數不可直接比較。Fast-CC distance 越低代表越相似；0.28 是現有 demo 的 provisional threshold，沒有用本批測試資料重新調校。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34A6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34A6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Session 與樣本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34A6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數量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34A6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標籤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Reference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201834Z/sample_001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固定參考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</w:pPr>
            <w:r>
              <w:rPr>
                <w:sz w:val="18"/>
              </w:rPr>
              <w:t>同手測試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</w:pPr>
            <w:r>
              <w:rPr>
                <w:sz w:val="18"/>
              </w:rPr>
              <w:t>201834Z/sample_002–010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Same hand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異手測試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202013Z/sample_002–010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Bankey impostor</w:t>
            </w:r>
          </w:p>
        </w:tc>
      </w:tr>
    </w:tbl>
    <w:p>
      <w:pPr>
        <w:spacing w:after="20"/>
      </w:pPr>
    </w:p>
    <w:p>
      <w:pPr>
        <w:pStyle w:val="Heading1"/>
      </w:pPr>
      <w:r>
        <w:t>2 整體結果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34A6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真實身分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34A6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系統接受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34A6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系統拒絕</w:t>
            </w:r>
          </w:p>
        </w:tc>
      </w:tr>
      <w:tr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同一隻手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4  正確接受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5  錯誤拒絕</w:t>
            </w:r>
          </w:p>
        </w:tc>
      </w:tr>
      <w:tr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</w:pPr>
            <w:r>
              <w:rPr>
                <w:sz w:val="18"/>
              </w:rPr>
              <w:t>Bankey 異手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1  錯誤接受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8  正確拒絕</w:t>
            </w:r>
          </w:p>
        </w:tc>
      </w:tr>
    </w:tbl>
    <w:p>
      <w:pPr>
        <w:spacing w:after="20"/>
      </w:pPr>
    </w:p>
    <w:p>
      <w:r>
        <w:t>這 18 次比較的 True Accept Rate 為 44.4%，False Reject Rate 為 55.6%，True Reject Rate 為 88.9%，False Accept Rate 為 11.1%，Balanced Accuracy 為 66.7%。這些比例只描述本次 pilot，不能外推為系統整體效能。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238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overl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3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圖 1  同手與 Bankey 異手的 Fast-CC distance 分布。虛線為暫定門檻 0.28，短橫線表示各組平均值。</w:t>
      </w:r>
    </w:p>
    <w:p>
      <w:r>
        <w:t>同手平均 distance 為 0.2822，異手平均為 0.3403，方向符合預期；但兩組重疊區間為 0.2792–0.3958。觀察到的排序 AUC 約為 0.716，表示有一些區分訊號，但不足以支持穩定的個別判定。</w:t>
      </w:r>
    </w:p>
    <w:p>
      <w:r>
        <w:br w:type="page"/>
      </w:r>
    </w:p>
    <w:p>
      <w:pPr>
        <w:pStyle w:val="Heading1"/>
      </w:pPr>
      <w:r>
        <w:t>3 測試一  同一隻手重複放置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12080" cy="60633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e_hand_contact_she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6063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圖 2  同手測試的原始影像與 128×128 ROI。所有 probe 均與 sample_001 比較。</w:t>
      </w:r>
    </w:p>
    <w:p>
      <w:r>
        <w:t>同手 distance 從 0.1784 到 0.3958，跨度達 0.2174，並有 5/9 probes 被錯誤拒絕。這個跨度大於兩組平均值之間的 0.0582 差距，代表放手位置造成的變化足以蓋過部分身分差異。</w:t>
      </w:r>
    </w:p>
    <w:p>
      <w:r>
        <w:t>最嚴重案例是 sample_008。Reference 的 ROI 四邊形約為 189×189 px，中心約在 (304.9, 136.3)；sample_008 約為 260×260 px，中心約在 (256.1, 188.6)。ROI 邊長增加約 37%，中心水平移動約 49 px、垂直移動約 52 px，Fast-CC distance 同時升至 0.3958。</w:t>
      </w:r>
    </w:p>
    <w:p>
      <w:r>
        <w:t>這顯示輸出尺寸固定為 128×128 並不等於掌紋結構已被對齊。透視裁切前涵蓋的掌心範圍、尺度和位置仍有明顯差異。不過 sample_010 也有一定幾何差異，distance 卻只有 0.1784，因此幾何不是唯一因素；掌面姿勢、旋轉、照明與 Fast-CC 特徵敏感度仍需一併檢查。</w:t>
      </w:r>
    </w:p>
    <w:p>
      <w:pPr>
        <w:pStyle w:val="Heading1"/>
      </w:pPr>
      <w:r>
        <w:t>4 測試二  Bankey 異手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12080" cy="60633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key_contact_she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6063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圖 3  Bankey 異手測試。圖中全部 distance 均使用與測試一相同的 reference。</w:t>
      </w:r>
    </w:p>
    <w:p>
      <w:r>
        <w:t>Bankey 有 8/9 probes 被正確拒絕；sample_008 的 distance 為 0.2792，低於門檻 0.28，因此被錯誤接受。sample_004 為 0.2802，sample_009 為 0.2881，兩者也非常接近門檻。</w:t>
      </w:r>
    </w:p>
    <w:p>
      <w:r>
        <w:t>Bankey sample_008 的 contrast 為 46.70、sharpness 為 32.83，遠高於現有最低門檻 contrast 12 和 sharpness 2。它不是一張明顯模糊或低對比的 ROI，因此不能把這次錯誤接受單純歸因於影像品質。</w:t>
      </w:r>
    </w:p>
    <w:p>
      <w:r>
        <w:t>相反地，Bankey sample_003 的 contrast 只有 13.05、sharpness 6.00，接近最低要求，而且 ROI 視覺上有明顯不均勻紋理。它仍通過 READY，說明現有 quality gate 只保證最低可處理條件，不保證足以可靠辨識。</w:t>
      </w:r>
    </w:p>
    <w:p>
      <w:pPr>
        <w:pStyle w:val="Heading1"/>
      </w:pPr>
      <w:r>
        <w:t>5 門檻與分數分離解讀</w:t>
      </w:r>
    </w:p>
    <w:p>
      <w:r>
        <w:t>兩組平均值的標準化差異 Cohen's d 約為 0.87，表示平均上存在差異；但生物辨識要求每次個別判定可靠，不能只依賴平均值。兩組分布的大量重疊才是目前主要風險。</w:t>
      </w:r>
    </w:p>
    <w:p>
      <w:r>
        <w:t>在本批已觀察分數上，把門檻降到約 0.2558 可以拒絕全部 Bankey probes，但同手仍只有 4/9 被接受。提高門檻則會改善同手接受率，同時增加 Bankey 被接受的風險。因此，單純調整門檻不能修復目前問題。</w:t>
      </w:r>
    </w:p>
    <w:p>
      <w:pPr>
        <w:pStyle w:val="Heading1"/>
      </w:pPr>
      <w:r>
        <w:t>6 工程診斷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34A6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觀察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34A6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證據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34A6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優先解讀</w:t>
            </w:r>
          </w:p>
        </w:tc>
      </w:tr>
      <w:t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同手高 distance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ROI 中心與尺度明顯改變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先改善 ROI 幾何與正規化</w:t>
            </w:r>
          </w:p>
        </w:tc>
      </w:tr>
      <w:t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</w:pPr>
            <w:r>
              <w:rPr>
                <w:sz w:val="18"/>
              </w:rPr>
              <w:t>同手高 distance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ROI 幾何正常但影像異常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</w:pPr>
            <w:r>
              <w:rPr>
                <w:sz w:val="18"/>
              </w:rPr>
              <w:t>檢查曝光、清晰度與 quality gate</w:t>
            </w:r>
          </w:p>
        </w:tc>
      </w:tr>
      <w:t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同手高 distance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ROI 幾何與品質均正常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檢查 Fast-CC 與 gallery 策略</w:t>
            </w:r>
          </w:p>
        </w:tc>
      </w:tr>
      <w:t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</w:pPr>
            <w:r>
              <w:rPr>
                <w:sz w:val="18"/>
              </w:rPr>
              <w:t>異手低 distance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</w:pPr>
            <w:r>
              <w:rPr>
                <w:sz w:val="18"/>
              </w:rPr>
              <w:t>Bankey sample_008 品質正常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</w:pPr>
            <w:r>
              <w:rPr>
                <w:sz w:val="18"/>
              </w:rPr>
              <w:t>檢查 matcher 分離能力與 threshold</w:t>
            </w:r>
          </w:p>
        </w:tc>
      </w:tr>
    </w:tbl>
    <w:p>
      <w:pPr>
        <w:spacing w:after="20"/>
      </w:pPr>
    </w:p>
    <w:p>
      <w:pPr>
        <w:pStyle w:val="Heading1"/>
      </w:pPr>
      <w:r>
        <w:t>7 可以支持與不能支持的結論</w:t>
      </w:r>
    </w:p>
    <w:p>
      <w:r>
        <w:t>本次資料支持：pipeline 能保存完整且可追溯的 ROI；同手重複放置仍不穩定；ROI 幾何變化是具體失敗來源；Bankey 的錯誤接受顯示 matcher 和 threshold 也需要檢查；READY 只代表達到最低品質要求，不代表足以可靠辨識。</w:t>
      </w:r>
    </w:p>
    <w:p>
      <w:r>
        <w:t>本次資料不能支持：正式 FAR、FRR、EER 或準確率；Fast-CC 一定不適用；ROI 是唯一失敗原因；0.28 是最佳門檻；系統具備支付級安全性；結果可泛化到更多人、不同日期、距離、角度或光線。</w:t>
      </w:r>
    </w:p>
    <w:p>
      <w:pPr>
        <w:pStyle w:val="Heading1"/>
      </w:pPr>
      <w:r>
        <w:t>8 下一輪實驗</w:t>
      </w:r>
    </w:p>
    <w:p>
      <w:pPr>
        <w:pStyle w:val="ListNumber"/>
      </w:pPr>
      <w:r>
        <w:t>同一隻手進行 30 次真正獨立放置，每次完全移開再放回，保存原圖、ROI 和 metadata。</w:t>
      </w:r>
    </w:p>
    <w:p>
      <w:pPr>
        <w:pStyle w:val="ListNumber"/>
      </w:pPr>
      <w:r>
        <w:t>量化 ROI 中心、尺度和旋轉角的變異，並將這些幾何量與 Fast-CC distance 對照。</w:t>
      </w:r>
    </w:p>
    <w:p>
      <w:pPr>
        <w:pStyle w:val="ListNumber"/>
      </w:pPr>
      <w:r>
        <w:t>若 ROI 已穩定而同手 distance 仍波動，改用多張 enrollment ROI，測試 median gallery score、minimum score 或 template fusion。</w:t>
      </w:r>
    </w:p>
    <w:p>
      <w:pPr>
        <w:pStyle w:val="ListNumber"/>
      </w:pPr>
      <w:r>
        <w:t>使用獨立 development data 選門檻，保留測試資料作最終評估。</w:t>
      </w:r>
    </w:p>
    <w:p>
      <w:pPr>
        <w:pStyle w:val="ListNumber"/>
      </w:pPr>
      <w:r>
        <w:t>基本穩定後再加入 Bankey 30 次、左右旋轉 15°/30°、不同距離、更多參與者和跨日期測試。</w:t>
      </w:r>
    </w:p>
    <w:p>
      <w:r>
        <w:br w:type="page"/>
      </w:r>
    </w:p>
    <w:p>
      <w:pPr>
        <w:pStyle w:val="Heading1"/>
      </w:pPr>
      <w:r>
        <w:t>附錄 A 逐張分數</w:t>
      </w:r>
    </w:p>
    <w:p>
      <w:pPr>
        <w:pStyle w:val="Heading2"/>
      </w:pPr>
      <w:r>
        <w:t>A1 同一隻手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34A6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Probe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34A6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Distance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34A6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34A6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sample_002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0.1886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ACCEPT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正確</w:t>
            </w:r>
          </w:p>
        </w:tc>
      </w:tr>
      <w:t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</w:pPr>
            <w:r>
              <w:rPr>
                <w:sz w:val="18"/>
              </w:rPr>
              <w:t>sample_003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0.3065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REJECT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錯誤拒絕</w:t>
            </w:r>
          </w:p>
        </w:tc>
      </w:tr>
      <w:t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sample_004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0.3448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REJECT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錯誤拒絕</w:t>
            </w:r>
          </w:p>
        </w:tc>
      </w:tr>
      <w:t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</w:pPr>
            <w:r>
              <w:rPr>
                <w:sz w:val="18"/>
              </w:rPr>
              <w:t>sample_005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0.3560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REJECT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錯誤拒絕</w:t>
            </w:r>
          </w:p>
        </w:tc>
      </w:tr>
      <w:t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sample_006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0.2558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ACCEPT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正確</w:t>
            </w:r>
          </w:p>
        </w:tc>
      </w:tr>
      <w:t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</w:pPr>
            <w:r>
              <w:rPr>
                <w:sz w:val="18"/>
              </w:rPr>
              <w:t>sample_007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0.3075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REJECT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錯誤拒絕</w:t>
            </w:r>
          </w:p>
        </w:tc>
      </w:tr>
      <w:t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sample_008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0.3958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REJECT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錯誤拒絕</w:t>
            </w:r>
          </w:p>
        </w:tc>
      </w:tr>
      <w:t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</w:pPr>
            <w:r>
              <w:rPr>
                <w:sz w:val="18"/>
              </w:rPr>
              <w:t>sample_009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0.2062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ACCEPT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正確</w:t>
            </w:r>
          </w:p>
        </w:tc>
      </w:tr>
      <w:t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sample_010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0.1784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ACCEPT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正確</w:t>
            </w:r>
          </w:p>
        </w:tc>
      </w:tr>
    </w:tbl>
    <w:p>
      <w:pPr>
        <w:spacing w:after="20"/>
      </w:pPr>
    </w:p>
    <w:p>
      <w:pPr>
        <w:pStyle w:val="Heading2"/>
      </w:pPr>
      <w:r>
        <w:t>A2 Bankey 異手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34A6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Probe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34A6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Distance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34A6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34A6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sample_002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0.3389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REJECT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正確</w:t>
            </w:r>
          </w:p>
        </w:tc>
      </w:tr>
      <w:t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</w:pPr>
            <w:r>
              <w:rPr>
                <w:sz w:val="18"/>
              </w:rPr>
              <w:t>sample_003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0.3885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REJECT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正確</w:t>
            </w:r>
          </w:p>
        </w:tc>
      </w:tr>
      <w:t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sample_004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0.2802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REJECT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正確</w:t>
            </w:r>
          </w:p>
        </w:tc>
      </w:tr>
      <w:t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</w:pPr>
            <w:r>
              <w:rPr>
                <w:sz w:val="18"/>
              </w:rPr>
              <w:t>sample_005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0.3135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REJECT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正確</w:t>
            </w:r>
          </w:p>
        </w:tc>
      </w:tr>
      <w:t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sample_006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0.3730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REJECT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正確</w:t>
            </w:r>
          </w:p>
        </w:tc>
      </w:tr>
      <w:t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</w:pPr>
            <w:r>
              <w:rPr>
                <w:sz w:val="18"/>
              </w:rPr>
              <w:t>sample_007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0.3975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REJECT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正確</w:t>
            </w:r>
          </w:p>
        </w:tc>
      </w:tr>
      <w:t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sample_008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0.2792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ACCEPT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錯誤接受</w:t>
            </w:r>
          </w:p>
        </w:tc>
      </w:tr>
      <w:t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</w:pPr>
            <w:r>
              <w:rPr>
                <w:sz w:val="18"/>
              </w:rPr>
              <w:t>sample_009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0.2881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REJECT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正確</w:t>
            </w:r>
          </w:p>
        </w:tc>
      </w:tr>
      <w:t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sample_010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0.4041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REJECT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正確</w:t>
            </w:r>
          </w:p>
        </w:tc>
      </w:tr>
    </w:tbl>
    <w:p>
      <w:pPr>
        <w:spacing w:after="20"/>
      </w:pPr>
    </w:p>
    <w:p>
      <w:pPr>
        <w:pStyle w:val="Heading1"/>
      </w:pPr>
      <w:r>
        <w:t>附錄 B Capture 資料結構</w:t>
      </w:r>
    </w:p>
    <w:p>
      <w:r>
        <w:t>每個 debug capture session 使用 UTC 時間命名，內含 sample_001 至 sample_010。每個 sample 保存 raw.png、roi_128.png 和 metadata.json。metadata 記錄 ROI 四邊形、contrast、sharpness、追蹤狀態、相機設定、時間與檔案雜湊。sample 編號只代表保存順序，身分標籤仍需由實驗 protocol 額外記錄。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34A6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檔案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34A6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內容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34A6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raw.png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480×360 RGB 原始畫面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檢查放手姿勢、距離、光線與 detector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</w:pPr>
            <w:r>
              <w:rPr>
                <w:sz w:val="18"/>
              </w:rPr>
              <w:t>roi_128.png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</w:pPr>
            <w:r>
              <w:rPr>
                <w:sz w:val="18"/>
              </w:rPr>
              <w:t>128×128 灰階正規化 ROI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5FA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Fast-CC 的實際輸入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metadata.json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幾何、品質、時間與相機資料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  <w:t>重現與故障分類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1077" w:right="1162" w:bottom="1020" w:left="11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Fast-CC 掌紋 ROI 兩人先導測試   2026-09-22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Fast CC 掌紋 ROI 兩人先導測試分析報告</dc:title>
  <dc:subject>同手重複性與 Bankey 異手比較</dc:subject>
  <dc:creator>FYP Palm Recognition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