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A365D"/>
          <w:sz w:val="52"/>
        </w:rPr>
        <w:t>Retrieval-Augmented Generation (RAG)</w:t>
      </w:r>
    </w:p>
    <w:p>
      <w:pPr>
        <w:spacing w:after="720"/>
        <w:jc w:val="center"/>
      </w:pPr>
      <w:r>
        <w:rPr>
          <w:i/>
          <w:color w:val="3182CE"/>
          <w:sz w:val="26"/>
        </w:rPr>
        <w:t>Architecting the Next Generation of Knowledge-Intensive AI Systems</w:t>
      </w: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200" w:type="dxa"/>
              <w:right w:w="200" w:type="dxa"/>
            </w:tcMar>
            <w:shd w:fill="F7FAFC"/>
            <w:tcBorders>
              <w:left w:val="single" w:sz="36" w:space="0" w:color="3182CE"/>
              <w:top w:val="none"/>
              <w:bottom w:val="none"/>
              <w:right w:val="none"/>
            </w:tcBorders>
          </w:tcPr>
          <w:p>
            <w:pPr>
              <w:spacing w:after="80"/>
            </w:pPr>
            <w:r>
              <w:rPr>
                <w:b/>
                <w:color w:val="3182CE"/>
                <w:sz w:val="24"/>
              </w:rPr>
              <w:t>Executive Summary</w:t>
            </w:r>
          </w:p>
          <w:p>
            <w:pPr>
              <w:spacing w:after="0" w:line="276" w:lineRule="auto"/>
            </w:pPr>
            <w:r>
              <w:t>Retrieval-Augmented Generation (RAG) represents a paradigm shift in how Large Language Models (LLMs) interact with proprietary and dynamic enterprise data. By combining external knowledge retrieval mechanisms with parametric LLM capabilities, RAG systemically solves hallucination, latency, and contextual limitations inherent in pure standalone models, without requiring costly fine-tuning cycles.</w:t>
            </w:r>
          </w:p>
        </w:tc>
      </w:tr>
    </w:tbl>
    <w:p>
      <w:pPr>
        <w:pStyle w:val="Heading1"/>
        <w:keepNext/>
        <w:spacing w:before="360" w:after="120"/>
      </w:pPr>
      <w:r>
        <w:rPr>
          <w:rFonts w:ascii="Arial" w:hAnsi="Arial"/>
          <w:color w:val="1A365D"/>
        </w:rPr>
        <w:t>1. Introduction to RAG</w:t>
      </w:r>
    </w:p>
    <w:p>
      <w:pPr>
        <w:spacing w:after="160" w:line="276" w:lineRule="auto"/>
      </w:pPr>
      <w:r>
        <w:t>Large Language Models (LLMs) have demonstrated remarkable capabilities across natural language processing tasks. However, they possess fundamental limitations: they are bound to a static snapshot of training data, have no innate access to private enterprise repositories, and are prone to plausible-sounding inaccuracies known as hallucinations.</w:t>
      </w:r>
    </w:p>
    <w:p>
      <w:pPr>
        <w:spacing w:after="240" w:line="276" w:lineRule="auto"/>
      </w:pPr>
      <w:r>
        <w:t>Retrieval-Augmented Generation (RAG), first formalized by Lewis et al. in 2020, addresses these gaps by decoupling the knowledge source from the reasoning engine. Instead of relying solely on internal weights to generate responses, a RAG framework queries an external data source dynamically based on the user's input, fetches relevant context, and passes both the context and the original prompt to the LLM to formulate an accurate, verifiable answer.</w:t>
      </w:r>
    </w:p>
    <w:p>
      <w:pPr>
        <w:pStyle w:val="Heading1"/>
        <w:keepNext/>
        <w:spacing w:before="240" w:after="120"/>
      </w:pPr>
      <w:r>
        <w:rPr>
          <w:rFonts w:ascii="Arial" w:hAnsi="Arial"/>
          <w:color w:val="1A365D"/>
        </w:rPr>
        <w:t>2. The Technical Pipeline and Core Architecture</w:t>
      </w:r>
    </w:p>
    <w:p>
      <w:pPr>
        <w:spacing w:after="200"/>
      </w:pPr>
      <w:r>
        <w:t>A standard operational RAG pipeline can be split into two discrete, asynchronous workflows: Data Ingestion (Offline) and Query Execution (Online).</w:t>
      </w:r>
    </w:p>
    <w:p>
      <w:pPr>
        <w:pStyle w:val="Heading2"/>
        <w:keepNext/>
        <w:spacing w:before="140" w:after="60"/>
      </w:pPr>
      <w:r>
        <w:rPr>
          <w:rFonts w:ascii="Arial" w:hAnsi="Arial"/>
          <w:color w:val="3182CE"/>
        </w:rPr>
        <w:t>Phase A: The Ingestion Pipeline (Offline Storage)</w:t>
      </w:r>
    </w:p>
    <w:p>
      <w:pPr>
        <w:pStyle w:val="ListBullet"/>
        <w:spacing w:after="80"/>
      </w:pPr>
      <w:r>
        <w:rPr>
          <w:b/>
        </w:rPr>
        <w:t xml:space="preserve">Document Parsing: </w:t>
      </w:r>
      <w:r>
        <w:t>Raw data files (PDFs, Markdown, relational databases, internal wikis) are extracted and stripped of unnecessary formatting.</w:t>
      </w:r>
    </w:p>
    <w:p>
      <w:pPr>
        <w:pStyle w:val="ListBullet"/>
        <w:spacing w:after="80"/>
      </w:pPr>
      <w:r>
        <w:rPr>
          <w:b/>
        </w:rPr>
        <w:t xml:space="preserve">Chunking Strategies: </w:t>
      </w:r>
      <w:r>
        <w:t>To accommodate fixed LLM context windows, long-form documents are partitioned into logical segments. Typical heuristics range from structural (paragraph-based) to semantic chunking (calculated semantic shift boundaries).</w:t>
      </w:r>
    </w:p>
    <w:p>
      <w:pPr>
        <w:pStyle w:val="ListBullet"/>
        <w:spacing w:after="80"/>
      </w:pPr>
      <w:r>
        <w:rPr>
          <w:b/>
        </w:rPr>
        <w:t xml:space="preserve">Vector Embedding: </w:t>
      </w:r>
      <w:r>
        <w:t>Each structured text chunk is passed through an embedding model (e.g., OpenAI text-embedding-3 or HuggingFace BGE) converting semantic text meaning into high-dimensional numerical vectors.</w:t>
      </w:r>
    </w:p>
    <w:p>
      <w:pPr>
        <w:pStyle w:val="ListBullet"/>
        <w:spacing w:after="240"/>
      </w:pPr>
      <w:r>
        <w:rPr>
          <w:b/>
        </w:rPr>
        <w:t xml:space="preserve">Vector Database Storage: </w:t>
      </w:r>
      <w:r>
        <w:t>The resulting embeddings are indexed within specialized vector stores (e.g., Pinecone, Milvus, Qdrant) alongside original text metadata for sub-millisecond similarity search lookup.</w:t>
      </w:r>
    </w:p>
    <w:p>
      <w:pPr>
        <w:pStyle w:val="Heading2"/>
        <w:keepNext/>
        <w:spacing w:before="140" w:after="60"/>
      </w:pPr>
      <w:r>
        <w:rPr>
          <w:rFonts w:ascii="Arial" w:hAnsi="Arial"/>
          <w:color w:val="3182CE"/>
        </w:rPr>
        <w:t>Phase B: The Retrieval &amp; Generation Pipeline (Online Runtime)</w:t>
      </w:r>
    </w:p>
    <w:p>
      <w:pPr>
        <w:pStyle w:val="ListBullet"/>
        <w:spacing w:after="80"/>
      </w:pPr>
      <w:r>
        <w:rPr>
          <w:b/>
        </w:rPr>
        <w:t xml:space="preserve">User Query Transformation: </w:t>
      </w:r>
      <w:r>
        <w:t>The inbound raw user question is embedded using the exact same vector model employed during ingestion.</w:t>
      </w:r>
    </w:p>
    <w:p>
      <w:pPr>
        <w:pStyle w:val="ListBullet"/>
        <w:spacing w:after="80"/>
      </w:pPr>
      <w:r>
        <w:rPr>
          <w:b/>
        </w:rPr>
        <w:t xml:space="preserve">Similarity Search Vector Retrieval: </w:t>
      </w:r>
      <w:r>
        <w:t>The database computes distance metrics (e.g., Cosine Similarity, Dot Product) to locate Top-K nearest neighbor text chunks closest to the query embedding vector.</w:t>
      </w:r>
    </w:p>
    <w:p>
      <w:pPr>
        <w:pStyle w:val="ListBullet"/>
        <w:spacing w:after="80"/>
      </w:pPr>
      <w:r>
        <w:rPr>
          <w:b/>
        </w:rPr>
        <w:t xml:space="preserve">Prompt Synthesis: </w:t>
      </w:r>
      <w:r>
        <w:t>The original user query and the retrieved textual context blocks are dynamically structured into an engineered prompt template.</w:t>
      </w:r>
    </w:p>
    <w:p>
      <w:pPr>
        <w:pStyle w:val="ListBullet"/>
        <w:spacing w:after="240"/>
      </w:pPr>
      <w:r>
        <w:rPr>
          <w:b/>
        </w:rPr>
        <w:t xml:space="preserve">Informed Generation: </w:t>
      </w:r>
      <w:r>
        <w:t>The compiled prompt is forwarded to the LLM. The model reads the context inline and synthesizes an authoritative response bounded safely to the provided sources.</w:t>
      </w:r>
    </w:p>
    <w:p>
      <w:pPr>
        <w:pStyle w:val="Heading1"/>
        <w:keepNext/>
        <w:spacing w:before="240" w:after="120"/>
      </w:pPr>
      <w:r>
        <w:rPr>
          <w:rFonts w:ascii="Arial" w:hAnsi="Arial"/>
          <w:color w:val="1A365D"/>
        </w:rPr>
        <w:t>3. RAG vs. Fine-Tuning Architectural Matrix</w:t>
      </w:r>
    </w:p>
    <w:p>
      <w:pPr>
        <w:spacing w:after="200"/>
      </w:pPr>
      <w:r>
        <w:t>When optimizing LLM behavior for domain-specific knowledge injection, architects face a decision matrix between RAG frameworks and standard Fine-Tuning workflows.</w:t>
      </w:r>
    </w:p>
    <w:tbl>
      <w:tblPr>
        <w:tblW w:type="auto" w:w="0"/>
        <w:jc w:val="center"/>
        <w:tblLayout w:type="fixed"/>
        <w:tblLook w:firstColumn="1" w:firstRow="1" w:lastColumn="0" w:lastRow="0" w:noHBand="0" w:noVBand="1" w:val="04A0"/>
      </w:tblPr>
      <w:tblGrid>
        <w:gridCol w:w="2160"/>
        <w:gridCol w:w="3600"/>
        <w:gridCol w:w="3600"/>
      </w:tblGrid>
      <w:tr>
        <w:trPr>
          <w:tblHeader/>
        </w:trPr>
        <w:tc>
          <w:tcPr>
            <w:tcW w:type="dxa" w:w="2160"/>
            <w:shd w:fill="1A365D"/>
            <w:tcMar>
              <w:top w:w="120" w:type="dxa"/>
              <w:bottom w:w="120" w:type="dxa"/>
              <w:left w:w="120" w:type="dxa"/>
              <w:right w:w="120" w:type="dxa"/>
            </w:tcMar>
          </w:tcPr>
          <w:p>
            <w:pPr>
              <w:spacing w:after="0"/>
              <w:jc w:val="left"/>
            </w:pPr>
            <w:r>
              <w:rPr>
                <w:b/>
                <w:color w:val="FFFFFF"/>
                <w:sz w:val="20"/>
              </w:rPr>
              <w:t>Dimension</w:t>
            </w:r>
          </w:p>
        </w:tc>
        <w:tc>
          <w:tcPr>
            <w:tcW w:type="dxa" w:w="3600"/>
            <w:shd w:fill="1A365D"/>
            <w:tcMar>
              <w:top w:w="120" w:type="dxa"/>
              <w:bottom w:w="120" w:type="dxa"/>
              <w:left w:w="120" w:type="dxa"/>
              <w:right w:w="120" w:type="dxa"/>
            </w:tcMar>
          </w:tcPr>
          <w:p>
            <w:pPr>
              <w:spacing w:after="0"/>
              <w:jc w:val="left"/>
            </w:pPr>
            <w:r>
              <w:rPr>
                <w:b/>
                <w:color w:val="FFFFFF"/>
                <w:sz w:val="20"/>
              </w:rPr>
              <w:t>Retrieval-Augmented Generation (RAG)</w:t>
            </w:r>
          </w:p>
        </w:tc>
        <w:tc>
          <w:tcPr>
            <w:tcW w:type="dxa" w:w="3600"/>
            <w:shd w:fill="1A365D"/>
            <w:tcMar>
              <w:top w:w="120" w:type="dxa"/>
              <w:bottom w:w="120" w:type="dxa"/>
              <w:left w:w="120" w:type="dxa"/>
              <w:right w:w="120" w:type="dxa"/>
            </w:tcMar>
          </w:tcPr>
          <w:p>
            <w:pPr>
              <w:spacing w:after="0"/>
              <w:jc w:val="left"/>
            </w:pPr>
            <w:r>
              <w:rPr>
                <w:b/>
                <w:color w:val="FFFFFF"/>
                <w:sz w:val="20"/>
              </w:rPr>
              <w:t>Fine-Tuning</w:t>
            </w:r>
          </w:p>
        </w:tc>
      </w:tr>
      <w:tr>
        <w:trPr>
          <w:cantSplit/>
        </w:trP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b/>
                <w:sz w:val="19"/>
              </w:rPr>
              <w:t>Knowledge Access</w:t>
            </w:r>
          </w:p>
        </w:tc>
        <w:tc>
          <w:tcPr>
            <w:tcW w:type="dxa" w:w="360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sz w:val="19"/>
              </w:rPr>
              <w:t>Externalized, dynamic database lookup. Zero delay on database updates.</w:t>
            </w:r>
          </w:p>
        </w:tc>
        <w:tc>
          <w:tcPr>
            <w:tcW w:type="dxa" w:w="360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sz w:val="19"/>
              </w:rPr>
              <w:t>Internalized, static parameters. Requires re-training for updates.</w:t>
            </w:r>
          </w:p>
        </w:tc>
      </w:tr>
      <w:tr>
        <w:trPr>
          <w:cantSplit/>
        </w:trPr>
        <w:tc>
          <w:tcPr>
            <w:tcW w:type="dxa" w:w="2160"/>
            <w:shd w:fill="F7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b/>
                <w:sz w:val="19"/>
              </w:rPr>
              <w:t>Hallucination Risk</w:t>
            </w:r>
          </w:p>
        </w:tc>
        <w:tc>
          <w:tcPr>
            <w:tcW w:type="dxa" w:w="3600"/>
            <w:shd w:fill="F7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sz w:val="19"/>
              </w:rPr>
              <w:t>Significantly minimized via verifiable source-grounded citations.</w:t>
            </w:r>
          </w:p>
        </w:tc>
        <w:tc>
          <w:tcPr>
            <w:tcW w:type="dxa" w:w="3600"/>
            <w:shd w:fill="F7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sz w:val="19"/>
              </w:rPr>
              <w:t>Reduced but remains moderate. High tendency to hallucinate if query drifts.</w:t>
            </w:r>
          </w:p>
        </w:tc>
      </w:tr>
      <w:tr>
        <w:trPr>
          <w:cantSplit/>
        </w:trP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b/>
                <w:sz w:val="19"/>
              </w:rPr>
              <w:t>Implementation Cost</w:t>
            </w:r>
          </w:p>
        </w:tc>
        <w:tc>
          <w:tcPr>
            <w:tcW w:type="dxa" w:w="360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sz w:val="19"/>
              </w:rPr>
              <w:t>Low-to-moderate; setup requires infrastructural plumbing, indexing.</w:t>
            </w:r>
          </w:p>
        </w:tc>
        <w:tc>
          <w:tcPr>
            <w:tcW w:type="dxa" w:w="360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sz w:val="19"/>
              </w:rPr>
              <w:t>High; substantial compute overhead (GPUs), data engineering required.</w:t>
            </w:r>
          </w:p>
        </w:tc>
      </w:tr>
      <w:tr>
        <w:trPr>
          <w:cantSplit/>
        </w:trPr>
        <w:tc>
          <w:tcPr>
            <w:tcW w:type="dxa" w:w="2160"/>
            <w:shd w:fill="F7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b/>
                <w:sz w:val="19"/>
              </w:rPr>
              <w:t>Data Privacy Control</w:t>
            </w:r>
          </w:p>
        </w:tc>
        <w:tc>
          <w:tcPr>
            <w:tcW w:type="dxa" w:w="3600"/>
            <w:shd w:fill="F7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sz w:val="19"/>
              </w:rPr>
              <w:t>Granular. Access control lists (ACL) filter retrieved chunks on runtime.</w:t>
            </w:r>
          </w:p>
        </w:tc>
        <w:tc>
          <w:tcPr>
            <w:tcW w:type="dxa" w:w="3600"/>
            <w:shd w:fill="F7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sz w:val="19"/>
              </w:rPr>
              <w:t>Poor. Data is permanently baked into parameters; all users share context.</w:t>
            </w:r>
          </w:p>
        </w:tc>
      </w:tr>
      <w:tr>
        <w:trPr>
          <w:cantSplit/>
        </w:trP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b/>
                <w:sz w:val="19"/>
              </w:rPr>
              <w:t>Domain Adaptability</w:t>
            </w:r>
          </w:p>
        </w:tc>
        <w:tc>
          <w:tcPr>
            <w:tcW w:type="dxa" w:w="360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sz w:val="19"/>
              </w:rPr>
              <w:t>Optimized for factual lookup and document-heavy ingestion.</w:t>
            </w:r>
          </w:p>
        </w:tc>
        <w:tc>
          <w:tcPr>
            <w:tcW w:type="dxa" w:w="360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76" w:lineRule="auto"/>
            </w:pPr>
            <w:r>
              <w:rPr>
                <w:sz w:val="19"/>
              </w:rPr>
              <w:t>Optimized for behavior modification, tone alignment, and style/formatting.</w:t>
            </w:r>
          </w:p>
        </w:tc>
      </w:tr>
    </w:tbl>
    <w:p>
      <w:pPr>
        <w:spacing w:after="240"/>
      </w:pPr>
    </w:p>
    <w:p>
      <w:pPr>
        <w:pStyle w:val="Heading1"/>
        <w:keepNext/>
        <w:spacing w:before="240" w:after="120"/>
      </w:pPr>
      <w:r>
        <w:rPr>
          <w:rFonts w:ascii="Arial" w:hAnsi="Arial"/>
          <w:color w:val="1A365D"/>
        </w:rPr>
        <w:t>4. Advanced Optimization Paradigms</w:t>
      </w:r>
    </w:p>
    <w:p>
      <w:pPr>
        <w:spacing w:after="160"/>
      </w:pPr>
      <w:r>
        <w:t>Vanilla (Naive) RAG architectures often suffer from performance decay as enterprise repositories scale. Production-grade systems employ advanced strategies to sustain strict accuracy bounds:</w:t>
      </w:r>
    </w:p>
    <w:p>
      <w:pPr>
        <w:pStyle w:val="Heading2"/>
        <w:keepNext/>
        <w:spacing w:before="120" w:after="60"/>
      </w:pPr>
      <w:r>
        <w:rPr>
          <w:rFonts w:ascii="Arial" w:hAnsi="Arial"/>
          <w:color w:val="3182CE"/>
        </w:rPr>
        <w:t>Multi-Stage Retrieval and Reranking</w:t>
      </w:r>
    </w:p>
    <w:p>
      <w:pPr>
        <w:spacing w:after="160" w:line="276" w:lineRule="auto"/>
      </w:pPr>
      <w:r>
        <w:t>To counteract embedding model limitations, modern setups split retrieval into two steps. First, a broad, computationally inexpensive bi-encoder search returns a wide pool of documents (e.g., Top-50). Second, a powerful cross-encoder model (a Reranker) processes the small subset, analyzing deep lexical-semantic alignment to output a precise Top-5 configuration for final prompt embedding.</w:t>
      </w:r>
    </w:p>
    <w:p>
      <w:pPr>
        <w:pStyle w:val="Heading2"/>
        <w:keepNext/>
        <w:spacing w:before="120" w:after="60"/>
      </w:pPr>
      <w:r>
        <w:rPr>
          <w:rFonts w:ascii="Arial" w:hAnsi="Arial"/>
          <w:color w:val="3182CE"/>
        </w:rPr>
        <w:t>Query Rewriting and Expansion</w:t>
      </w:r>
    </w:p>
    <w:p>
      <w:pPr>
        <w:spacing w:after="160" w:line="276" w:lineRule="auto"/>
      </w:pPr>
      <w:r>
        <w:t>Human queries are frequently ambiguous, fragmented, or missing core context. Advanced RAG configurations leverage a secondary lightweight LLM layer that normalizes or multiplies input queries. Methods like Hypothetical Document Embeddings (HyDE) generate a theoretical answer paragraph before lookup, querying the index with the synthetic passage to maximize vector semantic match alignment.</w:t>
      </w: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200" w:type="dxa"/>
              <w:right w:w="200" w:type="dxa"/>
            </w:tcMar>
            <w:shd w:fill="F7FAFC"/>
            <w:tcBorders>
              <w:left w:val="single" w:sz="36" w:space="0" w:color="1A365D"/>
              <w:top w:val="none"/>
              <w:bottom w:val="none"/>
              <w:right w:val="none"/>
            </w:tcBorders>
          </w:tcPr>
          <w:p>
            <w:pPr>
              <w:spacing w:after="80"/>
            </w:pPr>
            <w:r>
              <w:rPr>
                <w:b/>
                <w:color w:val="1A365D"/>
                <w:sz w:val="24"/>
              </w:rPr>
              <w:t>The Horizon: Graph RAG and Agentic Frameworks</w:t>
            </w:r>
          </w:p>
          <w:p>
            <w:pPr>
              <w:spacing w:after="0" w:line="276" w:lineRule="auto"/>
            </w:pPr>
            <w:r>
              <w:t>As the technology matures, standard vector lookups are evolving into Graph RAG, merging vector similarity with structured Knowledge Graphs. This allows systems to reason holistically over non-adjacent multi-hop entities, paving the way for fully autonomous, multi-agent RAG tools capable of self-correcting synthesis.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