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TIẾP NHẬN SỞ HỮU TRÍ TUỆ</w:t>
            </w:r>
          </w:p>
          <w:p>
            <w:pPr>
              <w:spacing w:before="0" w:after="40" w:line="276" w:lineRule="auto"/>
              <w:jc w:val="center"/>
            </w:pPr>
            <w:r>
              <w:rPr>
                <w:b/>
              </w:rPr>
              <w:t>LOCALMATE VIỆT NAM</w:t>
            </w:r>
          </w:p>
          <w:p>
            <w:pPr>
              <w:spacing w:before="0" w:after="40" w:line="276" w:lineRule="auto"/>
              <w:jc w:val="center"/>
            </w:pPr>
            <w:r>
              <w:t>Số: [MÃ_VĂN_BẢN]/PIIA-LM/2026</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[NGÀY] tháng [THÁNG] năm 202[NĂM]</w:t>
            </w:r>
          </w:p>
        </w:tc>
      </w:tr>
    </w:tbl>
    <w:p>
      <w:pPr>
        <w:spacing w:before="0" w:after="80"/>
      </w:pPr>
    </w:p>
    <w:p>
      <w:pPr>
        <w:spacing w:before="240" w:after="80" w:line="288" w:lineRule="auto"/>
        <w:jc w:val="center"/>
      </w:pPr>
      <w:r>
        <w:rPr>
          <w:b/>
          <w:color w:val="0F172A"/>
          <w:sz w:val="29"/>
        </w:rPr>
        <w:t>THỎA THUẬN CHUYỂN GIAO QUYỀN SỞ HỮU TRÍ TUỆ, BẢO MẬT THÔNG TIN VÀ KHÔNG CẠNH TRANH</w:t>
      </w:r>
    </w:p>
    <w:p>
      <w:pPr>
        <w:spacing w:before="20" w:after="60" w:line="276" w:lineRule="auto"/>
        <w:jc w:val="both"/>
      </w:pPr>
      <w:r>
        <w:rPr>
          <w:b/>
        </w:rPr>
        <w:t>(PROPRIETARY INFORMATION AND INVENTIONS AGREEMENT - PIIA)</w:t>
      </w:r>
    </w:p>
    <w:p>
      <w:pPr>
        <w:spacing w:before="20" w:after="40" w:line="276" w:lineRule="auto"/>
        <w:ind w:left="288"/>
        <w:jc w:val="both"/>
      </w:pPr>
      <w:r>
        <w:rPr>
          <w:i/>
          <w:color w:val="0F172A"/>
          <w:sz w:val="20"/>
        </w:rPr>
        <w:t>- Căn cứ Bộ luật Dân sự số 91/2015/QH13 ngày 24 tháng 11 năm 2015;</w:t>
      </w:r>
    </w:p>
    <w:p>
      <w:pPr>
        <w:spacing w:before="20" w:after="40" w:line="276" w:lineRule="auto"/>
        <w:ind w:left="288"/>
        <w:jc w:val="both"/>
      </w:pPr>
      <w:r>
        <w:rPr>
          <w:i/>
          <w:color w:val="0F172A"/>
          <w:sz w:val="20"/>
        </w:rPr>
        <w:t>- Căn cứ Luật Sở hữu trí tuệ số 50/2005/QH11 đã được sửa đổi, bổ sung theo Luật số 07/2022/QH15 (Đặc biệt là Điều 39 về quyền sở hữu đối với tác phẩm do người làm công sáng tạo);</w:t>
      </w:r>
    </w:p>
    <w:p>
      <w:pPr>
        <w:spacing w:before="20" w:after="40" w:line="276" w:lineRule="auto"/>
        <w:ind w:left="288"/>
        <w:jc w:val="both"/>
      </w:pPr>
      <w:r>
        <w:rPr>
          <w:i/>
          <w:color w:val="0F172A"/>
          <w:sz w:val="20"/>
        </w:rPr>
        <w:t>- Căn cứ Bộ luật Lao động số 45/2019/QH14 ngày 20 tháng 11 năm 2019 (Khoản 2 Điều 21 về bảo vệ bí mật công nghệ và kinh doanh);</w:t>
      </w:r>
    </w:p>
    <w:p>
      <w:pPr>
        <w:spacing w:before="20" w:after="40" w:line="276" w:lineRule="auto"/>
        <w:ind w:left="288"/>
        <w:jc w:val="both"/>
      </w:pPr>
      <w:r>
        <w:rPr>
          <w:i/>
          <w:color w:val="0F172A"/>
          <w:sz w:val="20"/>
        </w:rPr>
        <w:t>- Căn cứ Luật An toàn thông tin mạng số 86/2015/QH13 và Luật An ninh mạng số 24/2018/QH14;</w:t>
      </w:r>
    </w:p>
    <w:p>
      <w:pPr>
        <w:spacing w:before="20" w:after="40" w:line="276" w:lineRule="auto"/>
        <w:ind w:left="288"/>
        <w:jc w:val="both"/>
      </w:pPr>
      <w:r>
        <w:rPr>
          <w:i/>
          <w:color w:val="0F172A"/>
          <w:sz w:val="20"/>
        </w:rPr>
        <w:t>- Căn cứ Nghị định số 13/2023/NĐ-CP ngày 17 tháng 04 năm 2023 của Chính phủ về bảo vệ dữ liệu cá nhân.</w:t>
      </w:r>
    </w:p>
    <w:p>
      <w:pPr>
        <w:spacing w:before="20" w:after="60" w:line="276" w:lineRule="auto"/>
        <w:jc w:val="both"/>
      </w:pPr>
      <w:r>
        <w:t>Thỏa thuận chuyển giao quyền sở hữu trí tuệ và bảo mật này ("Thỏa thuận PIIA") được lập và ký kết giữa:</w:t>
      </w:r>
    </w:p>
    <w:p>
      <w:pPr>
        <w:spacing w:before="180" w:after="60" w:line="276" w:lineRule="auto"/>
        <w:jc w:val="left"/>
      </w:pPr>
      <w:r>
        <w:rPr>
          <w:b/>
          <w:color w:val="0F172A"/>
          <w:sz w:val="22"/>
        </w:rPr>
        <w:t>BÊN TIẾP NHẬN CHUYỂN GIAO (CÔNG TY / LOCALMATE):</w:t>
      </w:r>
    </w:p>
    <w:p>
      <w:pPr>
        <w:spacing w:before="20" w:after="40" w:line="276" w:lineRule="auto"/>
        <w:ind w:left="360"/>
        <w:jc w:val="both"/>
      </w:pPr>
      <w:r>
        <w:rPr>
          <w:b/>
        </w:rPr>
        <w:t>Tên pháp lý:</w:t>
      </w:r>
      <w:r>
        <w:t xml:space="preserve"> </w:t>
      </w:r>
      <w:r>
        <w:rPr>
          <w:b/>
        </w:rPr>
        <w:t>[LOCALMATE_LEGAL_NAME]</w:t>
      </w:r>
    </w:p>
    <w:p>
      <w:pPr>
        <w:spacing w:before="20" w:after="40" w:line="276" w:lineRule="auto"/>
        <w:ind w:left="360"/>
        <w:jc w:val="both"/>
      </w:pPr>
      <w:r>
        <w:rPr>
          <w:b/>
        </w:rPr>
        <w:t>Mã số thuế / Mã số DN:</w:t>
      </w:r>
      <w:r>
        <w:t xml:space="preserve"> </w:t>
      </w:r>
      <w:r>
        <w:rPr>
          <w:b/>
        </w:rPr>
        <w:t>[MST]</w:t>
      </w:r>
    </w:p>
    <w:p>
      <w:pPr>
        <w:spacing w:before="20" w:after="40" w:line="276" w:lineRule="auto"/>
        <w:ind w:left="360"/>
        <w:jc w:val="both"/>
      </w:pPr>
      <w:r>
        <w:rPr>
          <w:b/>
        </w:rPr>
        <w:t>Địa chỉ trụ sở:</w:t>
      </w:r>
      <w:r>
        <w:t xml:space="preserve"> </w:t>
      </w:r>
      <w:r>
        <w:rPr>
          <w:b/>
        </w:rPr>
        <w:t>[ADDRESS]</w:t>
      </w:r>
    </w:p>
    <w:p>
      <w:pPr>
        <w:spacing w:before="20" w:after="40" w:line="276" w:lineRule="auto"/>
        <w:ind w:left="360"/>
        <w:jc w:val="both"/>
      </w:pPr>
      <w:r>
        <w:rPr>
          <w:b/>
        </w:rPr>
        <w:t>Người đại diện theo pháp luật:</w:t>
      </w:r>
      <w:r>
        <w:t xml:space="preserve"> </w:t>
      </w:r>
      <w:r>
        <w:rPr>
          <w:b/>
        </w:rPr>
        <w:t>[REPRESENTATIVE]</w:t>
      </w:r>
      <w:r>
        <w:t xml:space="preserve"> — </w:t>
      </w:r>
      <w:r>
        <w:rPr>
          <w:b/>
        </w:rPr>
        <w:t>Chức vụ:</w:t>
      </w:r>
      <w:r>
        <w:t xml:space="preserve"> </w:t>
      </w:r>
      <w:r>
        <w:rPr>
          <w:b/>
        </w:rPr>
        <w:t>[TITLE]</w:t>
      </w:r>
    </w:p>
    <w:p>
      <w:pPr>
        <w:spacing w:before="20" w:after="40" w:line="276" w:lineRule="auto"/>
        <w:ind w:left="360"/>
        <w:jc w:val="both"/>
      </w:pPr>
      <w:r>
        <w:rPr>
          <w:b/>
        </w:rPr>
        <w:t>Email:</w:t>
      </w:r>
      <w:r>
        <w:t xml:space="preserve"> legal@localmate.vn / contact@localmate.vn</w:t>
      </w:r>
    </w:p>
    <w:p>
      <w:pPr>
        <w:spacing w:before="180" w:after="60" w:line="276" w:lineRule="auto"/>
        <w:jc w:val="left"/>
      </w:pPr>
      <w:r>
        <w:rPr>
          <w:b/>
          <w:color w:val="0F172A"/>
          <w:sz w:val="22"/>
        </w:rPr>
        <w:t>BÊN CHUYỂN GIAO (NHÂN SỰ / LẬP TRÌNH VIÊN / CỘNG TÁC VIÊN):</w:t>
      </w:r>
    </w:p>
    <w:p>
      <w:pPr>
        <w:spacing w:before="20" w:after="40" w:line="276" w:lineRule="auto"/>
        <w:ind w:left="360"/>
        <w:jc w:val="both"/>
      </w:pPr>
      <w:r>
        <w:rPr>
          <w:b/>
        </w:rPr>
        <w:t>Họ và tên:</w:t>
      </w:r>
      <w:r>
        <w:t xml:space="preserve"> </w:t>
      </w:r>
      <w:r>
        <w:rPr>
          <w:b/>
        </w:rPr>
        <w:t>[HỌ_TÊN_CÁ_NHÂN]</w:t>
      </w:r>
    </w:p>
    <w:p>
      <w:pPr>
        <w:spacing w:before="20" w:after="40" w:line="276" w:lineRule="auto"/>
        <w:ind w:left="360"/>
        <w:jc w:val="both"/>
      </w:pPr>
      <w:r>
        <w:rPr>
          <w:b/>
        </w:rPr>
        <w:t>Số CCCD / Hộ chiếu:</w:t>
      </w:r>
      <w:r>
        <w:t xml:space="preserve"> [SỐ_CCCD] cấp ngày [NGÀY_CẤP]</w:t>
      </w:r>
    </w:p>
    <w:p>
      <w:pPr>
        <w:spacing w:before="20" w:after="40" w:line="276" w:lineRule="auto"/>
        <w:ind w:left="360"/>
        <w:jc w:val="both"/>
      </w:pPr>
      <w:r>
        <w:rPr>
          <w:b/>
        </w:rPr>
        <w:t>Địa chỉ thường trú:</w:t>
      </w:r>
      <w:r>
        <w:t xml:space="preserve"> [ĐỊA_CHỈ_THƯỜNG_TRÚ]</w:t>
      </w:r>
    </w:p>
    <w:p>
      <w:pPr>
        <w:spacing w:before="20" w:after="40" w:line="276" w:lineRule="auto"/>
        <w:ind w:left="360"/>
        <w:jc w:val="both"/>
      </w:pPr>
      <w:r>
        <w:rPr>
          <w:b/>
        </w:rPr>
        <w:t>Số điện thoại:</w:t>
      </w:r>
      <w:r>
        <w:t xml:space="preserve"> [SĐT_CÁ_NHÂN] — </w:t>
      </w:r>
      <w:r>
        <w:rPr>
          <w:b/>
        </w:rPr>
        <w:t>Email cá nhân:</w:t>
      </w:r>
      <w:r>
        <w:t xml:space="preserve"> [EMAIL_CÁ_NHÂN]</w:t>
      </w:r>
    </w:p>
    <w:p>
      <w:pPr>
        <w:spacing w:before="20" w:after="40" w:line="276" w:lineRule="auto"/>
        <w:ind w:left="360"/>
        <w:jc w:val="both"/>
      </w:pPr>
      <w:r>
        <w:rPr>
          <w:b/>
        </w:rPr>
        <w:t>Vai trò tại Dự án:</w:t>
      </w:r>
      <w:r>
        <w:t xml:space="preserve"> [VAI_TRÒ] (Nhân viên chính thức / Kỹ sư hợp đồng / Chuyên viên tư vấn / Freelancer).</w:t>
      </w:r>
    </w:p>
    <w:p>
      <w:pPr>
        <w:spacing w:before="180" w:after="60" w:line="276" w:lineRule="auto"/>
        <w:jc w:val="left"/>
      </w:pPr>
      <w:r>
        <w:rPr>
          <w:b/>
          <w:color w:val="0F172A"/>
          <w:sz w:val="22"/>
        </w:rPr>
        <w:t>ĐIỀU 1: ĐỊNH NGHĨA SẢN PHẨM TRÍ TUỆ VÀ THÔNG TIN ĐỘC QUYỀN</w:t>
      </w:r>
    </w:p>
    <w:p>
      <w:pPr>
        <w:spacing w:before="20" w:after="60" w:line="276" w:lineRule="auto"/>
        <w:jc w:val="both"/>
      </w:pPr>
      <w:r>
        <w:t>Trong Thỏa thuận này, "Sản phẩm Trí tuệ và Sáng chế" (Inventions &amp; Intellectual Property) bao gồm:</w:t>
      </w:r>
    </w:p>
    <w:p>
      <w:pPr>
        <w:spacing w:before="20" w:after="60" w:line="276" w:lineRule="auto"/>
        <w:jc w:val="both"/>
      </w:pPr>
      <w:r>
        <w:t>1.1. Mọi ý tưởng kỹ thuật, sáng chế, giải pháp hữu ích, thuật toán, mã nguồn phần mềm (bao gồm frontend components, backend logic, serverless edge scripts, worker automations, prompts AI);</w:t>
      </w:r>
    </w:p>
    <w:p>
      <w:pPr>
        <w:spacing w:before="20" w:after="60" w:line="276" w:lineRule="auto"/>
        <w:jc w:val="both"/>
      </w:pPr>
      <w:r>
        <w:t>1.2. Mọi thiết kế đồ họa, giao diện người dùng (UI/UX wireframes, design systems trên Figma), nhãn hiệu, khẩu hiệu, logo, video, bài viết và tài liệu hướng dẫn kỹ thuật;</w:t>
      </w:r>
    </w:p>
    <w:p>
      <w:pPr>
        <w:spacing w:before="20" w:after="60" w:line="276" w:lineRule="auto"/>
        <w:jc w:val="both"/>
      </w:pPr>
      <w:r>
        <w:t>1.3. Mọi cơ sở dữ liệu, danh sách đối tác, khách hàng, chính sách giá sỉ đại lý và bí quyết kinh doanh (Know-how)</w:t>
      </w:r>
    </w:p>
    <w:p>
      <w:pPr>
        <w:spacing w:before="20" w:after="60" w:line="276" w:lineRule="auto"/>
        <w:jc w:val="both"/>
      </w:pPr>
      <w:r>
        <w:t>được sáng tạo, phát triển, hoàn thiện bởi Cá nhân (dù độc lập hay phối hợp cùng người khác) trong thời gian làm việc hoặc cộng tác với LocalMate.</w:t>
      </w:r>
    </w:p>
    <w:p>
      <w:pPr>
        <w:spacing w:before="180" w:after="60" w:line="276" w:lineRule="auto"/>
        <w:jc w:val="left"/>
      </w:pPr>
      <w:r>
        <w:rPr>
          <w:b/>
          <w:color w:val="0F172A"/>
          <w:sz w:val="22"/>
        </w:rPr>
        <w:t>ĐIỀU 2: CHUYỂN GIAO TOÀN BỘ QUYỀN SỞ HỮU TRÍ TUỆ (FULL &amp; IRREVOCABLE ASSIGNMENT)</w:t>
      </w:r>
    </w:p>
    <w:p>
      <w:pPr>
        <w:spacing w:before="20" w:after="60" w:line="276" w:lineRule="auto"/>
        <w:jc w:val="both"/>
      </w:pPr>
      <w:r>
        <w:t xml:space="preserve">2.1. </w:t>
      </w:r>
      <w:r>
        <w:rPr>
          <w:b/>
        </w:rPr>
        <w:t>Chuyển Giao Tuyệt Đối &amp; Vĩnh Viễn:</w:t>
      </w:r>
      <w:r>
        <w:t xml:space="preserve"> Cá nhân bằng văn bản này tuyên bố </w:t>
      </w:r>
      <w:r>
        <w:rPr>
          <w:b/>
        </w:rPr>
        <w:t>chuyển giao hoàn toàn, vĩnh viễn, vô điều kiện và không hủy ngang</w:t>
      </w:r>
      <w:r>
        <w:t xml:space="preserve"> toàn bộ quyền tài sản đối với tất cả các Sản phẩm Trí tuệ và Sáng chế nêu tại Điều 1 cho LocalMate ngay từ thời điểm sản phẩm đó được hình thành.</w:t>
      </w:r>
    </w:p>
    <w:p>
      <w:pPr>
        <w:spacing w:before="20" w:after="60" w:line="276" w:lineRule="auto"/>
        <w:jc w:val="both"/>
      </w:pPr>
      <w:r>
        <w:t xml:space="preserve">2.2. </w:t>
      </w:r>
      <w:r>
        <w:rPr>
          <w:b/>
        </w:rPr>
        <w:t>Công Ty Là Chủ Sở Hữu Duy Nhất:</w:t>
      </w:r>
      <w:r>
        <w:t xml:space="preserve"> LocalMate là chủ sở hữu hợp pháp duy nhất trên toàn cầu, có toàn quyền chiếm hữu, sử dụng, định đoạt, sửa đổi, cấp phép (license), bán lại hoặc chuyển nhượng cho các đối tác, đại lý (Agencies) khác mà không cần phải có sự đồng ý của Cá nhân.</w:t>
      </w:r>
    </w:p>
    <w:p>
      <w:pPr>
        <w:spacing w:before="20" w:after="60" w:line="276" w:lineRule="auto"/>
        <w:jc w:val="both"/>
      </w:pPr>
      <w:r>
        <w:t xml:space="preserve">2.3. </w:t>
      </w:r>
      <w:r>
        <w:rPr>
          <w:b/>
        </w:rPr>
        <w:t>Từ Bỏ Mọi Đòi Hỏi Về Nhuận Bút:</w:t>
      </w:r>
      <w:r>
        <w:t xml:space="preserve"> Cá nhân xác nhận rằng các khoản tiền lương, tiền công, thù lao dự án đã nhận từ LocalMate là khoản thanh toán đầy đủ, thỏa đáng và duy nhất cho việc chuyển giao quyền sở hữu trí tuệ này. Cá nhân từ bỏ vĩnh viễn mọi quyền đòi hỏi chia sẻ lợi nhuận, tiền bản quyền hoặc thù lao bổ sung khi LocalMate thương mại hóa sản phẩm.</w:t>
      </w:r>
    </w:p>
    <w:p>
      <w:pPr>
        <w:spacing w:before="180" w:after="60" w:line="276" w:lineRule="auto"/>
        <w:jc w:val="left"/>
      </w:pPr>
      <w:r>
        <w:rPr>
          <w:b/>
          <w:color w:val="0F172A"/>
          <w:sz w:val="22"/>
        </w:rPr>
        <w:t>ĐIỀU 3: BẢO VỆ MÃ NGUỒN VÀ NGUYÊN TẮC CLEAN CODE REPOSITORY</w:t>
      </w:r>
    </w:p>
    <w:p>
      <w:pPr>
        <w:spacing w:before="20" w:after="60" w:line="276" w:lineRule="auto"/>
        <w:jc w:val="both"/>
      </w:pPr>
      <w:r>
        <w:t xml:space="preserve">3.1. </w:t>
      </w:r>
      <w:r>
        <w:rPr>
          <w:b/>
        </w:rPr>
        <w:t>Cấm Tuyệt Đối Đưa Mã Nguồn Ra Ngoài:</w:t>
      </w:r>
    </w:p>
    <w:p>
      <w:pPr>
        <w:spacing w:before="20" w:after="40" w:line="276" w:lineRule="auto"/>
        <w:ind w:left="360"/>
        <w:jc w:val="both"/>
      </w:pPr>
      <w:r>
        <w:t>Cá nhân không được sao chép, tải về, gửi qua internet bất kỳ phần mã nguồn nào của LocalMate vào các tài khoản cá nhân, kho lưu trữ công cộng (GitHub cá nhân, Pastebin, Gist, Google Drive cá nhân);</w:t>
      </w:r>
    </w:p>
    <w:p>
      <w:pPr>
        <w:spacing w:before="20" w:after="40" w:line="276" w:lineRule="auto"/>
        <w:ind w:left="360"/>
        <w:jc w:val="both"/>
      </w:pPr>
      <w:r>
        <w:t>Mọi hoạt động lập trình phải được thực hiện trên kho Git được ủy quyền chính thức của LocalMate.</w:t>
      </w:r>
    </w:p>
    <w:p>
      <w:pPr>
        <w:spacing w:before="20" w:after="60" w:line="276" w:lineRule="auto"/>
        <w:jc w:val="both"/>
      </w:pPr>
      <w:r>
        <w:t xml:space="preserve">3.2. </w:t>
      </w:r>
      <w:r>
        <w:rPr>
          <w:b/>
        </w:rPr>
        <w:t>Cam Kết Mã Nguồn Sạch (Clean IP Warranty):</w:t>
      </w:r>
    </w:p>
    <w:p>
      <w:pPr>
        <w:spacing w:before="20" w:after="40" w:line="276" w:lineRule="auto"/>
        <w:ind w:left="360"/>
        <w:jc w:val="both"/>
      </w:pPr>
      <w:r>
        <w:t>Cá nhân cam kết toàn bộ mã nguồn do mình viết không chứa mã độc, cửa sau (Backdoors) hoặc mã nguồn sao chép trái phép từ các công ty cũ/bên thứ ba;</w:t>
      </w:r>
    </w:p>
    <w:p>
      <w:pPr>
        <w:spacing w:before="20" w:after="40" w:line="276" w:lineRule="auto"/>
        <w:ind w:left="360"/>
        <w:jc w:val="both"/>
      </w:pPr>
      <w:r>
        <w:t>Cá nhân không được tích hợp các thư viện nguồn mở có giấy phép mang tính lây nhiễm (Viral Copyleft License như GPLv3, AGPL) vào các sản phẩm độc quyền của LocalMate khi chưa có văn bản phê duyệt của Giám đốc Kỹ thuật.</w:t>
      </w:r>
    </w:p>
    <w:p>
      <w:pPr>
        <w:spacing w:before="180" w:after="60" w:line="276" w:lineRule="auto"/>
        <w:jc w:val="left"/>
      </w:pPr>
      <w:r>
        <w:rPr>
          <w:b/>
          <w:color w:val="0F172A"/>
          <w:sz w:val="22"/>
        </w:rPr>
        <w:t>ĐIỀU 4: NGHĨA VỤ BẢO MẬT VÔ THỜI HẠN (CONFIDENTIALITY)</w:t>
      </w:r>
    </w:p>
    <w:p>
      <w:pPr>
        <w:spacing w:before="20" w:after="60" w:line="276" w:lineRule="auto"/>
        <w:jc w:val="both"/>
      </w:pPr>
      <w:r>
        <w:t xml:space="preserve">4.1. Cá nhân cam kết giữ bí mật tuyệt đối mọi Thông tin bảo mật và Bí mật kinh doanh của LocalMate trong suốt thời gian làm việc và </w:t>
      </w:r>
      <w:r>
        <w:rPr>
          <w:b/>
        </w:rPr>
        <w:t>tiếp tục duy trì vô thời hạn sau khi chấm dứt hợp đồng</w:t>
      </w:r>
      <w:r>
        <w:t>.</w:t>
      </w:r>
    </w:p>
    <w:p>
      <w:pPr>
        <w:spacing w:before="20" w:after="60" w:line="276" w:lineRule="auto"/>
        <w:jc w:val="both"/>
      </w:pPr>
      <w:r>
        <w:t>4.2. Cá nhân không được tiết lộ, công bố hoặc sử dụng Thông tin bảo mật của LocalMate cho bất kỳ mục đích nào ngoài việc phục vụ cho lợi ích của LocalMate, trừ trường hợp cơ quan nhà nước có thẩm quyền yêu cầu theo quy định của pháp luật.</w:t>
      </w:r>
    </w:p>
    <w:p>
      <w:pPr>
        <w:spacing w:before="180" w:after="60" w:line="276" w:lineRule="auto"/>
        <w:jc w:val="left"/>
      </w:pPr>
      <w:r>
        <w:rPr>
          <w:b/>
          <w:color w:val="0F172A"/>
          <w:sz w:val="22"/>
        </w:rPr>
        <w:t>ĐIỀU 5: CAM KẾT KHÔNG CẠNH TRANH VÀ KHÔNG TRANH GIÀNH ĐẠI LÝ</w:t>
      </w:r>
    </w:p>
    <w:p>
      <w:pPr>
        <w:spacing w:before="20" w:after="60" w:line="276" w:lineRule="auto"/>
        <w:jc w:val="both"/>
      </w:pPr>
      <w:r>
        <w:t xml:space="preserve">Trong thời gian hợp tác và trong vòng </w:t>
      </w:r>
      <w:r>
        <w:rPr>
          <w:b/>
        </w:rPr>
        <w:t>12 (mười hai) tháng</w:t>
      </w:r>
      <w:r>
        <w:t xml:space="preserve"> sau khi rời khỏi LocalMate, Cá nhân cam kết:</w:t>
      </w:r>
    </w:p>
    <w:p>
      <w:pPr>
        <w:spacing w:before="20" w:after="60" w:line="276" w:lineRule="auto"/>
        <w:jc w:val="both"/>
      </w:pPr>
      <w:r>
        <w:t>5.1. Không sử dụng các giải pháp công nghệ, giao diện hoặc mô hình đại lý của LocalMate để mở công ty hoặc cung ứng dịch vụ cạnh tranh trực tiếp;</w:t>
      </w:r>
    </w:p>
    <w:p>
      <w:pPr>
        <w:spacing w:before="20" w:after="60" w:line="276" w:lineRule="auto"/>
        <w:jc w:val="both"/>
      </w:pPr>
      <w:r>
        <w:t>5.2. Không liên hệ chào mời bất kỳ khách hàng, đại lý nào đang làm việc với LocalMate để chuyển đổi nhà cung cấp;</w:t>
      </w:r>
    </w:p>
    <w:p>
      <w:pPr>
        <w:spacing w:before="20" w:after="60" w:line="276" w:lineRule="auto"/>
        <w:jc w:val="both"/>
      </w:pPr>
      <w:r>
        <w:t>5.3. Không lôi kéo, rủ rê bất kỳ nhân sự nào đang công tác tại LocalMate nghỉ việc.</w:t>
      </w:r>
    </w:p>
    <w:p>
      <w:pPr>
        <w:spacing w:before="180" w:after="60" w:line="276" w:lineRule="auto"/>
        <w:jc w:val="left"/>
      </w:pPr>
      <w:r>
        <w:rPr>
          <w:b/>
          <w:color w:val="0F172A"/>
          <w:sz w:val="22"/>
        </w:rPr>
        <w:t>ĐIỀU 6: CHẾ TÀI XỬ LÝ VI PHẠM &amp; BỒI THƯỜNG THIỆT HẠI</w:t>
      </w:r>
    </w:p>
    <w:p>
      <w:pPr>
        <w:spacing w:before="20" w:after="60" w:line="276" w:lineRule="auto"/>
        <w:jc w:val="both"/>
      </w:pPr>
      <w:r>
        <w:t>6.1. Trường hợp Cá nhân vi phạm bất kỳ cam kết nào tại Thỏa thuận này:</w:t>
      </w:r>
    </w:p>
    <w:p>
      <w:pPr>
        <w:spacing w:before="20" w:after="40" w:line="276" w:lineRule="auto"/>
        <w:ind w:left="360"/>
        <w:jc w:val="both"/>
      </w:pPr>
      <w:r>
        <w:t>Bị chấm dứt ngay lập tức mọi hợp đồng lao động/hợp đồng dịch vụ mà không được hưởng bất kỳ khoản bồi thường nào;</w:t>
      </w:r>
    </w:p>
    <w:p>
      <w:pPr>
        <w:spacing w:before="20" w:after="40" w:line="276" w:lineRule="auto"/>
        <w:ind w:left="360"/>
        <w:jc w:val="both"/>
      </w:pPr>
      <w:r>
        <w:t>Bồi thường toàn bộ 100% thiệt hại thực tế phát sinh cho LocalMate;</w:t>
      </w:r>
    </w:p>
    <w:p>
      <w:pPr>
        <w:spacing w:before="20" w:after="40" w:line="276" w:lineRule="auto"/>
        <w:ind w:left="360"/>
        <w:jc w:val="both"/>
      </w:pPr>
      <w:r>
        <w:t>Bị thu hồi toàn bộ số tiền thù lao, thưởng dự án đã nhận đối với phần việc bị vi phạm;</w:t>
      </w:r>
    </w:p>
    <w:p>
      <w:pPr>
        <w:spacing w:before="20" w:after="40" w:line="276" w:lineRule="auto"/>
        <w:ind w:left="360"/>
        <w:jc w:val="both"/>
      </w:pPr>
      <w:r>
        <w:t>LocalMate có quyền áp dụng các biện pháp khẩn cấp tạm thời tại Tòa án và yêu cầu cơ quan công an khởi tố vụ án hình sự nếu phát hiện hành vi cố ý chiếm đoạt bí mật công nghệ theo Bộ luật Hình sự.</w:t>
      </w:r>
    </w:p>
    <w:p>
      <w:pPr>
        <w:spacing w:before="180" w:after="60" w:line="276" w:lineRule="auto"/>
        <w:jc w:val="left"/>
      </w:pPr>
      <w:r>
        <w:rPr>
          <w:b/>
          <w:color w:val="0F172A"/>
          <w:sz w:val="22"/>
        </w:rPr>
        <w:t>ĐIỀU 7: ĐIỀU KHOẢN CHUNG</w:t>
      </w:r>
    </w:p>
    <w:p>
      <w:pPr>
        <w:spacing w:before="20" w:after="60" w:line="276" w:lineRule="auto"/>
        <w:jc w:val="both"/>
      </w:pPr>
      <w:r>
        <w:t>7.1. Thỏa thuận này được điều chỉnh và giải thích theo pháp luật nước Cộng hòa Xã hội Chủ nghĩa Việt Nam.</w:t>
      </w:r>
    </w:p>
    <w:p>
      <w:pPr>
        <w:spacing w:before="20" w:after="60" w:line="276" w:lineRule="auto"/>
        <w:jc w:val="both"/>
      </w:pPr>
      <w:r>
        <w:t>7.2. Mọi tranh chấp nếu không hòa giải được sẽ được giải quyết tại Tòa án nhân dân có thẩm quyền tại Hà Nội.</w:t>
      </w:r>
    </w:p>
    <w:p>
      <w:pPr>
        <w:spacing w:before="20" w:after="60" w:line="276" w:lineRule="auto"/>
        <w:jc w:val="both"/>
      </w:pPr>
      <w:r>
        <w:t xml:space="preserve">7.3. Thỏa thuận được lập thành </w:t>
      </w:r>
      <w:r>
        <w:rPr>
          <w:b/>
        </w:rPr>
        <w:t>02 (hai) bản gốc</w:t>
      </w:r>
      <w:r>
        <w:t xml:space="preserve"> có giá trị pháp lý như nhau, mỗi Bên giữ 01 (một) bản để thực hiện.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CÔNG TY (LOCALMATE)</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CÁ NHÂN CAM KẾT CHUYỂN GIAO IP</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[LOCALMATE_LEGAL_NAME]</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[HỌ_TÊN_CÁ_NHÂN]</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i/>
              </w:rPr>
              <w:t>(Ký và ghi rõ họ tên)</w:t>
            </w:r>
          </w:p>
        </w:tc>
      </w:tr>
      <w:tr>
        <w:trPr>
          <w:cantSplit/>
        </w:trPr>
        <w:tc>
          <w:tcPr>
            <w:tcW w:type="dxa" w:w="4867"/>
            <w:vAlign w:val="center"/>
            <w:tcW w:w="4867" w:type="dxa"/>
            <w:tcMar>
              <w:top w:w="80" w:type="dxa"/>
              <w:bottom w:w="80" w:type="dxa"/>
              <w:left w:w="100" w:type="dxa"/>
              <w:right w:w="100" w:type="dxa"/>
            </w:tcMar>
            <w:shd w:fill="FFFFFF"/>
          </w:tcPr>
          <w:p>
            <w:r/>
          </w:p>
        </w:tc>
        <w:tc>
          <w:tcPr>
            <w:tcW w:type="dxa" w:w="4882"/>
            <w:vAlign w:val="center"/>
            <w:tcW w:w="4881" w:type="dxa"/>
            <w:tcMar>
              <w:top w:w="80" w:type="dxa"/>
              <w:bottom w:w="80" w:type="dxa"/>
              <w:left w:w="100" w:type="dxa"/>
              <w:right w:w="100" w:type="dxa"/>
            </w:tcMar>
            <w:shd w:fill="FFFFFF"/>
          </w:tcPr>
          <w:p>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b/>
              </w:rPr>
              <w:t>[REPRESENTATIVE]</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b/>
              </w:rPr>
              <w:t>[HỌ_TÊN_CÁ_NHÂN]</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t>Chức vụ: [TITLE]</w:t>
            </w:r>
          </w:p>
        </w:tc>
        <w:tc>
          <w:tcPr>
            <w:tcW w:type="dxa" w:w="4882"/>
            <w:vAlign w:val="center"/>
            <w:tcW w:w="4881" w:type="dxa"/>
            <w:tcMar>
              <w:top w:w="80" w:type="dxa"/>
              <w:bottom w:w="80" w:type="dxa"/>
              <w:left w:w="100" w:type="dxa"/>
              <w:right w:w="100" w:type="dxa"/>
            </w:tcMar>
            <w:shd w:fill="FFFFFF"/>
          </w:tcPr>
          <w:p>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