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TÀI LIỆU RÀ SOÁT CĂN CỨ PHÁP LUẬT ÁP DỤNG CHO HỆ THỐNG PHÁP LÝ LOCALMATE</w:t>
      </w:r>
    </w:p>
    <w:p>
      <w:pPr>
        <w:spacing w:after="80" w:before="0" w:line="276" w:lineRule="auto"/>
        <w:jc w:val="left"/>
      </w:pPr>
      <w:r>
        <w:rPr>
          <w:b/>
        </w:rPr>
        <w:t>Thời điểm rà soát và hiệu lực:</w:t>
      </w:r>
      <w:r>
        <w:t xml:space="preserve"> Tháng 09/2026 (Mốc hiện tại)  </w:t>
      </w:r>
    </w:p>
    <w:p>
      <w:pPr>
        <w:spacing w:after="80" w:before="0" w:line="276" w:lineRule="auto"/>
        <w:jc w:val="left"/>
      </w:pPr>
      <w:r>
        <w:rPr>
          <w:b/>
        </w:rPr>
        <w:t>Đơn vị vận hành thương hiệu:</w:t>
      </w:r>
      <w:r>
        <w:t xml:space="preserve"> LocalMate — Người đồng hành số cho doanh nghiệp địa phương (Website: localmate.vn)  </w:t>
      </w:r>
    </w:p>
    <w:p>
      <w:pPr>
        <w:spacing w:after="80" w:before="0" w:line="276" w:lineRule="auto"/>
        <w:jc w:val="left"/>
      </w:pPr>
      <w:r>
        <w:rPr>
          <w:b/>
        </w:rPr>
        <w:t>Nhóm chuyên gia thực hiện:</w:t>
      </w:r>
      <w:r>
        <w:t xml:space="preserve"> Hội đồng Pháp chế Toàn diện LocalMate (10 Chuyên gia Subagents)</w:t>
      </w:r>
    </w:p>
    <w:p>
      <w:pPr>
        <w:spacing w:after="120" w:before="80"/>
      </w:pPr>
      <w:r>
        <w:rPr>
          <w:color w:val="CBD5E1"/>
        </w:rPr>
        <w:t>―――――――――――――――――――――――――――――――――――――――――――――――――――――――</w:t>
      </w:r>
    </w:p>
    <w:p>
      <w:pPr>
        <w:spacing w:before="200" w:after="80" w:line="276" w:lineRule="auto"/>
        <w:jc w:val="left"/>
      </w:pPr>
      <w:r>
        <w:rPr>
          <w:b/>
          <w:color w:val="0D7647"/>
          <w:sz w:val="26"/>
        </w:rPr>
        <w:t>I. NGUYÊN TẮC ÁP DỤNG PHÁP LUẬT VÀ TƯ CÁCH PHÁP LÝ</w:t>
      </w:r>
    </w:p>
    <w:p>
      <w:pPr>
        <w:spacing w:before="160" w:after="60"/>
      </w:pPr>
      <w:r>
        <w:rPr>
          <w:b/>
          <w:color w:val="0D7647"/>
          <w:sz w:val="23"/>
        </w:rPr>
        <w:t>1. Checklist Xác định Hình thức Pháp nhân LocalMate</w:t>
      </w:r>
    </w:p>
    <w:p>
      <w:pPr>
        <w:spacing w:after="80" w:before="0" w:line="276" w:lineRule="auto"/>
        <w:jc w:val="left"/>
      </w:pPr>
      <w:r>
        <w:t>Mọi tài liệu hợp đồng của LocalMate sử dụng hệ thống biến số định danh chuẩn (Placeholder). Trước khi ký kết, Người đại diện LocalMate tích chọn mô hình pháp lý tương ứng:</w:t>
      </w:r>
    </w:p>
    <w:p>
      <w:pPr>
        <w:spacing w:after="60" w:before="20" w:line="276" w:lineRule="auto"/>
        <w:ind w:left="360"/>
        <w:jc w:val="left"/>
      </w:pPr>
      <w:r>
        <w:t xml:space="preserve">•  [ ] </w:t>
      </w:r>
      <w:r>
        <w:rPr>
          <w:b/>
        </w:rPr>
        <w:t>Công ty TNHH / Công ty Cổ phần:</w:t>
      </w:r>
    </w:p>
    <w:p>
      <w:pPr>
        <w:spacing w:after="60" w:before="20" w:line="276" w:lineRule="auto"/>
        <w:ind w:left="360"/>
        <w:jc w:val="left"/>
      </w:pPr>
      <w:r>
        <w:rPr>
          <w:i/>
        </w:rPr>
        <w:t>•  Thuế:</w:t>
      </w:r>
      <w:r>
        <w:t xml:space="preserve"> Xuất hóa đơn GTGT điện tử thuế suất 10% (hoặc 8% nếu thuộc diện giảm thuế theo chính sách từng thời kỳ); nộp thuế TNDN 20% trên lợi nhuận chịu thuế.</w:t>
      </w:r>
    </w:p>
    <w:p>
      <w:pPr>
        <w:spacing w:after="60" w:before="20" w:line="276" w:lineRule="auto"/>
        <w:ind w:left="360"/>
        <w:jc w:val="left"/>
      </w:pPr>
      <w:r>
        <w:rPr>
          <w:i/>
        </w:rPr>
        <w:t>•  Thẩm quyền ký:</w:t>
      </w:r>
      <w:r>
        <w:t xml:space="preserve"> Người đại diện theo pháp luật hoặc người được ủy quyền hợp pháp bằng văn bản.</w:t>
      </w:r>
    </w:p>
    <w:p>
      <w:pPr>
        <w:spacing w:after="60" w:before="20" w:line="276" w:lineRule="auto"/>
        <w:ind w:left="360"/>
        <w:jc w:val="left"/>
      </w:pPr>
      <w:r>
        <w:t xml:space="preserve">•  [ ] </w:t>
      </w:r>
      <w:r>
        <w:rPr>
          <w:b/>
        </w:rPr>
        <w:t>Hộ kinh doanh cá thể (HKD):</w:t>
      </w:r>
    </w:p>
    <w:p>
      <w:pPr>
        <w:spacing w:after="60" w:before="20" w:line="276" w:lineRule="auto"/>
        <w:ind w:left="360"/>
        <w:jc w:val="left"/>
      </w:pPr>
      <w:r>
        <w:rPr>
          <w:i/>
        </w:rPr>
        <w:t>•  Thuế:</w:t>
      </w:r>
      <w:r>
        <w:t xml:space="preserve"> Nộp thuế theo phương pháp kê khai hoặc khoán (Thuế GTGT 5% + Thuế TNCN 2% = 7% trên tổng doanh thu dịch vụ theo Thông tư 40/2021/TT-BTC). Xuất hóa đơn bán hàng điện tử có mã của cơ quan thuế.</w:t>
      </w:r>
    </w:p>
    <w:p>
      <w:pPr>
        <w:spacing w:after="60" w:before="20" w:line="276" w:lineRule="auto"/>
        <w:ind w:left="360"/>
        <w:jc w:val="left"/>
      </w:pPr>
      <w:r>
        <w:rPr>
          <w:i/>
        </w:rPr>
        <w:t>•  Thẩm quyền ký:</w:t>
      </w:r>
      <w:r>
        <w:t xml:space="preserve"> Chủ hộ kinh doanh đứng tên trên Giấy chứng nhận đăng ký hộ kinh doanh.</w:t>
      </w:r>
    </w:p>
    <w:p>
      <w:pPr>
        <w:spacing w:after="60" w:before="20" w:line="276" w:lineRule="auto"/>
        <w:ind w:left="360"/>
        <w:jc w:val="left"/>
      </w:pPr>
      <w:r>
        <w:t xml:space="preserve">•  [ ] </w:t>
      </w:r>
      <w:r>
        <w:rPr>
          <w:b/>
        </w:rPr>
        <w:t>Cá nhân kinh doanh độc lập:</w:t>
      </w:r>
    </w:p>
    <w:p>
      <w:pPr>
        <w:spacing w:after="60" w:before="20" w:line="276" w:lineRule="auto"/>
        <w:ind w:left="360"/>
        <w:jc w:val="left"/>
      </w:pPr>
      <w:r>
        <w:rPr>
          <w:i/>
        </w:rPr>
        <w:t>•  Thuế:</w:t>
      </w:r>
      <w:r>
        <w:t xml:space="preserve"> Doanh nghiệp chi trả khấu trừ 10% thuế TNCN tại nguồn nếu thanh toán từ 2.000.000 VNĐ/lần (Thông tư 111/2013/TT-BTC), hoặc cá nhân tự kê khai nộp 7% thuế nếu có mã số thuế kinh doanh. Không xuất được hóa đơn GTGT.</w:t>
      </w:r>
    </w:p>
    <w:p>
      <w:pPr>
        <w:spacing w:after="60" w:before="20" w:line="276" w:lineRule="auto"/>
        <w:ind w:left="360"/>
        <w:jc w:val="left"/>
      </w:pPr>
      <w:r>
        <w:t xml:space="preserve">•  [ ] </w:t>
      </w:r>
      <w:r>
        <w:rPr>
          <w:b/>
        </w:rPr>
        <w:t>Hình thức khác (Văn phòng đại diện / Hợp tác kinh doanh BBC):</w:t>
      </w:r>
    </w:p>
    <w:p>
      <w:pPr>
        <w:spacing w:after="80" w:before="0" w:line="276" w:lineRule="auto"/>
        <w:jc w:val="left"/>
      </w:pPr>
      <w:r>
        <w:rPr>
          <w:i/>
        </w:rPr>
        <w:t>Biến số định danh chuẩn sử dụng trong toàn bộ hợp đồng:</w:t>
      </w:r>
    </w:p>
    <w:p>
      <w:pPr>
        <w:spacing w:after="60" w:before="20" w:line="276" w:lineRule="auto"/>
        <w:ind w:left="360"/>
        <w:jc w:val="left"/>
      </w:pPr>
      <w:r>
        <w:t xml:space="preserve">•  Tên pháp lý: </w:t>
      </w:r>
      <w:r>
        <w:rPr>
          <w:rFonts w:ascii="Consolas" w:hAnsi="Consolas"/>
          <w:color w:val="B42828"/>
          <w:sz w:val="20"/>
        </w:rPr>
        <w:t>[LOCALMATE_LEGAL_NAME]</w:t>
      </w:r>
    </w:p>
    <w:p>
      <w:pPr>
        <w:spacing w:after="60" w:before="20" w:line="276" w:lineRule="auto"/>
        <w:ind w:left="360"/>
        <w:jc w:val="left"/>
      </w:pPr>
      <w:r>
        <w:t xml:space="preserve">•  Mã số thuế / Mã số doanh nghiệp: </w:t>
      </w:r>
      <w:r>
        <w:rPr>
          <w:rFonts w:ascii="Consolas" w:hAnsi="Consolas"/>
          <w:color w:val="B42828"/>
          <w:sz w:val="20"/>
        </w:rPr>
        <w:t>[MST]</w:t>
      </w:r>
    </w:p>
    <w:p>
      <w:pPr>
        <w:spacing w:after="60" w:before="20" w:line="276" w:lineRule="auto"/>
        <w:ind w:left="360"/>
        <w:jc w:val="left"/>
      </w:pPr>
      <w:r>
        <w:t xml:space="preserve">•  Địa chỉ trụ sở: </w:t>
      </w:r>
      <w:r>
        <w:rPr>
          <w:rFonts w:ascii="Consolas" w:hAnsi="Consolas"/>
          <w:color w:val="B42828"/>
          <w:sz w:val="20"/>
        </w:rPr>
        <w:t>[ADDRESS]</w:t>
      </w:r>
    </w:p>
    <w:p>
      <w:pPr>
        <w:spacing w:after="60" w:before="20" w:line="276" w:lineRule="auto"/>
        <w:ind w:left="360"/>
        <w:jc w:val="left"/>
      </w:pPr>
      <w:r>
        <w:t xml:space="preserve">•  Người đại diện: </w:t>
      </w:r>
      <w:r>
        <w:rPr>
          <w:rFonts w:ascii="Consolas" w:hAnsi="Consolas"/>
          <w:color w:val="B42828"/>
          <w:sz w:val="20"/>
        </w:rPr>
        <w:t>[REPRESENTATIVE]</w:t>
      </w:r>
    </w:p>
    <w:p>
      <w:pPr>
        <w:spacing w:after="60" w:before="20" w:line="276" w:lineRule="auto"/>
        <w:ind w:left="360"/>
        <w:jc w:val="left"/>
      </w:pPr>
      <w:r>
        <w:t xml:space="preserve">•  Chức danh: </w:t>
      </w:r>
      <w:r>
        <w:rPr>
          <w:rFonts w:ascii="Consolas" w:hAnsi="Consolas"/>
          <w:color w:val="B42828"/>
          <w:sz w:val="20"/>
        </w:rPr>
        <w:t>[TITLE]</w:t>
      </w:r>
    </w:p>
    <w:p>
      <w:pPr>
        <w:spacing w:after="60" w:before="20" w:line="276" w:lineRule="auto"/>
        <w:ind w:left="360"/>
        <w:jc w:val="left"/>
      </w:pPr>
      <w:r>
        <w:t xml:space="preserve">•  Số điện thoại: </w:t>
      </w:r>
      <w:r>
        <w:rPr>
          <w:rFonts w:ascii="Consolas" w:hAnsi="Consolas"/>
          <w:color w:val="B42828"/>
          <w:sz w:val="20"/>
        </w:rPr>
        <w:t>[PHONE]</w:t>
      </w:r>
      <w:r>
        <w:t xml:space="preserve"> (Hotline: 0834.422.439)</w:t>
      </w:r>
    </w:p>
    <w:p>
      <w:pPr>
        <w:spacing w:after="60" w:before="20" w:line="276" w:lineRule="auto"/>
        <w:ind w:left="360"/>
        <w:jc w:val="left"/>
      </w:pPr>
      <w:r>
        <w:t xml:space="preserve">•  Email giao dịch: </w:t>
      </w:r>
      <w:r>
        <w:rPr>
          <w:rFonts w:ascii="Consolas" w:hAnsi="Consolas"/>
          <w:color w:val="B42828"/>
          <w:sz w:val="20"/>
        </w:rPr>
        <w:t>[EMAIL]</w:t>
      </w:r>
      <w:r>
        <w:t xml:space="preserve"> (contact@localmate.vn)</w:t>
      </w:r>
    </w:p>
    <w:p>
      <w:pPr>
        <w:spacing w:after="60" w:before="20" w:line="276" w:lineRule="auto"/>
        <w:ind w:left="360"/>
        <w:jc w:val="left"/>
      </w:pPr>
      <w:r>
        <w:t xml:space="preserve">•  Tài khoản ngân hàng: </w:t>
      </w:r>
      <w:r>
        <w:rPr>
          <w:rFonts w:ascii="Consolas" w:hAnsi="Consolas"/>
          <w:color w:val="B42828"/>
          <w:sz w:val="20"/>
        </w:rPr>
        <w:t>[BANK]</w:t>
      </w:r>
      <w:r>
        <w:t xml:space="preserve"> — Số tài khoản: </w:t>
      </w:r>
      <w:r>
        <w:rPr>
          <w:rFonts w:ascii="Consolas" w:hAnsi="Consolas"/>
          <w:color w:val="B42828"/>
          <w:sz w:val="20"/>
        </w:rPr>
        <w:t>[ACCOUNT_NUMBER]</w:t>
      </w:r>
    </w:p>
    <w:p>
      <w:pPr>
        <w:spacing w:after="120" w:before="80"/>
      </w:pPr>
      <w:r>
        <w:rPr>
          <w:color w:val="CBD5E1"/>
        </w:rPr>
        <w:t>―――――――――――――――――――――――――――――――――――――――――――――――――――――――</w:t>
      </w:r>
    </w:p>
    <w:p>
      <w:pPr>
        <w:spacing w:before="200" w:after="80" w:line="276" w:lineRule="auto"/>
        <w:jc w:val="center"/>
      </w:pPr>
      <w:r>
        <w:rPr>
          <w:b/>
          <w:color w:val="0D7647"/>
          <w:sz w:val="26"/>
        </w:rPr>
        <w:t>II. DANH MỤC CÁC ĐẠO LUẬT VÀ NGHỊ ĐỊNH CỐT LÕI (CẬP NHẬT HIỆU LỰC 2026)</w:t>
      </w:r>
    </w:p>
    <w:p>
      <w:pPr>
        <w:spacing w:before="160" w:after="60"/>
      </w:pPr>
      <w:r>
        <w:rPr>
          <w:b/>
          <w:color w:val="0D7647"/>
          <w:sz w:val="23"/>
        </w:rPr>
        <w:t>1. Lĩnh vực Hợp đồng Dân sự và Thương mại</w:t>
      </w:r>
    </w:p>
    <w:p>
      <w:pPr>
        <w:spacing w:after="60" w:before="20" w:line="276" w:lineRule="auto"/>
        <w:ind w:left="360"/>
        <w:jc w:val="left"/>
      </w:pPr>
      <w:r>
        <w:rPr>
          <w:b/>
        </w:rPr>
        <w:t>•  Bộ luật Dân sự số 91/2015/QH13:</w:t>
      </w:r>
    </w:p>
    <w:p>
      <w:pPr>
        <w:spacing w:after="60" w:before="20" w:line="276" w:lineRule="auto"/>
        <w:ind w:left="360"/>
        <w:jc w:val="left"/>
      </w:pPr>
      <w:r>
        <w:rPr>
          <w:i/>
        </w:rPr>
        <w:t>•  Điều 328:</w:t>
      </w:r>
      <w:r>
        <w:t xml:space="preserve"> Quy chế đặt cọc bảo đảm giao kết và thực hiện hợp đồng. Phân biệt rõ tiền đặt cọc và tiền trả trước (Án lệ 25/2018/AL).</w:t>
      </w:r>
    </w:p>
    <w:p>
      <w:pPr>
        <w:spacing w:after="60" w:before="20" w:line="276" w:lineRule="auto"/>
        <w:ind w:left="360"/>
        <w:jc w:val="left"/>
      </w:pPr>
      <w:r>
        <w:rPr>
          <w:i/>
        </w:rPr>
        <w:t>•  Điều 351, 156:</w:t>
      </w:r>
      <w:r>
        <w:t xml:space="preserve"> Căn cứ miễn trách nhiệm dân sự do sự kiện bất khả kháng và do lỗi hoàn toàn của bên có quyền.</w:t>
      </w:r>
    </w:p>
    <w:p>
      <w:pPr>
        <w:spacing w:after="60" w:before="20" w:line="276" w:lineRule="auto"/>
        <w:ind w:left="360"/>
        <w:jc w:val="left"/>
      </w:pPr>
      <w:r>
        <w:rPr>
          <w:i/>
        </w:rPr>
        <w:t>•  Điều 360, 419:</w:t>
      </w:r>
      <w:r>
        <w:t xml:space="preserve"> Trách nhiệm bồi thường toàn bộ thiệt hại thực tế trực tiếp phát sinh.</w:t>
      </w:r>
    </w:p>
    <w:p>
      <w:pPr>
        <w:spacing w:after="60" w:before="20" w:line="276" w:lineRule="auto"/>
        <w:ind w:left="360"/>
        <w:jc w:val="left"/>
      </w:pPr>
      <w:r>
        <w:rPr>
          <w:i/>
        </w:rPr>
        <w:t>•  Điều 418:</w:t>
      </w:r>
      <w:r>
        <w:t xml:space="preserve"> Chế tài phạt vi phạm theo thỏa thuận.</w:t>
      </w:r>
    </w:p>
    <w:p>
      <w:pPr>
        <w:spacing w:after="60" w:before="20" w:line="276" w:lineRule="auto"/>
        <w:ind w:left="360"/>
        <w:jc w:val="left"/>
      </w:pPr>
      <w:r>
        <w:rPr>
          <w:i/>
        </w:rPr>
        <w:t>•  Điều 513 - 521:</w:t>
      </w:r>
      <w:r>
        <w:t xml:space="preserve"> Hợp đồng dịch vụ, quyền và nghĩa vụ các bên, chế tài đơn phương chấm dứt hợp đồng (Điều 520).</w:t>
      </w:r>
    </w:p>
    <w:p>
      <w:pPr>
        <w:spacing w:after="60" w:before="20" w:line="276" w:lineRule="auto"/>
        <w:ind w:left="360"/>
        <w:jc w:val="left"/>
      </w:pPr>
      <w:r>
        <w:rPr>
          <w:i/>
        </w:rPr>
        <w:t>•  Điều 405, 406:</w:t>
      </w:r>
      <w:r>
        <w:t xml:space="preserve"> Kiểm soát hợp đồng theo mẫu, phòng chống điều khoản vô hiệu.</w:t>
      </w:r>
    </w:p>
    <w:p>
      <w:pPr>
        <w:spacing w:after="60" w:before="20" w:line="276" w:lineRule="auto"/>
        <w:ind w:left="360"/>
        <w:jc w:val="left"/>
      </w:pPr>
      <w:r>
        <w:rPr>
          <w:b/>
        </w:rPr>
        <w:t>•  Luật Thương mại số 36/2005/QH11:</w:t>
      </w:r>
    </w:p>
    <w:p>
      <w:pPr>
        <w:spacing w:after="60" w:before="20" w:line="276" w:lineRule="auto"/>
        <w:ind w:left="360"/>
        <w:jc w:val="left"/>
      </w:pPr>
      <w:r>
        <w:rPr>
          <w:i/>
        </w:rPr>
        <w:t>•  Điều 74 - 87:</w:t>
      </w:r>
      <w:r>
        <w:t xml:space="preserve"> Cung ứng dịch vụ thương mại.</w:t>
      </w:r>
    </w:p>
    <w:p>
      <w:pPr>
        <w:spacing w:after="60" w:before="20" w:line="276" w:lineRule="auto"/>
        <w:ind w:left="360"/>
        <w:jc w:val="left"/>
      </w:pPr>
      <w:r>
        <w:rPr>
          <w:i/>
        </w:rPr>
        <w:t>•  Điều 79 vs Điều 80:</w:t>
      </w:r>
      <w:r>
        <w:t xml:space="preserve"> Phân định nghĩa vụ theo kết quả (Result-based) đối với phần việc kỹ thuật cụ thể và nghĩa vụ theo nỗ lực cao nhất (Best Efforts) đối với dịch vụ phụ thuộc thuật toán và thị trường (SEO, Ads).</w:t>
      </w:r>
    </w:p>
    <w:p>
      <w:pPr>
        <w:spacing w:after="60" w:before="20" w:line="276" w:lineRule="auto"/>
        <w:ind w:left="360"/>
        <w:jc w:val="left"/>
      </w:pPr>
      <w:r>
        <w:rPr>
          <w:i/>
        </w:rPr>
        <w:t>•  Điều 294:</w:t>
      </w:r>
      <w:r>
        <w:t xml:space="preserve"> Căn cứ miễn trách nhiệm hợp đồng thương mại theo thỏa thuận.</w:t>
      </w:r>
    </w:p>
    <w:p>
      <w:pPr>
        <w:spacing w:after="60" w:before="20" w:line="276" w:lineRule="auto"/>
        <w:ind w:left="360"/>
        <w:jc w:val="left"/>
      </w:pPr>
      <w:r>
        <w:rPr>
          <w:i/>
        </w:rPr>
        <w:t>•  Điều 301:</w:t>
      </w:r>
      <w:r>
        <w:t xml:space="preserve"> Khống chế mức trần phạt vi phạm tối đa </w:t>
      </w:r>
      <w:r>
        <w:rPr>
          <w:b/>
        </w:rPr>
        <w:t>8% giá trị phần nghĩa vụ hợp đồng bị vi phạm</w:t>
      </w:r>
      <w:r>
        <w:t>.</w:t>
      </w:r>
    </w:p>
    <w:p>
      <w:pPr>
        <w:spacing w:after="60" w:before="20" w:line="276" w:lineRule="auto"/>
        <w:ind w:left="360"/>
        <w:jc w:val="left"/>
      </w:pPr>
      <w:r>
        <w:rPr>
          <w:i/>
        </w:rPr>
        <w:t>•  Điều 302 - 307:</w:t>
      </w:r>
      <w:r>
        <w:t xml:space="preserve"> Bồi thường thiệt hại thương mại (chỉ bồi thường tổn thất thực tế, trực tiếp và khoản lợi trực tiếp bị bỏ lỡ; không bồi thường thiệt hại gián tiếp).</w:t>
      </w:r>
    </w:p>
    <w:p>
      <w:pPr>
        <w:spacing w:after="60" w:before="20" w:line="276" w:lineRule="auto"/>
        <w:ind w:left="360"/>
        <w:jc w:val="left"/>
      </w:pPr>
      <w:r>
        <w:rPr>
          <w:i/>
        </w:rPr>
        <w:t>•  Điều 306:</w:t>
      </w:r>
      <w:r>
        <w:t xml:space="preserve"> Tiền lãi chậm trả tính theo lãi suất nợ quá hạn trung bình trên thị trường.</w:t>
      </w:r>
    </w:p>
    <w:p>
      <w:pPr>
        <w:spacing w:after="60" w:before="20" w:line="276" w:lineRule="auto"/>
        <w:ind w:left="360"/>
        <w:jc w:val="left"/>
      </w:pPr>
      <w:r>
        <w:rPr>
          <w:b/>
        </w:rPr>
        <w:t>•  Luật Bảo vệ quyền lợi người tiêu dùng số 19/2023/QH15 (Hiệu lực từ 01/07/2024):</w:t>
      </w:r>
    </w:p>
    <w:p>
      <w:pPr>
        <w:spacing w:after="60" w:before="20" w:line="276" w:lineRule="auto"/>
        <w:ind w:left="360"/>
        <w:jc w:val="left"/>
      </w:pPr>
      <w:r>
        <w:rPr>
          <w:i/>
        </w:rPr>
        <w:t>•  Phạm vi áp dụng:</w:t>
      </w:r>
      <w:r>
        <w:t xml:space="preserve"> Khách hàng SME, Hộ kinh doanh ký hợp đồng xúc tiến bán hàng, phát triển kinh doanh là giao dịch thương mại B2B, </w:t>
      </w:r>
      <w:r>
        <w:rPr>
          <w:b/>
        </w:rPr>
        <w:t>không áp dụng Luật BVQLNTD</w:t>
      </w:r>
      <w:r>
        <w:t>.</w:t>
      </w:r>
    </w:p>
    <w:p>
      <w:pPr>
        <w:spacing w:after="60" w:before="20" w:line="276" w:lineRule="auto"/>
        <w:ind w:left="360"/>
        <w:jc w:val="left"/>
      </w:pPr>
      <w:r>
        <w:rPr>
          <w:i/>
        </w:rPr>
        <w:t>•  Lưu ý áp dụng:</w:t>
      </w:r>
      <w:r>
        <w:t xml:space="preserve"> Website Terms of Service (ToS) công khai trên localmate.vn phải tuân thủ Điều 25 về 11 nhóm điều khoản bị cấm đối với người dùng đại chúng.</w:t>
      </w:r>
    </w:p>
    <w:p>
      <w:pPr>
        <w:spacing w:before="160" w:after="60"/>
      </w:pPr>
      <w:r>
        <w:rPr>
          <w:b/>
          <w:color w:val="0D7647"/>
          <w:sz w:val="23"/>
        </w:rPr>
        <w:t>2. Lĩnh vực Quảng cáo &amp; Digital Marketing</w:t>
      </w:r>
    </w:p>
    <w:p>
      <w:pPr>
        <w:spacing w:after="60" w:before="20" w:line="276" w:lineRule="auto"/>
        <w:ind w:left="360"/>
        <w:jc w:val="left"/>
      </w:pPr>
      <w:r>
        <w:rPr>
          <w:b/>
        </w:rPr>
        <w:t>•  Luật Quảng cáo số 16/2012/QH13 &amp; Luật số 75/2025/QH15 (sửa đổi, bổ sung Luật Quảng cáo, có hiệu lực từ 01/01/2026):</w:t>
      </w:r>
    </w:p>
    <w:p>
      <w:pPr>
        <w:spacing w:after="60" w:before="20" w:line="276" w:lineRule="auto"/>
        <w:ind w:left="360"/>
        <w:jc w:val="left"/>
      </w:pPr>
      <w:r>
        <w:rPr>
          <w:i/>
        </w:rPr>
        <w:t>•  Điều 2, 12, 13, 14:</w:t>
      </w:r>
      <w:r>
        <w:t xml:space="preserve"> Phân định 4 chủ thể: Người quảng cáo (Khách hàng) vs Người kinh doanh dịch vụ quảng cáo (LocalMate) vs Người phát hành quảng cáo (Google, Meta) vs Người chuyển tải quảng cáo (KOL/KOC).</w:t>
      </w:r>
    </w:p>
    <w:p>
      <w:pPr>
        <w:spacing w:after="60" w:before="20" w:line="276" w:lineRule="auto"/>
        <w:ind w:left="360"/>
        <w:jc w:val="left"/>
      </w:pPr>
      <w:r>
        <w:rPr>
          <w:i/>
        </w:rPr>
        <w:t>•  Khoản 2 Điều 13:</w:t>
      </w:r>
      <w:r>
        <w:t xml:space="preserve"> Nghĩa vụ bắt buộc của LocalMate là phải kiểm tra tài liệu liên quan đến điều kiện quảng cáo của khách hàng trước khi chạy ads.</w:t>
      </w:r>
    </w:p>
    <w:p>
      <w:pPr>
        <w:spacing w:after="60" w:before="20" w:line="276" w:lineRule="auto"/>
        <w:ind w:left="360"/>
        <w:jc w:val="left"/>
      </w:pPr>
      <w:r>
        <w:rPr>
          <w:i/>
        </w:rPr>
        <w:t>•  Khoản 3 Điều 13:</w:t>
      </w:r>
      <w:r>
        <w:t xml:space="preserve"> LocalMate chịu trách nhiệm đối với sản phẩm quảng cáo do mình trực tiếp thực hiện (văn bản ad copy, hình ảnh tự thiết kế).</w:t>
      </w:r>
    </w:p>
    <w:p>
      <w:pPr>
        <w:spacing w:after="60" w:before="20" w:line="276" w:lineRule="auto"/>
        <w:ind w:left="360"/>
        <w:jc w:val="left"/>
      </w:pPr>
      <w:r>
        <w:rPr>
          <w:i/>
        </w:rPr>
        <w:t>•  Điều 27:</w:t>
      </w:r>
      <w:r>
        <w:t xml:space="preserve"> Hợp đồng dịch vụ quảng cáo bắt buộc phải giao kết bằng văn bản hoặc thông điệp dữ liệu điện tử.</w:t>
      </w:r>
    </w:p>
    <w:p>
      <w:pPr>
        <w:spacing w:after="60" w:before="20" w:line="276" w:lineRule="auto"/>
        <w:ind w:left="360"/>
        <w:jc w:val="left"/>
      </w:pPr>
      <w:r>
        <w:rPr>
          <w:i/>
        </w:rPr>
        <w:t>•  Điều 8 Khoản 11:</w:t>
      </w:r>
      <w:r>
        <w:t xml:space="preserve"> Nghiêm cấm quảng cáo so sánh, dùng từ "nhất", "số 1", "tốt nhất" nếu không có tài liệu hợp pháp chứng minh.</w:t>
      </w:r>
    </w:p>
    <w:p>
      <w:pPr>
        <w:spacing w:after="60" w:before="20" w:line="276" w:lineRule="auto"/>
        <w:ind w:left="360"/>
        <w:jc w:val="left"/>
      </w:pPr>
      <w:r>
        <w:rPr>
          <w:b/>
        </w:rPr>
        <w:t>•  Nghị định 181/2013/NĐ-CP &amp; Nghị định 70/2021/NĐ-CP:</w:t>
      </w:r>
      <w:r>
        <w:t xml:space="preserve"> Quy định chi tiết thi hành Luật Quảng cáo và cung cấp dịch vụ quảng cáo xuyên biên giới tại Việt Nam.</w:t>
      </w:r>
    </w:p>
    <w:p>
      <w:pPr>
        <w:spacing w:after="60" w:before="20" w:line="276" w:lineRule="auto"/>
        <w:ind w:left="360"/>
        <w:jc w:val="left"/>
      </w:pPr>
      <w:r>
        <w:rPr>
          <w:b/>
        </w:rPr>
        <w:t>•  Nghị định 38/2021/NĐ-CP (sửa đổi bởi NĐ 128/2022/NĐ-CP):</w:t>
      </w:r>
      <w:r>
        <w:t xml:space="preserve"> Xử phạt vi phạm hành chính trong hoạt động quảng cáo (phạt 10 - 15 triệu nếu không kiểm tra hồ sơ điều kiện quảng cáo; phạt 50 - 70 triệu nếu quảng cáo sản phẩm đặc thù không có giấy xác nhận nội dung).</w:t>
      </w:r>
    </w:p>
    <w:p>
      <w:pPr>
        <w:spacing w:before="160" w:after="60"/>
      </w:pPr>
      <w:r>
        <w:rPr>
          <w:b/>
          <w:color w:val="0D7647"/>
          <w:sz w:val="23"/>
        </w:rPr>
        <w:t>3. Lĩnh vực Bảo vệ Dữ liệu Cá nhân &amp; Dữ liệu Công nghệ</w:t>
      </w:r>
    </w:p>
    <w:p>
      <w:pPr>
        <w:spacing w:after="60" w:before="20" w:line="276" w:lineRule="auto"/>
        <w:ind w:left="360"/>
        <w:jc w:val="left"/>
      </w:pPr>
      <w:r>
        <w:rPr>
          <w:b/>
        </w:rPr>
        <w:t>•  Luật Bảo vệ dữ liệu cá nhân 2025 (Luật số 91/2025/QH15, hiệu lực từ 01/01/2026):</w:t>
      </w:r>
    </w:p>
    <w:p>
      <w:pPr>
        <w:spacing w:after="60" w:before="20" w:line="276" w:lineRule="auto"/>
        <w:ind w:left="360"/>
        <w:jc w:val="left"/>
      </w:pPr>
      <w:r>
        <w:t>•  Chuyển tiếp và nâng tầm quy định từ Nghị định 13/2023/NĐ-CP.</w:t>
      </w:r>
    </w:p>
    <w:p>
      <w:pPr>
        <w:spacing w:after="60" w:before="20" w:line="276" w:lineRule="auto"/>
        <w:ind w:left="360"/>
        <w:jc w:val="left"/>
      </w:pPr>
      <w:r>
        <w:t>•  Phân định rõ tư cách pháp lý:</w:t>
      </w:r>
    </w:p>
    <w:p>
      <w:pPr>
        <w:spacing w:after="80" w:before="0" w:line="276" w:lineRule="auto"/>
        <w:jc w:val="left"/>
      </w:pPr>
      <w:r>
        <w:t xml:space="preserve">    + Khách hàng = Bên Kiểm soát Dữ liệu Cá nhân (Data Controller) đối với lead khách hàng trên website/CRM.</w:t>
      </w:r>
    </w:p>
    <w:p>
      <w:pPr>
        <w:spacing w:after="80" w:before="0" w:line="276" w:lineRule="auto"/>
        <w:jc w:val="left"/>
      </w:pPr>
      <w:r>
        <w:t xml:space="preserve">    + LocalMate = Bên Xử lý Dữ liệu Cá nhân (Data Processor) khi chỉ cài đặt kỹ thuật, cấu hình luồng dữ liệu theo hợp đồng.</w:t>
      </w:r>
    </w:p>
    <w:p>
      <w:pPr>
        <w:spacing w:after="80" w:before="0" w:line="276" w:lineRule="auto"/>
        <w:jc w:val="left"/>
      </w:pPr>
      <w:r>
        <w:t xml:space="preserve">    + LocalMate = Bên Kiểm soát kiêm Xử lý Dữ liệu (Controller-cum-Processor) đối với dữ liệu người dùng đăng ký trên localmate.vn.</w:t>
      </w:r>
    </w:p>
    <w:p>
      <w:pPr>
        <w:spacing w:after="80" w:before="0" w:line="276" w:lineRule="auto"/>
        <w:jc w:val="left"/>
      </w:pPr>
      <w:r>
        <w:t xml:space="preserve">    + Google, Cloudflare, Meta, Zalo, Resend = Bên Xử lý phụ (Sub-processors).</w:t>
      </w:r>
    </w:p>
    <w:p>
      <w:pPr>
        <w:spacing w:after="60" w:before="20" w:line="276" w:lineRule="auto"/>
        <w:ind w:left="360"/>
        <w:jc w:val="left"/>
      </w:pPr>
      <w:r>
        <w:t>•  Thỏa thuận Xử lý Dữ liệu (DPA) bắt buộc: Quy định mục đích, loại dữ liệu, biện pháp bảo mật (TOMs), chuyển dữ liệu xuyên biên giới, thời hạn thông báo sự cố trong 72 giờ và quy trình xóa/trả lại dữ liệu khi chấm dứt hợp đồng.</w:t>
      </w:r>
    </w:p>
    <w:p>
      <w:pPr>
        <w:spacing w:after="60" w:before="20" w:line="276" w:lineRule="auto"/>
        <w:ind w:left="360"/>
        <w:jc w:val="left"/>
      </w:pPr>
      <w:r>
        <w:rPr>
          <w:b/>
        </w:rPr>
        <w:t>•  Nghị định 356/2025/NĐ-CP:</w:t>
      </w:r>
      <w:r>
        <w:t xml:space="preserve"> Quy định chi tiết và hướng dẫn thi hành một số điều của Luật Bảo vệ dữ liệu cá nhân.</w:t>
      </w:r>
    </w:p>
    <w:p>
      <w:pPr>
        <w:spacing w:after="60" w:before="20" w:line="276" w:lineRule="auto"/>
        <w:ind w:left="360"/>
        <w:jc w:val="left"/>
      </w:pPr>
      <w:r>
        <w:rPr>
          <w:b/>
        </w:rPr>
        <w:t>•  Luật Dữ liệu số 60/2024/QH15 (hiệu lực từ 01/07/2025):</w:t>
      </w:r>
    </w:p>
    <w:p>
      <w:pPr>
        <w:spacing w:after="60" w:before="20" w:line="276" w:lineRule="auto"/>
        <w:ind w:left="360"/>
        <w:jc w:val="left"/>
      </w:pPr>
      <w:r>
        <w:t>•  Xác lập phân loại dữ liệu: Cốt lõi, quan trọng, dùng riêng (Private Data), dùng chung.</w:t>
      </w:r>
    </w:p>
    <w:p>
      <w:pPr>
        <w:spacing w:after="60" w:before="20" w:line="276" w:lineRule="auto"/>
        <w:ind w:left="360"/>
        <w:jc w:val="left"/>
      </w:pPr>
      <w:r>
        <w:t>•  Quy chuẩn bảo vệ dữ liệu số của doanh nghiệp và trách nhiệm của đơn vị cung cấp giải pháp công nghệ.</w:t>
      </w:r>
    </w:p>
    <w:p>
      <w:pPr>
        <w:spacing w:before="160" w:after="60"/>
      </w:pPr>
      <w:r>
        <w:rPr>
          <w:b/>
          <w:color w:val="0D7647"/>
          <w:sz w:val="23"/>
        </w:rPr>
        <w:t>4. Lĩnh vực An ninh mạng &amp; Hệ thống Thông tin</w:t>
      </w:r>
    </w:p>
    <w:p>
      <w:pPr>
        <w:spacing w:after="60" w:before="20" w:line="276" w:lineRule="auto"/>
        <w:ind w:left="360"/>
        <w:jc w:val="left"/>
      </w:pPr>
      <w:r>
        <w:rPr>
          <w:b/>
        </w:rPr>
        <w:t>•  Luật An ninh mạng số 24/2018/QH14 &amp; Nghị định 53/2022/NĐ-CP:</w:t>
      </w:r>
    </w:p>
    <w:p>
      <w:pPr>
        <w:spacing w:after="60" w:before="20" w:line="276" w:lineRule="auto"/>
        <w:ind w:left="360"/>
        <w:jc w:val="left"/>
      </w:pPr>
      <w:r>
        <w:rPr>
          <w:i/>
        </w:rPr>
        <w:t>•  Điều 26 Nghị định 53/2022/NĐ-CP:</w:t>
      </w:r>
      <w:r>
        <w:t xml:space="preserve"> Doanh nghiệp trong nước bắt buộc lưu trữ dữ liệu cá nhân và dữ liệu do người dùng tạo ra tại Việt Nam tối thiểu 12 - 24 tháng.</w:t>
      </w:r>
    </w:p>
    <w:p>
      <w:pPr>
        <w:spacing w:after="60" w:before="20" w:line="276" w:lineRule="auto"/>
        <w:ind w:left="360"/>
        <w:jc w:val="left"/>
      </w:pPr>
      <w:r>
        <w:t>•  Trách nhiệm ngăn chặn, gỡ bỏ thông tin vi phạm pháp luật trong vòng 24 giờ khi có yêu cầu từ Cục An ninh mạng (A05) hoặc Bộ TT&amp;TT.</w:t>
      </w:r>
    </w:p>
    <w:p>
      <w:pPr>
        <w:spacing w:after="60" w:before="20" w:line="276" w:lineRule="auto"/>
        <w:ind w:left="360"/>
        <w:jc w:val="left"/>
      </w:pPr>
      <w:r>
        <w:rPr>
          <w:b/>
        </w:rPr>
        <w:t>•  Nghị định 330/2026/NĐ-CP (hiệu lực từ 19/08/2026):</w:t>
      </w:r>
    </w:p>
    <w:p>
      <w:pPr>
        <w:spacing w:after="60" w:before="20" w:line="276" w:lineRule="auto"/>
        <w:ind w:left="360"/>
        <w:jc w:val="left"/>
      </w:pPr>
      <w:r>
        <w:t>•  Khung xử phạt hành chính mới nhất về an ninh mạng và dữ liệu cá nhân: Phạt tới 5% doanh thu (hoặc tối đa 3 tỷ đồng) đối với vi phạm chuyển dữ liệu ra nước ngoài; phạt gấp 10 lần khoản thu bất chính đối với hành vi mua bán data trái phép.</w:t>
      </w:r>
    </w:p>
    <w:p>
      <w:pPr>
        <w:spacing w:after="60" w:before="20" w:line="276" w:lineRule="auto"/>
        <w:ind w:left="360"/>
        <w:jc w:val="left"/>
      </w:pPr>
      <w:r>
        <w:rPr>
          <w:b/>
        </w:rPr>
        <w:t>•  Luật An toàn thông tin mạng số 86/2015/QH13, Nghị định 85/2016/NĐ-CP &amp; Thông tư 12/2022/TT-BTTTT:</w:t>
      </w:r>
    </w:p>
    <w:p>
      <w:pPr>
        <w:spacing w:after="60" w:before="20" w:line="276" w:lineRule="auto"/>
        <w:ind w:left="360"/>
        <w:jc w:val="left"/>
      </w:pPr>
      <w:r>
        <w:t>•  Xác định hệ thống LocalMate thuộc Hệ thống thông tin Cấp độ 2.</w:t>
      </w:r>
    </w:p>
    <w:p>
      <w:pPr>
        <w:spacing w:after="60" w:before="20" w:line="276" w:lineRule="auto"/>
        <w:ind w:left="360"/>
        <w:jc w:val="left"/>
      </w:pPr>
      <w:r>
        <w:t>•  Áp dụng các tiêu chuẩn an toàn kỹ thuật (MFA, mã hóa TLS 1.3, AES-256, Least Privilege, sao lưu tự động).</w:t>
      </w:r>
    </w:p>
    <w:p>
      <w:pPr>
        <w:spacing w:after="60" w:before="20" w:line="276" w:lineRule="auto"/>
        <w:ind w:left="360"/>
        <w:jc w:val="left"/>
      </w:pPr>
      <w:r>
        <w:rPr>
          <w:b/>
        </w:rPr>
        <w:t>•  Nghị định 91/2020/NĐ-CP:</w:t>
      </w:r>
      <w:r>
        <w:t xml:space="preserve"> Chống tin nhắn rác, thư rác, cuộc gọi rác trong triển khai Automation/CRM. Bắt buộc tuân thủ nguyên tắc Opt-in, link hủy đăng ký Opt-out, kiểm tra Danh sách không quảng cáo (Do Not Call - DNC) và sử dụng Brandname hợp lệ.</w:t>
      </w:r>
    </w:p>
    <w:p>
      <w:pPr>
        <w:spacing w:before="160" w:after="60"/>
      </w:pPr>
      <w:r>
        <w:rPr>
          <w:b/>
          <w:color w:val="0D7647"/>
          <w:sz w:val="23"/>
        </w:rPr>
        <w:t>5. Lĩnh vực Giao dịch Điện tử &amp; Ký kết Online</w:t>
      </w:r>
    </w:p>
    <w:p>
      <w:pPr>
        <w:spacing w:after="60" w:before="20" w:line="276" w:lineRule="auto"/>
        <w:ind w:left="360"/>
        <w:jc w:val="left"/>
      </w:pPr>
      <w:r>
        <w:rPr>
          <w:b/>
        </w:rPr>
        <w:t>•  Luật Giao dịch điện tử số 20/2023/QH15 (hiệu lực từ 01/07/2024):</w:t>
      </w:r>
    </w:p>
    <w:p>
      <w:pPr>
        <w:spacing w:after="60" w:before="20" w:line="276" w:lineRule="auto"/>
        <w:ind w:left="360"/>
        <w:jc w:val="left"/>
      </w:pPr>
      <w:r>
        <w:rPr>
          <w:i/>
        </w:rPr>
        <w:t>•  Điều 9 - 13:</w:t>
      </w:r>
      <w:r>
        <w:t xml:space="preserve"> Giá trị pháp lý của thông điệp dữ liệu có giá trị như văn bản giấy, bản gốc và chứng cứ tố tụng.</w:t>
      </w:r>
    </w:p>
    <w:p>
      <w:pPr>
        <w:spacing w:after="60" w:before="20" w:line="276" w:lineRule="auto"/>
        <w:ind w:left="360"/>
        <w:jc w:val="left"/>
      </w:pPr>
      <w:r>
        <w:rPr>
          <w:i/>
        </w:rPr>
        <w:t>•  Điều 22 - 25:</w:t>
      </w:r>
      <w:r>
        <w:t xml:space="preserve"> Phân loại Chữ ký số, Chữ ký điện tử chuyên dùng bảo đảm an toàn, và các hình thức xác nhận khác bằng phương tiện điện tử. Chữ ký số của tổ chức thay thế con dấu pháp nhân.</w:t>
      </w:r>
    </w:p>
    <w:p>
      <w:pPr>
        <w:spacing w:after="60" w:before="20" w:line="276" w:lineRule="auto"/>
        <w:ind w:left="360"/>
        <w:jc w:val="left"/>
      </w:pPr>
      <w:r>
        <w:rPr>
          <w:i/>
        </w:rPr>
        <w:t>•  Điều 34 - 38:</w:t>
      </w:r>
      <w:r>
        <w:t xml:space="preserve"> Giao kết hợp đồng điện tử tự động (Automated contract execution), giá trị ràng buộc của hợp đồng số.</w:t>
      </w:r>
    </w:p>
    <w:p>
      <w:pPr>
        <w:spacing w:after="60" w:before="20" w:line="276" w:lineRule="auto"/>
        <w:ind w:left="360"/>
        <w:jc w:val="left"/>
      </w:pPr>
      <w:r>
        <w:rPr>
          <w:i/>
        </w:rPr>
        <w:t>•  Điều 36:</w:t>
      </w:r>
      <w:r>
        <w:t xml:space="preserve"> Nguyên tắc tự do thỏa thuận phương tiện điện tử. Cho phép các bên thỏa thuận sử dụng Email, Nhóm Zalo/Telegram định danh, Click-to-accept để xác nhận công việc, Change Request và nghiệm thu kỹ thuật.</w:t>
      </w:r>
    </w:p>
    <w:p>
      <w:pPr>
        <w:spacing w:before="160" w:after="60"/>
      </w:pPr>
      <w:r>
        <w:rPr>
          <w:b/>
          <w:color w:val="0D7647"/>
          <w:sz w:val="23"/>
        </w:rPr>
        <w:t>6. Lĩnh vực Sở hữu Trí tuệ</w:t>
      </w:r>
    </w:p>
    <w:p>
      <w:pPr>
        <w:spacing w:after="60" w:before="20" w:line="276" w:lineRule="auto"/>
        <w:ind w:left="360"/>
        <w:jc w:val="left"/>
      </w:pPr>
      <w:r>
        <w:rPr>
          <w:b/>
        </w:rPr>
        <w:t>•  Luật Sở hữu trí tuệ số 50/2005/QH11 (sửa đổi, bổ sung 2009, 2019 và Luật số 07/2022/QH15 có hiệu lực từ 01/01/2023) &amp; Nghị định 17/2023/NĐ-CP:</w:t>
      </w:r>
    </w:p>
    <w:p>
      <w:pPr>
        <w:spacing w:after="60" w:before="20" w:line="276" w:lineRule="auto"/>
        <w:ind w:left="360"/>
        <w:jc w:val="left"/>
      </w:pPr>
      <w:r>
        <w:rPr>
          <w:i/>
        </w:rPr>
        <w:t>•  Điều 22:</w:t>
      </w:r>
      <w:r>
        <w:t xml:space="preserve"> Chương trình máy tính được bảo hộ như tác phẩm văn học (bảo hộ mã nguồn thể hiện, không bảo hộ ý tưởng hay thuật toán).</w:t>
      </w:r>
    </w:p>
    <w:p>
      <w:pPr>
        <w:spacing w:after="60" w:before="20" w:line="276" w:lineRule="auto"/>
        <w:ind w:left="360"/>
        <w:jc w:val="left"/>
      </w:pPr>
      <w:r>
        <w:rPr>
          <w:i/>
        </w:rPr>
        <w:t>•  Điều 14:</w:t>
      </w:r>
      <w:r>
        <w:t xml:space="preserve"> Tác phẩm mỹ thuật ứng dụng (Giao diện UI/UX, Mockup Figma).</w:t>
      </w:r>
    </w:p>
    <w:p>
      <w:pPr>
        <w:spacing w:after="60" w:before="20" w:line="276" w:lineRule="auto"/>
        <w:ind w:left="360"/>
        <w:jc w:val="left"/>
      </w:pPr>
      <w:r>
        <w:rPr>
          <w:i/>
        </w:rPr>
        <w:t>•  Điều 19, 20:</w:t>
      </w:r>
      <w:r>
        <w:t xml:space="preserve"> Phân định quyền nhân thân (không thể chuyển nhượng, trừ quyền công bố) và quyền tài sản (chuyển nhượng hoặc cấp phép).</w:t>
      </w:r>
    </w:p>
    <w:p>
      <w:pPr>
        <w:spacing w:after="60" w:before="20" w:line="276" w:lineRule="auto"/>
        <w:ind w:left="360"/>
        <w:jc w:val="left"/>
      </w:pPr>
      <w:r>
        <w:rPr>
          <w:i/>
        </w:rPr>
        <w:t>•  Cơ chế 5 nhóm tài sản:</w:t>
      </w:r>
      <w:r>
        <w:t xml:space="preserve"> Tách bạch Custom Deliverables (chuyển nhượng quyền tài sản khi thanh toán 100%) vs LocalMate Pre-existing Assets / Core Framework (giữ nguyên quyền sở hữu, chỉ cấp quyền sử dụng vĩnh viễn không độc quyền) vs Open Source (MIT/Apache 2.0) vs Third-party assets vs Client materials.</w:t>
      </w:r>
    </w:p>
    <w:p>
      <w:pPr>
        <w:spacing w:after="60" w:before="20" w:line="276" w:lineRule="auto"/>
        <w:ind w:left="360"/>
        <w:jc w:val="left"/>
      </w:pPr>
      <w:r>
        <w:rPr>
          <w:i/>
        </w:rPr>
        <w:t>•  Chính sách AI Assets:</w:t>
      </w:r>
      <w:r>
        <w:t xml:space="preserve"> Trí tuệ nhân tạo không được công nhận là tác giả; LocalMate chỉ xác lập quyền trên phần đóng góp sáng tạo trực tiếp của con người (AI-assisted work).</w:t>
      </w:r>
    </w:p>
    <w:p>
      <w:pPr>
        <w:spacing w:before="160" w:after="60"/>
      </w:pPr>
      <w:r>
        <w:rPr>
          <w:b/>
          <w:color w:val="0D7647"/>
          <w:sz w:val="23"/>
        </w:rPr>
        <w:t>7. Lĩnh vực Thuế và Hóa đơn Điện tử</w:t>
      </w:r>
    </w:p>
    <w:p>
      <w:pPr>
        <w:spacing w:after="60" w:before="20" w:line="276" w:lineRule="auto"/>
        <w:ind w:left="360"/>
        <w:jc w:val="left"/>
      </w:pPr>
      <w:r>
        <w:rPr>
          <w:b/>
        </w:rPr>
        <w:t>•  Luật Quản lý thuế số 38/2019/QH14, Nghị định 123/2020/NĐ-CP &amp; Thông tư 78/2021/TT-BTC:</w:t>
      </w:r>
    </w:p>
    <w:p>
      <w:pPr>
        <w:spacing w:after="60" w:before="20" w:line="276" w:lineRule="auto"/>
        <w:ind w:left="360"/>
        <w:jc w:val="left"/>
      </w:pPr>
      <w:r>
        <w:rPr>
          <w:i/>
        </w:rPr>
        <w:t>•  Khoản 2 Điều 9 Nghị định 123/2020/NĐ-CP:</w:t>
      </w:r>
      <w:r>
        <w:t xml:space="preserve"> Thời điểm lập hóa đơn là thời điểm hoàn thành dịch vụ hoặc thời điểm thu tiền trước.</w:t>
      </w:r>
    </w:p>
    <w:p>
      <w:pPr>
        <w:spacing w:after="60" w:before="20" w:line="276" w:lineRule="auto"/>
        <w:ind w:left="360"/>
        <w:jc w:val="left"/>
      </w:pPr>
      <w:r>
        <w:rPr>
          <w:i/>
        </w:rPr>
        <w:t>•  Phân biệt cọc và trả trước:</w:t>
      </w:r>
      <w:r>
        <w:t xml:space="preserve"> Tiền đặt cọc theo Điều 328 BLDS không phải là tiền thanh toán trước tiền dịch vụ, không phải xuất hóa đơn GTGT ngay tại thời điểm nhận cọc (Công văn 4252/TCT-CS).</w:t>
      </w:r>
    </w:p>
    <w:p>
      <w:pPr>
        <w:spacing w:after="60" w:before="20" w:line="276" w:lineRule="auto"/>
        <w:ind w:left="360"/>
        <w:jc w:val="left"/>
      </w:pPr>
      <w:r>
        <w:rPr>
          <w:i/>
        </w:rPr>
        <w:t>•  Nghiệm thu từng giai đoạn:</w:t>
      </w:r>
      <w:r>
        <w:t xml:space="preserve"> Xuất hóa đơn theo biên bản nghiệm thu mốc hoàn thành.</w:t>
      </w:r>
    </w:p>
    <w:p>
      <w:pPr>
        <w:spacing w:after="60" w:before="20" w:line="276" w:lineRule="auto"/>
        <w:ind w:left="360"/>
        <w:jc w:val="left"/>
      </w:pPr>
      <w:r>
        <w:rPr>
          <w:i/>
        </w:rPr>
        <w:t>•  Bóc tách Media Spend Google/Meta:</w:t>
      </w:r>
      <w:r>
        <w:t xml:space="preserve"> Bắt buộc áp dụng Phương án khách hàng tự thêm thẻ thanh toán (Google xuất hóa đơn có 5% VAT nhà thầu cho khách theo Thông tư 80/2021/TT-BTC) hoặc thủ tục Thu hộ - Chi hộ theo Điểm d Khoản 7 Điều 5 Thông tư 219/2013/TT-BTC để tránh bị truy thu thuế oan hàng chục triệu đồng.</w:t>
      </w:r>
    </w:p>
    <w:p>
      <w:pPr>
        <w:spacing w:after="120" w:before="80"/>
      </w:pPr>
      <w:r>
        <w:rPr>
          <w:color w:val="CBD5E1"/>
        </w:rPr>
        <w:t>―――――――――――――――――――――――――――――――――――――――――――――――――――――――</w:t>
      </w:r>
    </w:p>
    <w:p>
      <w:pPr>
        <w:spacing w:before="200" w:after="80" w:line="276" w:lineRule="auto"/>
        <w:jc w:val="left"/>
      </w:pPr>
      <w:r>
        <w:rPr>
          <w:b/>
          <w:color w:val="0D7647"/>
          <w:sz w:val="26"/>
        </w:rPr>
        <w:t>III. NGUYÊN TẮC ÁP DỤNG TRONG SOẠN THẢO HỢP ĐỒNG</w:t>
      </w:r>
    </w:p>
    <w:p>
      <w:pPr>
        <w:spacing w:after="60" w:before="20" w:line="276" w:lineRule="auto"/>
        <w:ind w:left="288"/>
        <w:jc w:val="left"/>
      </w:pPr>
      <w:r>
        <w:t xml:space="preserve">1. </w:t>
      </w:r>
      <w:r>
        <w:rPr>
          <w:b/>
        </w:rPr>
        <w:t>Không viện dẫn điều luật chỉ mang tính trang trí:</w:t>
      </w:r>
      <w:r>
        <w:t xml:space="preserve"> Mọi điều khoản dẫn chiếu đều gắn liền với quyền, nghĩa vụ và cơ chế vận hành thực tế của LocalMate.</w:t>
      </w:r>
    </w:p>
    <w:p>
      <w:pPr>
        <w:spacing w:after="60" w:before="20" w:line="276" w:lineRule="auto"/>
        <w:ind w:left="288"/>
        <w:jc w:val="left"/>
      </w:pPr>
      <w:r>
        <w:t xml:space="preserve">2. </w:t>
      </w:r>
      <w:r>
        <w:rPr>
          <w:b/>
        </w:rPr>
        <w:t>Loại bỏ nguy cơ vô hiệu:</w:t>
      </w:r>
      <w:r>
        <w:t xml:space="preserve"> Cân bằng quyền lợi hai bên, có quy trình thông báo 2 bước, không dùng điều khoản áp đặt một chiều trái với Điều 405 BLDS.</w:t>
      </w:r>
    </w:p>
    <w:p>
      <w:pPr>
        <w:spacing w:after="60" w:before="20" w:line="276" w:lineRule="auto"/>
        <w:ind w:left="288"/>
        <w:jc w:val="left"/>
      </w:pPr>
      <w:r>
        <w:t xml:space="preserve">3. </w:t>
      </w:r>
      <w:r>
        <w:rPr>
          <w:b/>
        </w:rPr>
        <w:t>Kỹ thuật "Nỗ lực tối đa" (Best Efforts Standard):</w:t>
      </w:r>
      <w:r>
        <w:t xml:space="preserve"> Không bao giờ cam kết kết quả nằm ngoài khả năng kiểm soát của Agency (Doanh thu, Top 1 Maps, Duyệt Ads 100%).</w:t>
      </w:r>
    </w:p>
    <w:p>
      <w:pPr>
        <w:spacing w:after="60" w:before="20" w:line="276" w:lineRule="auto"/>
        <w:ind w:left="288"/>
        <w:jc w:val="left"/>
      </w:pPr>
      <w:r>
        <w:t xml:space="preserve">4. </w:t>
      </w:r>
      <w:r>
        <w:rPr>
          <w:b/>
        </w:rPr>
        <w:t>Bảo vệ quyền sở hữu số:</w:t>
      </w:r>
      <w:r>
        <w:t xml:space="preserve"> Không cầm giữ tài khoản trái phép để tránh vi phạm Điều 287 Bộ luật Hình sự; thay vào đó sử dụng biện pháp Bảo lưu quyền sở hữu mã nguồn (Điều 331 BLDS) và Tạm ngừng dịch vụ theo hợp đồng (Điều 308 LTM).</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