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88" w:lineRule="auto"/>
        <w:jc w:val="center"/>
      </w:pPr>
      <w:r>
        <w:rPr>
          <w:b/>
          <w:color w:val="0D7647"/>
          <w:sz w:val="30"/>
        </w:rPr>
        <w:t>MA TRẬN 20 KỊCH BẢN RỦI RO &amp; TRANH CHẤP PHÁP LÝ GIỮA LOCALMATE VÀ KHÁCH HÀNG SME</w:t>
      </w:r>
    </w:p>
    <w:p>
      <w:pPr>
        <w:spacing w:after="80" w:before="0" w:line="276" w:lineRule="auto"/>
        <w:jc w:val="left"/>
      </w:pPr>
      <w:r>
        <w:rPr>
          <w:b/>
        </w:rPr>
        <w:t>Đơn vị nghiên cứu:</w:t>
      </w:r>
      <w:r>
        <w:t xml:space="preserve"> Ban Pháp chế &amp; Giải quyết Tranh chấp LocalMate (Subagent 9 &amp; 10)  </w:t>
      </w:r>
    </w:p>
    <w:p>
      <w:pPr>
        <w:spacing w:after="80" w:before="0" w:line="276" w:lineRule="auto"/>
        <w:jc w:val="left"/>
      </w:pPr>
      <w:r>
        <w:rPr>
          <w:b/>
        </w:rPr>
        <w:t>Phạm vi áp dụng:</w:t>
      </w:r>
      <w:r>
        <w:t xml:space="preserve"> Toàn bộ quan hệ hợp đồng Website, Google Maps, Google Ads, Content, CRM/Automation.</w:t>
      </w:r>
    </w:p>
    <w:p>
      <w:pPr>
        <w:spacing w:after="120" w:before="8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EDF7F1"/>
          </w:tcPr>
          <w:p>
            <w:r/>
          </w:p>
          <w:p>
            <w:pPr>
              <w:spacing w:before="0" w:after="40" w:line="276" w:lineRule="auto"/>
              <w:jc w:val="center"/>
            </w:pPr>
            <w:r>
              <w:rPr>
                <w:b/>
                <w:color w:val="0D7647"/>
              </w:rPr>
              <w:t>STT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EDF7F1"/>
          </w:tcPr>
          <w:p>
            <w:r/>
          </w:p>
          <w:p>
            <w:pPr>
              <w:spacing w:before="0" w:after="40" w:line="276" w:lineRule="auto"/>
              <w:jc w:val="center"/>
            </w:pPr>
            <w:r>
              <w:rPr>
                <w:b/>
                <w:color w:val="0D7647"/>
              </w:rPr>
              <w:t>SCENARIO (Tình huống rủi ro)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EDF7F1"/>
          </w:tcPr>
          <w:p>
            <w:r/>
          </w:p>
          <w:p>
            <w:pPr>
              <w:spacing w:before="0" w:after="40" w:line="276" w:lineRule="auto"/>
              <w:jc w:val="center"/>
            </w:pPr>
            <w:r>
              <w:rPr>
                <w:b/>
                <w:color w:val="0D7647"/>
              </w:rPr>
              <w:t>EXPOSURE (Thiệt hại / Rủi ro cho LocalMate)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EDF7F1"/>
          </w:tcPr>
          <w:p>
            <w:r/>
          </w:p>
          <w:p>
            <w:pPr>
              <w:spacing w:before="0" w:after="40" w:line="276" w:lineRule="auto"/>
              <w:jc w:val="center"/>
            </w:pPr>
            <w:r>
              <w:rPr>
                <w:b/>
                <w:color w:val="0D7647"/>
              </w:rPr>
              <w:t>CONTRACT CONTROL (Điều khoản kiểm soát hợp đồng)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EDF7F1"/>
          </w:tcPr>
          <w:p>
            <w:r/>
          </w:p>
          <w:p>
            <w:pPr>
              <w:spacing w:before="0" w:after="40" w:line="276" w:lineRule="auto"/>
              <w:jc w:val="center"/>
            </w:pPr>
            <w:r>
              <w:rPr>
                <w:b/>
                <w:color w:val="0D7647"/>
              </w:rPr>
              <w:t>OPERATIONAL CONTROL (Quy trình vận hành &amp; Bằng chứng)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EDF7F1"/>
          </w:tcPr>
          <w:p>
            <w:r/>
          </w:p>
          <w:p>
            <w:pPr>
              <w:spacing w:before="0" w:after="40" w:line="276" w:lineRule="auto"/>
              <w:jc w:val="center"/>
            </w:pPr>
            <w:r>
              <w:rPr>
                <w:b/>
                <w:color w:val="0D7647"/>
              </w:rPr>
              <w:t>LEGAL BASIS (Căn cứ pháp luật Việt Nam)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EDF7F1"/>
          </w:tcPr>
          <w:p>
            <w:r/>
          </w:p>
          <w:p>
            <w:pPr>
              <w:spacing w:before="0" w:after="40" w:line="276" w:lineRule="auto"/>
              <w:jc w:val="center"/>
            </w:pPr>
            <w:r>
              <w:rPr>
                <w:b/>
                <w:color w:val="0D7647"/>
              </w:rPr>
              <w:t>RESIDUAL RISK &amp; MITIGATION (Rủi ro còn lại &amp; Giảm thiểu)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không trả 20-30% tiền đợt cuối sau khi đã online website.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Mất 20-30% doanh thu (chiếm 50-100% lợi nhuận dự án); tốn thời gian đòi nợ.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Bảo lưu quyền sở hữu mã nguồn &amp; tài khoản; chỉ trỏ DNS domain chính khi nhận đủ 100% tiền.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Nghiệm thu trên Staging subdomain; chỉ chuyển DNS production sau khi tiền nổi tài khoản.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331, 411 BLDS 2015; Điều 300, 301 Luật Thương mại 2005.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clone code frontend; giảm thiểu bằng cách đặt toàn bộ API &amp; DB tại Cloudflare Workers.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2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trả chậm, chây ỳ dây dưa nhiều tuần/tháng.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Bị chiếm dụng vốn, tắc nghẽn dòng tiền trả lương dev &amp; hạ tầng; phát sinh nợ xấu.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Lãi chậm trả 0.05%/ngày (18.25%/năm); quyền tạm ngắt dịch vụ sau 10 ngày quá hạn; phạt 8%.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Quy trình nhắc nợ 4 bước: D-2, D+0, D+3, D+7 (thư cảnh báo ngắt dịch vụ), D+10 (tạm ngắt).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306 Luật Thương mại 2005; Điều 357, 468 BLDS 2015; Điều 308 LTM 2005.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bỏ hẳn web cũ; giảm thiểu bằng cơ cấu thu cọc 50% ngay từ đầu đảm bảo đủ chi phí.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3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Scope Creep — Khách liên tục đòi thêm tính năng, trang mới ngoài báo giá.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Đội chi phí nhân sự dev/designer từ 50-150%; trễ hạn dự án khác.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SOW định lượng bất biến; mọi yêu cầu phát sinh bắt buộc lập Phiếu Change Request (CR) có phí.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Ký SOW checklist ban đầu; từ chối khéo bằng form CR: báo giá + số ngày làm thêm trước khi code.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403 BLDS 2015 (Hiệu lực phụ lục); Điều 517, 518 BLDS 2015.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phàn nàn máy móc; tặng kèm hạn ngạch 02 chỉnh sửa vi mô (đổi text, đổi màu nút).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4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không gửi tài liệu, hình ảnh khiến dự án bị ngâm 3-6 tháng.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Đọng tiền đợt cuối; mất chi phí ngữ cảnh dự án; chiếm quota dự án dở dang.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Nghĩa vụ cung cấp dữ liệu trong 7 ngày; sau 20 ngày được dùng Dummy data nghiệm thu; sau 45 ngày tự hủy cọc.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Form Onboarding gửi ngay ngày 1; 3 mốc cảnh báo (D7, D14, D21); đưa ảnh Unsplash + AI text làm khung web.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411, 516 BLDS 2015; Điều 422, 428 BLDS 2015 (chấm dứt HĐ do vi phạm).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quay lại sau 6 tháng; hợp đồng ghi rõ bảo lưu tối đa 60 ngày, sau đó tính phí tái khởi động 15%.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5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im lặng không duyệt thiết kế, demo hoặc bài viết.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Đóng băng tiến độ chặng sau; không thể xuất hóa đơn milestone tiếp theo.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khoản Nghiệm thu mặc nhiên (Deemed Acceptance): Im lặng quá 03 ngày làm việc = Đã duyệt.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Gửi link kèm tin nhắn chuẩn dẫn chiếu điều khoản thời hạn chốt; lưu ảnh chụp màn hình Zalo/Email.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393 Khoản 2 BLDS 2015; Điều 11 BLDS 2015 (thỏa thuận có hiệu lực bắt buộc).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khiếu nại không đọc tin; áp dụng 3 nhịp liên lạc: Zalo -&gt; Gọi điện thoại -&gt; Email xác nhận.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6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đã duyệt thiết kế xong, sếp/chủ đổi ý bắt đập đi làm lại từ đầu.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Thiệt hại 100% công sức lập trình; kéo lùi thời gian dự án về vạch xuất phát.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Nguyên tắc cuốn chiếu (Phase-lock); đại diện dự án xác nhận có tính ràng buộc; làm lại tính 40-70% phí.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Xác định Final Decision Maker ngay kick-off; bắt buộc ký Phiếu Phê Duyệt Thiết Kế trước khi code.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87, 138, 139, 142 BLDS 2015 (thẩm quyền đại diện); Điều 517 BLDS 2015.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sa thải nhân viên đổ lỗi; LocalMate hỗ trợ giảm 20% phí làm lại dựa trên component có sẵn.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7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chê web "không đẹp", "nhìn không sang", "không hợp phong thủy" dù làm đúng mockup.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Rơi vào vòng lặp sửa vô tận (Revision Hell); không thể nghiệm thu.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Tiêu chuẩn nghiệm thu khách quan (giống mockup 90%, đủ chức năng SOW); cảm tính không được từ chối; tối đa 2 vòng sửa.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Họp nghiệm thu Side-by-Side (Mockup vs Web thật); nhận góp ý bằng bảng biểu định lượng; đổi token CSS nhanh.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392, 519 BLDS 2015; Thực tiễn Tòa án công nhận Fact-based Acceptance.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không ký biên bản; kích hoạt nghiệm thu mặc nhiên sau 3 ngày hoàn thành vòng sửa thứ 2.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8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Google Ads bị khóa (Suspension) do lỗi thanh toán hoặc quét thuật toán, khách đổ lỗi.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Bị đòi hoàn tiền dịch vụ và tiền nạp ads; bị vu khống trên mạng xã hội.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Miễn trừ trách nhiệm bên thứ ba Google; cam kết nỗ lực kỹ thuật hợp lý (Best Efforts); không hoàn phí dịch vụ.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Bắt buộc khách tự add thẻ Visa vào Billing Google; tiền trừ thẳng từ thẻ khách; lưu bản audit trang đích.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351 BLDS 2015; Điều 294 Luật Thương mại 2005 (trở ngại khách quan từ bên thứ 3).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Kháng nghị không thành công; hỗ trợ mở tài khoản phụ dự phòng hoặc chuyển dịch sang Local SEO.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9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Google Maps (GBP) bị đình chỉ (Suspended), khách đổ lỗi LocalMate.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Bị đòi lại phí Local SEO; bị đòi bồi thường doanh thu hotline bị sụt giảm.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LocalMate là tư vấn kỹ thuật, không sở hữu Google; khách bảo đảm địa chỉ thật; miễn trừ trách nhiệm khi bị quét.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Quy trình quay Video Verification chuẩn (từ đường vào nhà, biển hiệu, máy móc); chuyển Primary Owner sau 7 ngày.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513, 517 BLDS 2015; Điều 294 Luật Thương mại 2005.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Khu vực địa chỉ bị blacklist; hỗ trợ nộp hồ sơ bằng chứng hoặc tạo profile mới chuẩn tên pháp nhân.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10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Chạy Ads không ra đơn hàng / không ra lead như kỳ vọng, khách đòi hoàn tiền dịch vụ &amp; ads.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Tranh chấp gay gắt; nguy cơ bị khách kiện đòi bồi thường doanh số.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Hợp đồng là nỗ lực chuyên môn (Effort-based), tuyệt đối không cam kết doanh số, lead, ROAS hay CPA cố định.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Dashboard Looker Studio minh bạch search query, click, cuộc gọi, form; ghi âm cuộc gọi tư vấn lỗi từ phía khách.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513 BLDS 2015; Điều 80 Luật Thương mại 2005; Án lệ bác bỏ cam kết doanh số ngụ ý.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nhầm lẫn phễu bán hàng; giáo dục khách ngay onboarding: Agency kéo Lead — Khách chốt Sales.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11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đòi hoàn lại tiền Media Spend chưa tiêu hết từ Google ngay trong 24h.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Agency bị chôn vốn vì Google hoàn tiền mất 4-12 tuần; rủi ro lệch tỷ giá &amp; thuế nhà thầu.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Tiền trong Google tuân theo chu kỳ refund của Google (30-90 ngày); LocalMate chỉ trả lại khi Google đã thực trả.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Lập biên bản chốt số dư khả dụng trên dashboard khi hủy tài khoản; cung cấp Refund Tracking ID của Google.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276 BLDS 2015 (thực hiện nghĩa vụ qua người thứ 3); Điều 294 Luật Thương mại 2005.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nghi ngờ ăn chặn; công khai sao kê ngân hàng và biên lai trừ thuế nhà thầu của Google.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12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kinh doanh ngành hạn chế (Đông y, thẩm mỹ chui, TPCN lậu) bị cơ quan nhà nước quét.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LocalMate bị liên đới phạt từ 10 - 70 triệu theo NĐ 38/2021; tổn hại uy tín thương hiệu.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Cam kết bảo đảm tính hợp pháp sản phẩm; Phụ lục Customer Legal Declaration; bồi hoàn vô điều kiện 100% tiền phạt.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Thu thập Giấy phép ĐKKD, Giấy phép hoạt động y tế, Giấy xác nhận nội dung quảng cáo trước khi lên bài.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12, 13, 20 Luật Quảng cáo; NĐ 38/2021/NĐ-CP; Điều 584, 585 BLDS 2015 (bồi hoàn).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ngụy tạo giấy phép; hợp đồng quy định khách chịu 100% trách nhiệm hình sự &amp; hành chính.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13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đưa claim sai sự thật ("Số 1 VN", "Khỏi 100%") vào mẫu quảng cáo.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LocalMate bị phạt 10 - 20 triệu (quảng cáo so sánh/lừa dối); bị khóa tài khoản MCC.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Cấm claim tuyệt đối nếu không có chứng nhận hợp pháp; quyền đơn phương từ chối xuất bản nội dung vi phạm.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Rà soát bộ từ khóa cấm theo Luật Quảng cáo 2012; thay bằng câu chữ trung tính mô tả công năng thực tế.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8 Khoản 11 Luật Quảng cáo 2012; Điều 34 Nghị định 38/2021/NĐ-CP.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khăng khăng đòi giữ chữ; yêu cầu khách ký văn bản cam kết riêng chịu trách nhiệm độc lập.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14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lấy ảnh có bản quyền trên mạng đưa cho Agency đăng và bị kiện bản quyền.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Agency bị chủ sở hữu hình ảnh gửi thư cảnh cáo (Cease &amp; Desist) đòi bồi thường vi phạm bản quyền.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cam đoan 100% tài liệu cung cấp có bản quyền hợp pháp; nghĩa vụ bồi hoàn toàn bộ chi phí tranh chấp.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Kiểm tra ngược ảnh bằng Google Images/TinEye; ưu tiên dùng ảnh khách tự chụp hoặc stock có license.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73, 74 Luật SHTT 2005 (sửa đổi 2022); Điều 584 BLDS 2015.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Chủ ảnh đe dọa kiện ra tòa; gỡ bỏ ảnh ngay trong 2 giờ và chuyển thông tin khách hàng cho bên khiếu nại.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15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Dữ liệu lead của khách bị lộ do nhân viên khách để lộ pass hoặc cấu hình sai.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đổ lỗi cho hệ thống LocalMate; nguy cơ bị thanh tra an ninh mạng theo NĐ 330/2026.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Thỏa thuận Xử lý Dữ liệu (DPA): LocalMate là Processor; áp dụng tiêu chuẩn an toàn hợp lý; miễn trừ khi khách lộ pass.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Bật MFA bắt buộc cho admin; phân quyền RBAC; lưu Audit Log truy cập IP; quy trình phản ứng sự cố 72h.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Nghị định 13/2023/NĐ-CP; Luật Dữ liệu 2024; Nghị định 330/2026/NĐ-CP.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Tấn công Zero-day; mua bảo hiểm an ninh mạng hoặc duy trì bản backup định kỳ để khôi phục nhanh.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16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API bên thứ ba (Zalo ZNS, Telegram, OpenAI, Cloudflare) chết hoặc tăng giá/đổi chính sách.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Gián đoạn luồng tự động hóa; khách khiếu nại hệ thống lỗi đòi bồi thường thiệt hại.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Miễn trừ trách nhiệm đối với sự cố API nền tảng thứ ba; chi phí API do khách chi trả theo mức tiêu thụ.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Xây dựng cơ chế Retry queue &amp; Fallback webhook; cảnh báo khách khi API trả về mã lỗi 4xx/5xx.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351 BLDS 2015 (bất khả kháng); Điều 294 Luật Thương mại 2005.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API bên thứ 3 ngừng hoạt động vĩnh viễn; LocalMate tư vấn giải pháp API thay thế tương đương.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17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quên gia hạn tên miền (.vn / .com) dẫn đến web chết hoặc mất tên miền.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đổ lỗi cho Agency "không nhắc"; mất thương hiệu, mất thứ hạng SEO.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là chủ sở hữu tên miền, chịu trách nhiệm nộp phí duy trì cho Nhà đăng ký; LocalMate không chịu trách nhiệm.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Gửi email thông báo nhắc gia hạn tên miền trước 30 ngày, 15 ngày và 7 ngày; bàn giao quyền quản trị DNS.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Thông tư 24/2015/TT-BTTTT &amp; 06/2019/TT-BTTTT về quản lý tên miền quốc gia .vn.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Tên miền bị bên khác mua lại; hỗ trợ khách đăng ký tên miền mới và cấu hình 301 redirect tạm thời.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18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đòi toàn bộ mã nguồn framework, components dùng chung của LocalMate.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Mất tài sản trí tuệ cốt lõi; rủi ro đối thủ sao chép toàn bộ kiến trúc giải pháp.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Phân định 5 nhóm tài sản: LocalMate giữ 100% Core Framework, chỉ cấp quyền sử dụng vĩnh viễn không độc quyền.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Bàn giao mã nguồn build sạch (production bundle) hoặc chỉ export Custom components; không đưa tooling core.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22 Luật SHTT 2005 (sửa đổi 2022); Điều 84, 85 Luật SHTT (bí mật kinh doanh).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thuê dev decompile; mã nguồn tuân thủ license rõ ràng, vi phạm sẽ bị xử lý theo pháp luật SHTT.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19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đòi LocalMate bồi thường thiệt hại gián tiếp (mất cơ hội bán hàng, mất doanh thu tỷ đồng).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Rủi ro tài chính vượt quá giá trị hợp đồng gấp hàng trăm lần; nguy cơ phá sản Agency.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Loại trừ hoàn toàn thiệt hại gián tiếp (Consequential damages); Liability Cap = 100% phí đã thanh toán (max 3 tháng).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Không ký bất kỳ hợp đồng nào có điều khoản bồi thường thiệt hại vô hạn định; kiên định mức trần trách nhiệm.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302 Luật Thương mại 2005 (chỉ bồi thường tổn thất thực tế, trực tiếp); Điều 360 BLDS 2015.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kiện ra Tòa án; Tòa án công nhận điều khoản giới hạn trách nhiệm thương mại theo Điều 302 LTM.</w:t>
            </w:r>
          </w:p>
        </w:tc>
      </w:tr>
      <w:tr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rPr>
                <w:b/>
              </w:rPr>
              <w:t>20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đơn phương hủy hợp đồng giữa chừng khi dự án đã làm 50% - 80%.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Mất doanh thu dự kiến; lãng phí nguồn lực kỹ thuật đã phân bổ; nợ đọng công việc.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Tịch thu 100% tiền đặt cọc; khách phải thanh toán đầy đủ khối lượng công việc đã hoàn thành theo đơn giá SOW.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Bảng chấm công (Timesheet) và biên bản nghiệm thu từng chặng; bàn giao nguyên trạng phần đã làm sau khi thu đủ tiền.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Điều 520 Khoản 1 BLDS 2015 (đơn phương chấm dứt phải thanh toán tiền công phần đã làm và bồi thường).</w:t>
            </w:r>
          </w:p>
        </w:tc>
        <w:tc>
          <w:tcPr>
            <w:tcW w:type="dxa" w:w="13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/>
          </w:p>
          <w:p>
            <w:pPr>
              <w:spacing w:before="0" w:after="40" w:line="276" w:lineRule="auto"/>
              <w:jc w:val="left"/>
            </w:pPr>
            <w:r>
              <w:t>Khách không chịu thanh toán phần vượt cọc; chỉ bàn giao tài sản tương ứng với số tiền đã thực nhận.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