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88" w:lineRule="auto"/>
        <w:jc w:val="center"/>
      </w:pPr>
      <w:r>
        <w:rPr>
          <w:b/>
          <w:color w:val="0D7647"/>
          <w:sz w:val="30"/>
        </w:rPr>
        <w:t>DANH MỤC LIÊN KẾT NGUỒN PHÁP LUẬT CHÍNH THỐNG (SSOT SOURCE LINKS)</w:t>
      </w:r>
    </w:p>
    <w:p>
      <w:pPr>
        <w:spacing w:after="80" w:before="0" w:line="276" w:lineRule="auto"/>
        <w:jc w:val="left"/>
      </w:pPr>
      <w:r>
        <w:rPr>
          <w:b/>
        </w:rPr>
        <w:t>Cập nhật:</w:t>
      </w:r>
      <w:r>
        <w:t xml:space="preserve"> Tháng 09/2026  </w:t>
      </w:r>
    </w:p>
    <w:p>
      <w:pPr>
        <w:spacing w:after="80" w:before="0" w:line="276" w:lineRule="auto"/>
        <w:jc w:val="left"/>
      </w:pPr>
      <w:r>
        <w:rPr>
          <w:b/>
        </w:rPr>
        <w:t>Đơn vị áp dụng:</w:t>
      </w:r>
      <w:r>
        <w:t xml:space="preserve"> LocalMate (localmate.vn)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80" w:line="276" w:lineRule="auto"/>
        <w:jc w:val="left"/>
      </w:pPr>
      <w:r>
        <w:rPr>
          <w:b/>
          <w:color w:val="0D7647"/>
          <w:sz w:val="26"/>
        </w:rPr>
        <w:t>I. CỔNG THÔNG TIN QUỐC GIA &amp; CƠ SỞ DỮ LIỆU VĂN BẢN QUY PHẠM PHÁP LUẬT</w:t>
      </w:r>
    </w:p>
    <w:p>
      <w:pPr>
        <w:spacing w:after="60" w:before="20" w:line="276" w:lineRule="auto"/>
        <w:ind w:left="288"/>
        <w:jc w:val="left"/>
      </w:pPr>
      <w:r>
        <w:t xml:space="preserve">1. </w:t>
      </w:r>
      <w:r>
        <w:rPr>
          <w:b/>
        </w:rPr>
        <w:t>Cổng Thông tin điện tử Chính phủ (Văn bản Chính phủ):</w:t>
      </w:r>
    </w:p>
    <w:p>
      <w:pPr>
        <w:spacing w:after="60" w:before="20" w:line="276" w:lineRule="auto"/>
        <w:ind w:left="360"/>
        <w:jc w:val="left"/>
      </w:pPr>
      <w:r>
        <w:t>•  Trang chủ: [https://vanban.chinhphu.vn](https://vanban.chinhphu.vn)</w:t>
      </w:r>
    </w:p>
    <w:p>
      <w:pPr>
        <w:spacing w:after="60" w:before="20" w:line="276" w:lineRule="auto"/>
        <w:ind w:left="360"/>
        <w:jc w:val="left"/>
      </w:pPr>
      <w:r>
        <w:t>•  Nghị định 123/2020/NĐ-CP (Hóa đơn, chứng từ): [vanban.chinhphu.vn - NĐ 123/2020](https://vanban.chinhphu.vn/?pageid=27160&amp;docid=201408)</w:t>
      </w:r>
    </w:p>
    <w:p>
      <w:pPr>
        <w:spacing w:after="60" w:before="20" w:line="276" w:lineRule="auto"/>
        <w:ind w:left="360"/>
        <w:jc w:val="left"/>
      </w:pPr>
      <w:r>
        <w:t>•  Nghị định 70/2021/NĐ-CP (Quảng cáo xuyên biên giới): [vanban.chinhphu.vn - NĐ 70/2021](https://vanban.chinhphu.vn/default.aspx?pageid=27160&amp;docid=203774)</w:t>
      </w:r>
    </w:p>
    <w:p>
      <w:pPr>
        <w:spacing w:after="60" w:before="20" w:line="276" w:lineRule="auto"/>
        <w:ind w:left="360"/>
        <w:jc w:val="left"/>
      </w:pPr>
      <w:r>
        <w:t>•  Nghị định 13/2023/NĐ-CP (Bảo vệ dữ liệu cá nhân): [vanban.chinhphu.vn - NĐ 13/2023](https://vanban.chinhphu.vn/default.aspx?pageid=27160&amp;docid=207682)</w:t>
      </w:r>
    </w:p>
    <w:p>
      <w:pPr>
        <w:spacing w:after="60" w:before="20" w:line="276" w:lineRule="auto"/>
        <w:ind w:left="360"/>
        <w:jc w:val="left"/>
      </w:pPr>
      <w:r>
        <w:t>•  Nghị định 17/2023/NĐ-CP (Quy định chi tiết Luật SHTT về quyền tác giả): [vanban.chinhphu.vn - NĐ 17/2023](https://vanban.chinhphu.vn/default.aspx?pageid=27160&amp;docid=207759)</w:t>
      </w:r>
    </w:p>
    <w:p>
      <w:pPr>
        <w:spacing w:after="60" w:before="20" w:line="276" w:lineRule="auto"/>
        <w:ind w:left="360"/>
        <w:jc w:val="left"/>
      </w:pPr>
      <w:r>
        <w:t>•  Nghị định 53/2022/NĐ-CP (Quy định chi tiết Luật An ninh mạng &amp; Lưu trữ dữ liệu): [vanban.chinhphu.vn - NĐ 53/2022](https://vanban.chinhphu.vn/default.aspx?pageid=27160&amp;docid=206338)</w:t>
      </w:r>
    </w:p>
    <w:p>
      <w:pPr>
        <w:spacing w:after="60" w:before="20" w:line="276" w:lineRule="auto"/>
        <w:ind w:left="360"/>
        <w:jc w:val="left"/>
      </w:pPr>
      <w:r>
        <w:t>•  Nghị định 38/2021/NĐ-CP (Xử phạt vi phạm hành chính lĩnh vực văn hóa, quảng cáo): [vanban.chinhphu.vn - NĐ 38/2021](https://vanban.chinhphu.vn/default.aspx?pageid=27160&amp;docid=202863)</w:t>
      </w:r>
    </w:p>
    <w:p>
      <w:pPr>
        <w:spacing w:after="60" w:before="20" w:line="276" w:lineRule="auto"/>
        <w:ind w:left="288"/>
        <w:jc w:val="left"/>
      </w:pPr>
      <w:r>
        <w:t xml:space="preserve">2. </w:t>
      </w:r>
      <w:r>
        <w:rPr>
          <w:b/>
        </w:rPr>
        <w:t>Cơ sở Dữ liệu Quốc gia về Văn bản Pháp luật (Bộ Tư pháp):</w:t>
      </w:r>
    </w:p>
    <w:p>
      <w:pPr>
        <w:spacing w:after="60" w:before="20" w:line="276" w:lineRule="auto"/>
        <w:ind w:left="360"/>
        <w:jc w:val="left"/>
      </w:pPr>
      <w:r>
        <w:t>•  Trang chủ: [https://vbpl.vn](https://vbpl.vn)</w:t>
      </w:r>
    </w:p>
    <w:p>
      <w:pPr>
        <w:spacing w:after="60" w:before="20" w:line="276" w:lineRule="auto"/>
        <w:ind w:left="360"/>
        <w:jc w:val="left"/>
      </w:pPr>
      <w:r>
        <w:t>•  Bộ luật Dân sự số 91/2015/QH13: [vbpl.vn - BLDS 2015](https://vbpl.vn/TW/Pages/vbpq-toanvan.aspx?ItemID=96403)</w:t>
      </w:r>
    </w:p>
    <w:p>
      <w:pPr>
        <w:spacing w:after="60" w:before="20" w:line="276" w:lineRule="auto"/>
        <w:ind w:left="360"/>
        <w:jc w:val="left"/>
      </w:pPr>
      <w:r>
        <w:t>•  Luật Thương mại số 36/2005/QH11: [vbpl.vn - Luật Thương mại 2005](https://vbpl.vn/TW/Pages/vbpq-toanvan.aspx?ItemID=18151)</w:t>
      </w:r>
    </w:p>
    <w:p>
      <w:pPr>
        <w:spacing w:after="60" w:before="20" w:line="276" w:lineRule="auto"/>
        <w:ind w:left="360"/>
        <w:jc w:val="left"/>
      </w:pPr>
      <w:r>
        <w:t>•  Luật Quảng cáo số 16/2012/QH13: [vbpl.vn - Luật Quảng cáo 2012](https://vbpl.vn/TW/Pages/vbpq-toanvan.aspx?ItemID=27962)</w:t>
      </w:r>
    </w:p>
    <w:p>
      <w:pPr>
        <w:spacing w:after="60" w:before="20" w:line="276" w:lineRule="auto"/>
        <w:ind w:left="360"/>
        <w:jc w:val="left"/>
      </w:pPr>
      <w:r>
        <w:t>•  Luật sửa đổi, bổ sung một số điều của Luật Quảng cáo 2025: [vbpl.vn - Luật Quảng cáo 2025](https://vbpl.vn)</w:t>
      </w:r>
    </w:p>
    <w:p>
      <w:pPr>
        <w:spacing w:after="60" w:before="20" w:line="276" w:lineRule="auto"/>
        <w:ind w:left="360"/>
        <w:jc w:val="left"/>
      </w:pPr>
      <w:r>
        <w:t>•  Luật Giao dịch điện tử số 20/2023/QH15: [vbpl.vn - Luật GDĐT 2023](https://vbpl.vn/bothongtin/Pages/vbpq-toanvan.aspx?ItemID=161245)</w:t>
      </w:r>
    </w:p>
    <w:p>
      <w:pPr>
        <w:spacing w:after="60" w:before="20" w:line="276" w:lineRule="auto"/>
        <w:ind w:left="360"/>
        <w:jc w:val="left"/>
      </w:pPr>
      <w:r>
        <w:t>•  Luật Sở hữu trí tuệ số 07/2022/QH15: [vbpl.vn - Luật SHTT sửa đổi 2022](https://vbpl.vn/TW/Pages/vbpq-toanvan.aspx?ItemID=154388)</w:t>
      </w:r>
    </w:p>
    <w:p>
      <w:pPr>
        <w:spacing w:after="60" w:before="20" w:line="276" w:lineRule="auto"/>
        <w:ind w:left="360"/>
        <w:jc w:val="left"/>
      </w:pPr>
      <w:r>
        <w:t>•  Luật Quản lý thuế số 38/2019/QH14: [vbpl.vn - Luật Quản lý thuế 2019](https://vbpl.vn/TW/Pages/vbpq-toanvan.aspx?ItemID=136270)</w:t>
      </w:r>
    </w:p>
    <w:p>
      <w:pPr>
        <w:spacing w:after="60" w:before="20" w:line="276" w:lineRule="auto"/>
        <w:ind w:left="360"/>
        <w:jc w:val="left"/>
      </w:pPr>
      <w:r>
        <w:t>•  Luật An ninh mạng số 24/2018/QH14: [vbpl.vn - Luật An ninh mạng 2018](https://vbpl.vn/TW/Pages/vbpq-toanvan.aspx?ItemID=130283)</w:t>
      </w:r>
    </w:p>
    <w:p>
      <w:pPr>
        <w:spacing w:after="60" w:before="20" w:line="276" w:lineRule="auto"/>
        <w:ind w:left="360"/>
        <w:jc w:val="left"/>
      </w:pPr>
      <w:r>
        <w:t>•  Luật An toàn thông tin mạng số 86/2015/QH13: [vbpl.vn - Luật ATTT mạng 2015](https://vbpl.vn/TW/Pages/vbpq-toanvan.aspx?ItemID=95650)</w:t>
      </w:r>
    </w:p>
    <w:p>
      <w:pPr>
        <w:spacing w:after="60" w:before="20" w:line="276" w:lineRule="auto"/>
        <w:ind w:left="360"/>
        <w:jc w:val="left"/>
      </w:pPr>
      <w:r>
        <w:t>•  Luật Bảo vệ quyền lợi người tiêu dùng số 19/2023/QH15: [vbpl.vn - Luật BVQLNTD 2023](https://vbpl.vn/TW/Pages/vbpq-toanvan.aspx?ItemID=161389)</w:t>
      </w:r>
    </w:p>
    <w:p>
      <w:pPr>
        <w:spacing w:after="60" w:before="20" w:line="276" w:lineRule="auto"/>
        <w:ind w:left="288"/>
        <w:jc w:val="left"/>
      </w:pPr>
      <w:r>
        <w:t xml:space="preserve">3. </w:t>
      </w:r>
      <w:r>
        <w:rPr>
          <w:b/>
        </w:rPr>
        <w:t>Cổng Thông tin điện tử Quốc hội Việt Nam:</w:t>
      </w:r>
    </w:p>
    <w:p>
      <w:pPr>
        <w:spacing w:after="60" w:before="20" w:line="276" w:lineRule="auto"/>
        <w:ind w:left="360"/>
        <w:jc w:val="left"/>
      </w:pPr>
      <w:r>
        <w:t>•  Trang chủ: [https://quochoi.vn](https://quochoi.vn)</w:t>
      </w:r>
    </w:p>
    <w:p>
      <w:pPr>
        <w:spacing w:after="60" w:before="20" w:line="276" w:lineRule="auto"/>
        <w:ind w:left="360"/>
        <w:jc w:val="left"/>
      </w:pPr>
      <w:r>
        <w:t>•  Luật Dữ liệu số 60/2024/QH15 (thông qua ngày 30/11/2024, hiệu lực từ 01/07/2025): [quochoi.vn - Luật Dữ liệu](https://quochoi.vn)</w:t>
      </w:r>
    </w:p>
    <w:p>
      <w:pPr>
        <w:spacing w:after="60" w:before="20" w:line="276" w:lineRule="auto"/>
        <w:ind w:left="360"/>
        <w:jc w:val="left"/>
      </w:pPr>
      <w:r>
        <w:t>•  Luật Bảo vệ dữ liệu cá nhân 2025 (Luật số 91/2025/QH15, hiệu lực từ 01/01/2026): [quochoi.vn - Luật BV DLCN](https://quochoi.vn)</w:t>
      </w:r>
    </w:p>
    <w:p>
      <w:pPr>
        <w:spacing w:after="60" w:before="20" w:line="276" w:lineRule="auto"/>
        <w:ind w:left="288"/>
        <w:jc w:val="left"/>
      </w:pPr>
      <w:r>
        <w:t xml:space="preserve">4. </w:t>
      </w:r>
      <w:r>
        <w:rPr>
          <w:b/>
        </w:rPr>
        <w:t>Cổng Thông tin Tổng cục Thuế &amp; Thuế Nhà thầu Nước ngoài:</w:t>
      </w:r>
    </w:p>
    <w:p>
      <w:pPr>
        <w:spacing w:after="60" w:before="20" w:line="276" w:lineRule="auto"/>
        <w:ind w:left="360"/>
        <w:jc w:val="left"/>
      </w:pPr>
      <w:r>
        <w:t>•  Trang chủ Tổng cục Thuế: [https://www.gdt.gov.vn](https://www.gdt.gov.vn)</w:t>
      </w:r>
    </w:p>
    <w:p>
      <w:pPr>
        <w:spacing w:after="60" w:before="20" w:line="276" w:lineRule="auto"/>
        <w:ind w:left="360"/>
        <w:jc w:val="left"/>
      </w:pPr>
      <w:r>
        <w:t>•  Thông tư 78/2021/TT-BTC (Hóa đơn điện tử): [gdt.gov.vn - TT 78/2021](https://www.gdt.gov.vn)</w:t>
      </w:r>
    </w:p>
    <w:p>
      <w:pPr>
        <w:spacing w:after="60" w:before="20" w:line="276" w:lineRule="auto"/>
        <w:ind w:left="360"/>
        <w:jc w:val="left"/>
      </w:pPr>
      <w:r>
        <w:t>•  Thông tư 80/2021/TT-BTC (Hướng dẫn thuế &amp; Thuế nhà thầu nước ngoài Google/Meta): [gdt.gov.vn - TT 80/2021](https://www.gdt.gov.vn)</w:t>
      </w:r>
    </w:p>
    <w:p>
      <w:pPr>
        <w:spacing w:after="60" w:before="20" w:line="276" w:lineRule="auto"/>
        <w:ind w:left="360"/>
        <w:jc w:val="left"/>
      </w:pPr>
      <w:r>
        <w:t>•  Thông tư 40/2021/TT-BTC (Thuế đối với hộ kinh doanh, cá nhân kinh doanh): [gdt.gov.vn - TT 40/2021](https://www.gdt.gov.vn)</w:t>
      </w:r>
    </w:p>
    <w:p>
      <w:pPr>
        <w:spacing w:after="60" w:before="20" w:line="276" w:lineRule="auto"/>
        <w:ind w:left="360"/>
        <w:jc w:val="left"/>
      </w:pPr>
      <w:r>
        <w:t>•  Thông tư 219/2013/TT-BTC (Thuế GTGT, Điều 5 các khoản chi hộ thu hộ không tính thuế): [gdt.gov.vn - TT 219/2013](https://www.gdt.gov.vn)</w:t>
      </w:r>
    </w:p>
    <w:p>
      <w:pPr>
        <w:spacing w:after="60" w:before="20" w:line="276" w:lineRule="auto"/>
        <w:ind w:left="360"/>
        <w:jc w:val="left"/>
      </w:pPr>
      <w:r>
        <w:t>•  Cổng thông tin điện tử dành cho Nhà cung cấp nước ngoài (Google/Meta nộp thuế tại Việt Nam): [https://etaxvn.gdt.gov.vn](https://etaxvn.gdt.gov.vn)</w:t>
      </w:r>
    </w:p>
    <w:p>
      <w:pPr>
        <w:spacing w:after="60" w:before="20" w:line="276" w:lineRule="auto"/>
        <w:ind w:left="288"/>
        <w:jc w:val="left"/>
      </w:pPr>
      <w:r>
        <w:t xml:space="preserve">5. </w:t>
      </w:r>
      <w:r>
        <w:rPr>
          <w:b/>
        </w:rPr>
        <w:t>Cổng Thông tin Cục An ninh mạng (A05 - Bộ Công an) &amp; Cục An toàn thông tin (Bộ TT&amp;TT):</w:t>
      </w:r>
    </w:p>
    <w:p>
      <w:pPr>
        <w:spacing w:after="60" w:before="20" w:line="276" w:lineRule="auto"/>
        <w:ind w:left="360"/>
        <w:jc w:val="left"/>
      </w:pPr>
      <w:r>
        <w:t>•  Cổng TTĐT Bộ Công an: [https://bocongan.gov.vn](https://bocongan.gov.vn)</w:t>
      </w:r>
    </w:p>
    <w:p>
      <w:pPr>
        <w:spacing w:after="60" w:before="20" w:line="276" w:lineRule="auto"/>
        <w:ind w:left="360"/>
        <w:jc w:val="left"/>
      </w:pPr>
      <w:r>
        <w:t>•  Cục An toàn thông tin (Bộ TT&amp;TT - Quản trị Danh sách không quảng cáo DNC, Tên định danh Brandname): [https://ais.gov.vn](https://ais.gov.vn)</w:t>
      </w:r>
    </w:p>
    <w:p>
      <w:pPr>
        <w:spacing w:after="60" w:before="20" w:line="276" w:lineRule="auto"/>
        <w:ind w:left="360"/>
        <w:jc w:val="left"/>
      </w:pPr>
      <w:r>
        <w:t>•  Nghị định 91/2020/NĐ-CP (Chống tin nhắn rác, thư rác, cuộc gọi rác): [ais.gov.vn - NĐ 91/2020](https://ais.gov.vn)</w:t>
      </w:r>
    </w:p>
    <w:p>
      <w:pPr>
        <w:spacing w:after="60" w:before="20" w:line="276" w:lineRule="auto"/>
        <w:ind w:left="360"/>
        <w:jc w:val="left"/>
      </w:pPr>
      <w:r>
        <w:t>•  Nghị định 330/2026/NĐ-CP (Xử phạt vi phạm an ninh mạng &amp; dữ liệu cá nhân): [bocongan.gov.vn](https://bocongan.gov.vn)</w:t>
      </w:r>
    </w:p>
    <w:p>
      <w:pPr>
        <w:spacing w:after="60" w:before="20" w:line="276" w:lineRule="auto"/>
        <w:ind w:left="288"/>
        <w:jc w:val="left"/>
      </w:pPr>
      <w:r>
        <w:t xml:space="preserve">6. </w:t>
      </w:r>
      <w:r>
        <w:rPr>
          <w:b/>
        </w:rPr>
        <w:t>Án lệ Tòa án Nhân dân Tối cao:</w:t>
      </w:r>
    </w:p>
    <w:p>
      <w:pPr>
        <w:spacing w:after="60" w:before="20" w:line="276" w:lineRule="auto"/>
        <w:ind w:left="360"/>
        <w:jc w:val="left"/>
      </w:pPr>
      <w:r>
        <w:t>•  Án lệ số 25/2018/AL (Về xác định tiền đặt cọc và tiền trả trước): [https://anle.toaan.gov.vn](https://anle.toaan.gov.vn)</w:t>
      </w:r>
    </w:p>
    <w:p>
      <w:pPr>
        <w:spacing w:after="60" w:before="20" w:line="276" w:lineRule="auto"/>
        <w:ind w:left="360"/>
        <w:jc w:val="left"/>
      </w:pPr>
      <w:r>
        <w:t>•  Án lệ số 09/2016/AL (Về xác định lãi suất nợ quá hạn trung bình trên thị trường): [https://anle.toaan.gov.vn](https://anle.toaan.gov.vn)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