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BIÊN BẢN BÀN GIAO &amp; XÁC NHẬN HOÀN TẤT XÓA DỮ LIỆU CÁ NHÂN</w:t>
      </w:r>
    </w:p>
    <w:p>
      <w:pPr>
        <w:spacing w:after="80" w:before="0" w:line="276" w:lineRule="auto"/>
        <w:jc w:val="left"/>
      </w:pPr>
      <w:r>
        <w:rPr>
          <w:b/>
        </w:rPr>
        <w:t>(DATA RETURN &amp; PERMANENT DELETION CERTIFICATE)</w:t>
      </w:r>
      <w:r>
        <w:t xml:space="preserve">  </w:t>
      </w:r>
    </w:p>
    <w:p>
      <w:pPr>
        <w:spacing w:after="80" w:before="0" w:line="276" w:lineRule="auto"/>
        <w:jc w:val="left"/>
      </w:pPr>
      <w:r>
        <w:rPr>
          <w:b/>
        </w:rPr>
        <w:t>Số hiệu Biên bản:</w:t>
      </w:r>
      <w:r>
        <w:t xml:space="preserve"> [MÃ_ĐƠN]/BB-XOA-DL-LM/[NĂM]  </w:t>
      </w:r>
    </w:p>
    <w:p>
      <w:pPr>
        <w:spacing w:after="80" w:before="0" w:line="276" w:lineRule="auto"/>
        <w:jc w:val="left"/>
      </w:pPr>
      <w:r>
        <w:rPr>
          <w:i/>
        </w:rPr>
        <w:t>(Căn cứ Điều 39 Nghị định số 13/2023/NĐ-CP và Luật Bảo vệ dữ liệu cá nhân 2025)</w:t>
      </w:r>
    </w:p>
    <w:p>
      <w:pPr>
        <w:spacing w:after="120" w:before="80"/>
      </w:pPr>
      <w:r>
        <w:rPr>
          <w:color w:val="CBD5E1"/>
        </w:rPr>
        <w:t>―――――――――――――――――――――――――――――――――――――――――――――――――――――――</w:t>
      </w:r>
    </w:p>
    <w:p>
      <w:pPr>
        <w:spacing w:after="80" w:before="0" w:line="276" w:lineRule="auto"/>
        <w:jc w:val="left"/>
      </w:pPr>
      <w:r>
        <w:t>Hôm nay, ngày [NGÀY] tháng [THÁNG] năm 202[NĂM], tại văn phòng Các Bên, tiến hành lập Biên bản xác nhận hoàn tất việc bàn giao và xóa dữ liệu giữa:</w:t>
      </w:r>
    </w:p>
    <w:p>
      <w:pPr>
        <w:spacing w:after="80" w:before="0" w:line="276" w:lineRule="auto"/>
        <w:jc w:val="left"/>
      </w:pPr>
      <w:r>
        <w:rPr>
          <w:b/>
        </w:rPr>
        <w:t>BÊN A (BÊN KIỂM SOÁT DỮ LIỆU / KHÁCH HÀNG):</w:t>
      </w:r>
    </w:p>
    <w:p>
      <w:pPr>
        <w:spacing w:after="60" w:before="20" w:line="276" w:lineRule="auto"/>
        <w:ind w:left="360"/>
        <w:jc w:val="left"/>
      </w:pPr>
      <w:r>
        <w:t xml:space="preserve">•  Tên Doanh nghiệp: </w:t>
      </w:r>
      <w:r>
        <w:rPr>
          <w:b/>
        </w:rPr>
        <w:t>[TÊN_DOANH_NGHIỆP_KHÁCH_HÀNG]</w:t>
      </w:r>
    </w:p>
    <w:p>
      <w:pPr>
        <w:spacing w:after="60" w:before="20" w:line="276" w:lineRule="auto"/>
        <w:ind w:left="360"/>
        <w:jc w:val="left"/>
      </w:pPr>
      <w:r>
        <w:t>•  Đại diện: [ĐẠI_DIỆN_KHÁCH_HÀNG] — Chức vụ: [CHỨC_VỤ_KHÁCH_HÀNG]</w:t>
      </w:r>
    </w:p>
    <w:p>
      <w:pPr>
        <w:spacing w:after="80" w:before="0" w:line="276" w:lineRule="auto"/>
        <w:jc w:val="left"/>
      </w:pPr>
      <w:r>
        <w:rPr>
          <w:b/>
        </w:rPr>
        <w:t>BÊN B (BÊN XỬ LÝ DỮ LIỆU / LOCALMATE):</w:t>
      </w:r>
    </w:p>
    <w:p>
      <w:pPr>
        <w:spacing w:after="60" w:before="20" w:line="276" w:lineRule="auto"/>
        <w:ind w:left="360"/>
        <w:jc w:val="left"/>
      </w:pPr>
      <w:r>
        <w:t xml:space="preserve">•  Tên pháp lý: </w:t>
      </w:r>
      <w:r>
        <w:rPr>
          <w:b/>
        </w:rPr>
        <w:t>[LOCALMATE_LEGAL_NAME]</w:t>
      </w:r>
    </w:p>
    <w:p>
      <w:pPr>
        <w:spacing w:after="60" w:before="20" w:line="276" w:lineRule="auto"/>
        <w:ind w:left="360"/>
        <w:jc w:val="left"/>
      </w:pPr>
      <w:r>
        <w:t xml:space="preserve">•  Đại diện: </w:t>
      </w:r>
      <w:r>
        <w:rPr>
          <w:b/>
        </w:rPr>
        <w:t>[REPRESENTATIVE]</w:t>
      </w:r>
      <w:r>
        <w:t xml:space="preserve"> — Chức vụ: </w:t>
      </w:r>
      <w:r>
        <w:rPr>
          <w:b/>
        </w:rPr>
        <w:t>[TITLE]</w:t>
      </w:r>
    </w:p>
    <w:p>
      <w:pPr>
        <w:spacing w:after="60" w:before="20" w:line="276" w:lineRule="auto"/>
        <w:ind w:left="360"/>
        <w:jc w:val="left"/>
      </w:pPr>
      <w:r>
        <w:t>•  Cán bộ phụ trách DPO: [TÊN_DPO]</w:t>
      </w:r>
    </w:p>
    <w:p>
      <w:pPr>
        <w:spacing w:after="120" w:before="80"/>
      </w:pPr>
      <w:r>
        <w:rPr>
          <w:color w:val="CBD5E1"/>
        </w:rPr>
        <w:t>―――――――――――――――――――――――――――――――――――――――――――――――――――――――</w:t>
      </w:r>
    </w:p>
    <w:p>
      <w:pPr>
        <w:spacing w:before="160" w:after="60"/>
      </w:pPr>
      <w:r>
        <w:rPr>
          <w:b/>
          <w:color w:val="0D7647"/>
          <w:sz w:val="23"/>
        </w:rPr>
        <w:t>NỘI DUNG XÁC NHẬN KỸ THUẬT:</w:t>
      </w:r>
    </w:p>
    <w:p>
      <w:pPr>
        <w:spacing w:before="120" w:after="40"/>
      </w:pPr>
      <w:r>
        <w:rPr>
          <w:b/>
          <w:color w:val="1E293B"/>
          <w:sz w:val="22"/>
        </w:rPr>
        <w:t>1. Hoàn Tất Bàn Giao Dữ Liệu (Data Return):</w:t>
      </w:r>
    </w:p>
    <w:p>
      <w:pPr>
        <w:spacing w:after="80" w:before="0" w:line="276" w:lineRule="auto"/>
        <w:jc w:val="left"/>
      </w:pPr>
      <w:r>
        <w:t>Bên B đã tiến hành trích xuất toàn bộ cơ sở dữ liệu khách hàng (Leads, thông tin liên hệ, lịch sử tư vấn) thuộc quyền sở hữu của Bên A dưới định dạng chuẩn:</w:t>
      </w:r>
    </w:p>
    <w:p>
      <w:pPr>
        <w:spacing w:after="60" w:before="20" w:line="276" w:lineRule="auto"/>
        <w:ind w:left="360"/>
        <w:jc w:val="left"/>
      </w:pPr>
      <w:r>
        <w:t xml:space="preserve">•  Tên tệp dữ liệu bàn giao: </w:t>
      </w:r>
      <w:r>
        <w:rPr>
          <w:rFonts w:ascii="Consolas" w:hAnsi="Consolas"/>
          <w:color w:val="B42828"/>
          <w:sz w:val="20"/>
        </w:rPr>
        <w:t>[TEN_FILE_EXPORT].csv</w:t>
      </w:r>
      <w:r>
        <w:t xml:space="preserve"> (hoặc </w:t>
      </w:r>
      <w:r>
        <w:rPr>
          <w:rFonts w:ascii="Consolas" w:hAnsi="Consolas"/>
          <w:color w:val="B42828"/>
          <w:sz w:val="20"/>
        </w:rPr>
        <w:t>.json</w:t>
      </w:r>
      <w:r>
        <w:t>)</w:t>
      </w:r>
    </w:p>
    <w:p>
      <w:pPr>
        <w:spacing w:after="60" w:before="20" w:line="276" w:lineRule="auto"/>
        <w:ind w:left="360"/>
        <w:jc w:val="left"/>
      </w:pPr>
      <w:r>
        <w:t>•  Tổng số lượng bản ghi (Records): .................... dòng dữ liệu.</w:t>
      </w:r>
    </w:p>
    <w:p>
      <w:pPr>
        <w:spacing w:after="60" w:before="20" w:line="276" w:lineRule="auto"/>
        <w:ind w:left="360"/>
        <w:jc w:val="left"/>
      </w:pPr>
      <w:r>
        <w:t>•  Phương thức bàn giao: Tệp nén mã hóa gửi qua Email chính thức hoặc đường link Bitwarden Send an toàn.</w:t>
      </w:r>
    </w:p>
    <w:p>
      <w:pPr>
        <w:spacing w:after="60" w:before="20" w:line="276" w:lineRule="auto"/>
        <w:ind w:left="360"/>
        <w:jc w:val="left"/>
      </w:pPr>
      <w:r>
        <w:t>•  Bên A xác nhận đã nhận đầy đủ, nguyên vẹn và kiểm tra tính toàn vẹn của tệp dữ liệu nêu trên.</w:t>
      </w:r>
    </w:p>
    <w:p>
      <w:pPr>
        <w:spacing w:before="120" w:after="40"/>
      </w:pPr>
      <w:r>
        <w:rPr>
          <w:b/>
          <w:color w:val="1E293B"/>
          <w:sz w:val="22"/>
        </w:rPr>
        <w:t>2. Hoàn Tất Xóa Vĩnh Viễn Dữ Liệu Trên Hệ Thống LocalMate (Permanent Cryptographic Deletion):</w:t>
      </w:r>
    </w:p>
    <w:p>
      <w:pPr>
        <w:spacing w:after="60" w:before="20" w:line="276" w:lineRule="auto"/>
        <w:ind w:left="360"/>
        <w:jc w:val="left"/>
      </w:pPr>
      <w:r>
        <w:rPr>
          <w:b/>
        </w:rPr>
        <w:t>•  Thời gian thực hiện xóa:</w:t>
      </w:r>
      <w:r>
        <w:t xml:space="preserve"> hồi ...... giờ ...... phút, ngày [NGÀY]/[THÁNG]/202[NĂM]</w:t>
      </w:r>
    </w:p>
    <w:p>
      <w:pPr>
        <w:spacing w:after="60" w:before="20" w:line="276" w:lineRule="auto"/>
        <w:ind w:left="360"/>
        <w:jc w:val="left"/>
      </w:pPr>
      <w:r>
        <w:rPr>
          <w:b/>
        </w:rPr>
        <w:t>•  Kỹ thuật viên thực thi:</w:t>
      </w:r>
      <w:r>
        <w:t xml:space="preserve"> ............................................................................................................</w:t>
      </w:r>
    </w:p>
    <w:p>
      <w:pPr>
        <w:spacing w:after="60" w:before="20" w:line="276" w:lineRule="auto"/>
        <w:ind w:left="360"/>
        <w:jc w:val="left"/>
      </w:pPr>
      <w:r>
        <w:rPr>
          <w:b/>
        </w:rPr>
        <w:t>•  Phạm vi hệ thống đã xóa sạch:</w:t>
      </w:r>
    </w:p>
    <w:p>
      <w:pPr>
        <w:spacing w:after="80" w:before="0" w:line="276" w:lineRule="auto"/>
        <w:jc w:val="left"/>
      </w:pPr>
      <w:r>
        <w:t xml:space="preserve">  + [x] Xóa vĩnh viễn (Hard Delete) toàn bộ các bảng dữ liệu lead của Bên A trong database Supabase / Google Sheets trung gian;</w:t>
      </w:r>
    </w:p>
    <w:p>
      <w:pPr>
        <w:spacing w:after="80" w:before="0" w:line="276" w:lineRule="auto"/>
        <w:jc w:val="left"/>
      </w:pPr>
      <w:r>
        <w:t xml:space="preserve">  + [x] Thực thi lệnh thanh lọc toàn diện (Purge Everything) trên Cloudflare CDN Cache và Edge Workers;</w:t>
      </w:r>
    </w:p>
    <w:p>
      <w:pPr>
        <w:spacing w:after="80" w:before="0" w:line="276" w:lineRule="auto"/>
        <w:jc w:val="left"/>
      </w:pPr>
      <w:r>
        <w:t xml:space="preserve">  + [x] Thu hồi toàn bộ quyền truy cập của nhân sự, xóa bỏ Webhook endpoints và hủy liên kết API tokens.</w:t>
      </w:r>
    </w:p>
    <w:p>
      <w:pPr>
        <w:spacing w:after="60" w:before="20" w:line="276" w:lineRule="auto"/>
        <w:ind w:left="360"/>
        <w:jc w:val="left"/>
      </w:pPr>
      <w:r>
        <w:rPr>
          <w:b/>
        </w:rPr>
        <w:t>•  Tính Không Thể Phục Hồi:</w:t>
      </w:r>
      <w:r>
        <w:t xml:space="preserve"> Bên B cam đoan bằng danh dự và uy tín pháp nhân rằng toàn bộ các bản ghi dữ liệu cá nhân của Bên A nêu trên đã bị xóa vĩnh viễn khỏi các máy chủ vận hành của Bên B và </w:t>
      </w:r>
      <w:r>
        <w:rPr>
          <w:b/>
        </w:rPr>
        <w:t>HOÀN TOÀN KHÔNG THỂ PHỤC HỒI (IRREVERSIBLE)</w:t>
      </w:r>
      <w:r>
        <w:t>.</w:t>
      </w:r>
    </w:p>
    <w:p>
      <w:pPr>
        <w:spacing w:before="120" w:after="40"/>
      </w:pPr>
      <w:r>
        <w:rPr>
          <w:b/>
          <w:color w:val="1E293B"/>
          <w:sz w:val="22"/>
        </w:rPr>
        <w:t>3. Loại Trừ Hợp Pháp (Legal Exceptions):</w:t>
      </w:r>
    </w:p>
    <w:p>
      <w:pPr>
        <w:spacing w:after="80" w:before="0" w:line="276" w:lineRule="auto"/>
        <w:jc w:val="left"/>
      </w:pPr>
      <w:r>
        <w:t>Hai Bên ghi nhận rằng Biên bản này không bao gồm các chứng từ kế toán, chứng từ thanh toán ngân hàng và hóa đơn GTGT điện tử mà Bên B bắt buộc phải lưu trữ tối thiểu 10 năm theo quy định bất khả kháng của Luật Kế toán và Luật Quản lý thuế Việt Nam.</w:t>
      </w:r>
    </w:p>
    <w:p>
      <w:pPr>
        <w:spacing w:after="80" w:before="0" w:line="276" w:lineRule="auto"/>
        <w:jc w:val="left"/>
      </w:pPr>
      <w:r>
        <w:t>Biên bản này được lập thành 02 (hai) bản gốc có giá trị pháp lý như nhau, mỗi Bên giữ 01 (một) bản để lưu vào Hồ sơ Tuân thủ Bảo vệ Dữ liệu Cá nhân (PDP Compliance Dossier).</w:t>
      </w:r>
    </w:p>
    <w:p>
      <w:pPr>
        <w:spacing w:after="120" w:before="80"/>
      </w:pPr>
      <w:r>
        <w:rPr>
          <w:color w:val="CBD5E1"/>
        </w:rPr>
        <w:t>―――――――――――――――――――――――――――――――――――――――――――――――――――――――</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