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PHỤ LỤC TIẾN ĐỘ THANH TOÁN VÀ ĐIỀU KIỆN TÀI CHÍNH CHUẨN HÓA</w:t>
      </w:r>
    </w:p>
    <w:p>
      <w:pPr>
        <w:spacing w:before="200" w:after="80" w:line="276" w:lineRule="auto"/>
        <w:jc w:val="center"/>
      </w:pPr>
      <w:r>
        <w:rPr>
          <w:b/>
          <w:color w:val="0D7647"/>
          <w:sz w:val="26"/>
        </w:rPr>
        <w:t>(PAYMENT SCHEDULE &amp; FINANCIAL TERMS APPENDIX)</w:t>
      </w:r>
    </w:p>
    <w:p>
      <w:pPr>
        <w:spacing w:after="80" w:before="0" w:line="276" w:lineRule="auto"/>
        <w:jc w:val="left"/>
      </w:pPr>
      <w:r>
        <w:rPr>
          <w:b/>
        </w:rPr>
        <w:t>Mã hiệu văn bản:</w:t>
      </w:r>
      <w:r>
        <w:t xml:space="preserve"> </w:t>
      </w:r>
      <w:r>
        <w:rPr>
          <w:rFonts w:ascii="Consolas" w:hAnsi="Consolas"/>
          <w:color w:val="B42828"/>
          <w:sz w:val="20"/>
        </w:rPr>
        <w:t>LM-ACC-SCH-20</w:t>
      </w:r>
      <w:r>
        <w:t xml:space="preserve">  </w:t>
      </w:r>
    </w:p>
    <w:p>
      <w:pPr>
        <w:spacing w:after="80" w:before="0" w:line="276" w:lineRule="auto"/>
        <w:jc w:val="left"/>
      </w:pPr>
      <w:r>
        <w:rPr>
          <w:i/>
        </w:rPr>
        <w:t>(Đính kèm Hợp đồng Dịch vụ Khung số: [SO_HOP_DONG_MSA]/LM-MSA hoặc Đơn đặt hàng tương ứng)</w:t>
      </w:r>
      <w:r>
        <w:t xml:space="preserve">  </w:t>
      </w:r>
    </w:p>
    <w:p>
      <w:pPr>
        <w:spacing w:after="80" w:before="0" w:line="276" w:lineRule="auto"/>
        <w:jc w:val="left"/>
      </w:pPr>
      <w:r>
        <w:rPr>
          <w:b/>
        </w:rPr>
        <w:t>Căn cứ pháp lý:</w:t>
      </w:r>
      <w:r>
        <w:t xml:space="preserve">  </w:t>
      </w:r>
    </w:p>
    <w:p>
      <w:pPr>
        <w:spacing w:after="60" w:before="20" w:line="276" w:lineRule="auto"/>
        <w:ind w:left="360"/>
        <w:jc w:val="left"/>
      </w:pPr>
      <w:r>
        <w:rPr>
          <w:i/>
        </w:rPr>
        <w:t>•  Bộ luật Dân sự số 91/2015/QH13 (Điều 328 về Đặt cọc, Điều 357, Điều 468 về Lãi suất chậm trả);</w:t>
      </w:r>
      <w:r>
        <w:t xml:space="preserve">  </w:t>
      </w:r>
    </w:p>
    <w:p>
      <w:pPr>
        <w:spacing w:after="60" w:before="20" w:line="276" w:lineRule="auto"/>
        <w:ind w:left="360"/>
        <w:jc w:val="left"/>
      </w:pPr>
      <w:r>
        <w:rPr>
          <w:i/>
        </w:rPr>
        <w:t>•  Án lệ số 25/2018/AL về việc xác định tiền đặt cọc và tiền trả trước;</w:t>
      </w:r>
      <w:r>
        <w:t xml:space="preserve">  </w:t>
      </w:r>
    </w:p>
    <w:p>
      <w:pPr>
        <w:spacing w:after="60" w:before="20" w:line="276" w:lineRule="auto"/>
        <w:ind w:left="360"/>
        <w:jc w:val="left"/>
      </w:pPr>
      <w:r>
        <w:rPr>
          <w:i/>
        </w:rPr>
        <w:t>•  Luật Quản lý thuế số 38/2019/QH14 và Nghị định số 123/2020/NĐ-CP về hóa đơn, chứng từ;</w:t>
      </w:r>
      <w:r>
        <w:t xml:space="preserve">  </w:t>
      </w:r>
    </w:p>
    <w:p>
      <w:pPr>
        <w:spacing w:after="60" w:before="20" w:line="276" w:lineRule="auto"/>
        <w:ind w:left="360"/>
        <w:jc w:val="left"/>
      </w:pPr>
      <w:r>
        <w:rPr>
          <w:i/>
        </w:rPr>
        <w:t>•  Thông tư số 219/2013/TT-BTC (Điểm d Khoản 7 Điều 5 về các khoản thu hộ, chi hộ không chịu thuế).</w:t>
      </w:r>
    </w:p>
    <w:p>
      <w:pPr>
        <w:spacing w:after="120" w:before="80"/>
      </w:pPr>
      <w:r>
        <w:rPr>
          <w:color w:val="CBD5E1"/>
        </w:rPr>
        <w:t>―――――――――――――――――――――――――――――――――――――――――――――――――――――――</w:t>
      </w:r>
    </w:p>
    <w:p>
      <w:pPr>
        <w:spacing w:after="80" w:before="0" w:line="276" w:lineRule="auto"/>
        <w:jc w:val="left"/>
      </w:pPr>
      <w:r>
        <w:t>Phụ lục này được lập vào ngày [NGAY] tháng [THANG] năm 202[X] giữa:</w:t>
      </w:r>
    </w:p>
    <w:p>
      <w:pPr>
        <w:spacing w:after="60" w:before="20" w:line="276" w:lineRule="auto"/>
        <w:ind w:left="360"/>
        <w:jc w:val="left"/>
      </w:pPr>
      <w:r>
        <w:rPr>
          <w:b/>
        </w:rPr>
        <w:t>•  BÊN A (KHÁCH HÀNG):</w:t>
      </w:r>
      <w:r>
        <w:t xml:space="preserve"> [TEN_KHACH_HANG] (Đại diện: [NGUOI_DAI_DIEN_A])</w:t>
      </w:r>
    </w:p>
    <w:p>
      <w:pPr>
        <w:spacing w:after="60" w:before="20" w:line="276" w:lineRule="auto"/>
        <w:ind w:left="360"/>
        <w:jc w:val="left"/>
      </w:pPr>
      <w:r>
        <w:rPr>
          <w:b/>
        </w:rPr>
        <w:t>•  BÊN B (LOCALMATE):</w:t>
      </w:r>
      <w:r>
        <w:t xml:space="preserve"> [LOCALMATE_LEGAL_NAME] (Đại diện: [REPRESENTATIVE])</w:t>
      </w:r>
    </w:p>
    <w:p>
      <w:pPr>
        <w:spacing w:after="80" w:before="0" w:line="276" w:lineRule="auto"/>
        <w:jc w:val="left"/>
      </w:pPr>
      <w:r>
        <w:t>Hai Bên thống nhất áp dụng một trong các mô hình tiến độ thanh toán và điều kiện tài chính dưới đây cho từng loại hình dịch vụ:</w:t>
      </w:r>
    </w:p>
    <w:p>
      <w:pPr>
        <w:spacing w:after="120" w:before="80"/>
      </w:pPr>
      <w:r>
        <w:rPr>
          <w:color w:val="CBD5E1"/>
        </w:rPr>
        <w:t>―――――――――――――――――――――――――――――――――――――――――――――――――――――――</w:t>
      </w:r>
    </w:p>
    <w:p>
      <w:pPr>
        <w:spacing w:before="160" w:after="60"/>
      </w:pPr>
      <w:r>
        <w:rPr>
          <w:b/>
          <w:color w:val="0D7647"/>
          <w:sz w:val="23"/>
        </w:rPr>
        <w:t>ĐIỀU 1. BA MÔ HÌNH TIẾN ĐỘ THANH TOÁN CHUẨN HÓA CỦA LOCALMATE</w:t>
      </w:r>
    </w:p>
    <w:p>
      <w:pPr>
        <w:spacing w:after="80" w:before="0" w:line="276" w:lineRule="auto"/>
        <w:jc w:val="left"/>
      </w:pPr>
      <w:r>
        <w:t>Tùy theo quy mô gói dịch vụ được lựa chọn tại Đơn Đặt Hàng (SO) hoặc Báo giá, Hai Bên áp dụng mô hình thanh toán tương ứng sau:</w:t>
      </w:r>
    </w:p>
    <w:p>
      <w:pPr>
        <w:spacing w:before="120" w:after="40"/>
      </w:pPr>
      <w:r>
        <w:rPr>
          <w:b/>
          <w:color w:val="1E293B"/>
          <w:sz w:val="22"/>
        </w:rPr>
        <w:t>MÔ HÌNH 1: DỰ ÁN TIÊU CHUẨN 50 / 50 (ÁP DỤNG CHO DỰ ÁN DƯỚI 30 TRIỆU ĐỒNG)</w:t>
      </w:r>
    </w:p>
    <w:p>
      <w:pPr>
        <w:spacing w:after="80" w:before="0" w:line="276" w:lineRule="auto"/>
        <w:jc w:val="left"/>
      </w:pPr>
      <w:r>
        <w:rPr>
          <w:i/>
        </w:rPr>
        <w:t>(Thường áp dụng cho: Thiết kế website tiêu chuẩn, Xác minh &amp; Tối ưu Google Maps, Thiết lập luồng CRM ban đầu)</w:t>
      </w:r>
    </w:p>
    <w:p>
      <w:pPr>
        <w:spacing w:after="60" w:before="20" w:line="276" w:lineRule="auto"/>
        <w:ind w:left="360"/>
        <w:jc w:val="left"/>
      </w:pPr>
      <w:r>
        <w:rPr>
          <w:b/>
        </w:rPr>
        <w:t>•  Đợt 1 (Đặt cọc bảo đảm hợp đồng):</w:t>
      </w:r>
      <w:r>
        <w:t xml:space="preserve"> Bên A thanh toán </w:t>
      </w:r>
      <w:r>
        <w:rPr>
          <w:b/>
        </w:rPr>
        <w:t>50%</w:t>
      </w:r>
      <w:r>
        <w:t xml:space="preserve"> tổng giá trị dịch vụ ngay sau khi ký Hợp đồng/Đơn hàng. Số tiền này là </w:t>
      </w:r>
      <w:r>
        <w:rPr>
          <w:b/>
        </w:rPr>
        <w:t>Tiền đặt cọc theo Điều 328 Bộ luật Dân sự 2015</w:t>
      </w:r>
      <w:r>
        <w:t xml:space="preserve"> để bảo đảm việc giao kết và thực hiện hợp đồng;</w:t>
      </w:r>
    </w:p>
    <w:p>
      <w:pPr>
        <w:spacing w:after="60" w:before="20" w:line="276" w:lineRule="auto"/>
        <w:ind w:left="360"/>
        <w:jc w:val="left"/>
      </w:pPr>
      <w:r>
        <w:rPr>
          <w:b/>
        </w:rPr>
        <w:t>•  Đợt 2 (Thanh toán dứt điểm khi nghiệm thu):</w:t>
      </w:r>
      <w:r>
        <w:t xml:space="preserve"> Bên A thanh toán </w:t>
      </w:r>
      <w:r>
        <w:rPr>
          <w:b/>
        </w:rPr>
        <w:t>50%</w:t>
      </w:r>
      <w:r>
        <w:t xml:space="preserve"> còn lại trong vòng </w:t>
      </w:r>
      <w:r>
        <w:rPr>
          <w:b/>
        </w:rPr>
        <w:t>03 (ba) ngày làm việc</w:t>
      </w:r>
      <w:r>
        <w:t xml:space="preserve"> kể từ ngày ký Biên bản nghiệm thu và hoàn tất bàn giao tài khoản.</w:t>
      </w:r>
    </w:p>
    <w:p>
      <w:pPr>
        <w:spacing w:before="120" w:after="40"/>
      </w:pPr>
      <w:r>
        <w:rPr>
          <w:b/>
          <w:color w:val="1E293B"/>
          <w:sz w:val="22"/>
        </w:rPr>
        <w:t>MÔ HÌNH 2: DỰ ÁN DOANH NGHIỆP 40 / 30 / 30 (ÁP DỤNG CHO DỰ ÁN TRÊN 30 TRIỆU ĐỒNG)</w:t>
      </w:r>
    </w:p>
    <w:p>
      <w:pPr>
        <w:spacing w:after="80" w:before="0" w:line="276" w:lineRule="auto"/>
        <w:jc w:val="left"/>
      </w:pPr>
      <w:r>
        <w:rPr>
          <w:i/>
        </w:rPr>
        <w:t>(Thường áp dụng cho: Website thương mại doanh nghiệp, Hệ thống tự động hóa phức tạp)</w:t>
      </w:r>
    </w:p>
    <w:p>
      <w:pPr>
        <w:spacing w:after="60" w:before="20" w:line="276" w:lineRule="auto"/>
        <w:ind w:left="360"/>
        <w:jc w:val="left"/>
      </w:pPr>
      <w:r>
        <w:rPr>
          <w:b/>
        </w:rPr>
        <w:t>•  Đợt 1 (Đặt cọc khởi động dự án):</w:t>
      </w:r>
      <w:r>
        <w:t xml:space="preserve"> Bên A thanh toán </w:t>
      </w:r>
      <w:r>
        <w:rPr>
          <w:b/>
        </w:rPr>
        <w:t>40%</w:t>
      </w:r>
      <w:r>
        <w:t xml:space="preserve"> tổng giá trị dịch vụ ngay sau khi ký kết Hợp đồng để bảo đảm thực hiện hợp đồng và giữ lịch nhân sự chuyên trách;</w:t>
      </w:r>
    </w:p>
    <w:p>
      <w:pPr>
        <w:spacing w:after="60" w:before="20" w:line="276" w:lineRule="auto"/>
        <w:ind w:left="360"/>
        <w:jc w:val="left"/>
      </w:pPr>
      <w:r>
        <w:rPr>
          <w:b/>
        </w:rPr>
        <w:t>•  Đợt 2 (Nghiệm thu Giai đoạn thiết kế Staging):</w:t>
      </w:r>
      <w:r>
        <w:t xml:space="preserve"> Bên A thanh toán </w:t>
      </w:r>
      <w:r>
        <w:rPr>
          <w:b/>
        </w:rPr>
        <w:t>30%</w:t>
      </w:r>
      <w:r>
        <w:t xml:space="preserve"> giá trị dịch vụ trong vòng 03 ngày làm việc sau khi Bên B bàn giao và Bên A phê duyệt giao diện Demo thử nghiệm (Mốc M2 trong SOW);</w:t>
      </w:r>
    </w:p>
    <w:p>
      <w:pPr>
        <w:spacing w:after="60" w:before="20" w:line="276" w:lineRule="auto"/>
        <w:ind w:left="360"/>
        <w:jc w:val="left"/>
      </w:pPr>
      <w:r>
        <w:rPr>
          <w:b/>
        </w:rPr>
        <w:t>•  Đợt 3 (Quyết toán khi bàn giao chính thức):</w:t>
      </w:r>
      <w:r>
        <w:t xml:space="preserve"> Bên A thanh toán </w:t>
      </w:r>
      <w:r>
        <w:rPr>
          <w:b/>
        </w:rPr>
        <w:t>30%</w:t>
      </w:r>
      <w:r>
        <w:t xml:space="preserve"> còn lại (+ chi phí phát sinh nếu có) trong vòng 03 ngày làm việc kể từ ngày nghiệm thu đưa website vào vận hành trên tên miền chính thức.</w:t>
      </w:r>
    </w:p>
    <w:p>
      <w:pPr>
        <w:spacing w:before="120" w:after="40"/>
      </w:pPr>
      <w:r>
        <w:rPr>
          <w:b/>
          <w:color w:val="1E293B"/>
          <w:sz w:val="22"/>
        </w:rPr>
        <w:t>MÔ HÌNH 3: DỊCH VỤ DUY TRÌ ĐỊNH KỲ THEO THÁNG (MONTHLY RETAINER)</w:t>
      </w:r>
    </w:p>
    <w:p>
      <w:pPr>
        <w:spacing w:after="80" w:before="0" w:line="276" w:lineRule="auto"/>
        <w:jc w:val="left"/>
      </w:pPr>
      <w:r>
        <w:rPr>
          <w:i/>
        </w:rPr>
        <w:t>(Áp dụng cho: Dịch vụ Quản trị Google Ads, Sản xuất Nội dung &amp; Fanpage, Gói Bảo trì Kỹ thuật SLA)</w:t>
      </w:r>
    </w:p>
    <w:p>
      <w:pPr>
        <w:spacing w:after="60" w:before="20" w:line="276" w:lineRule="auto"/>
        <w:ind w:left="360"/>
        <w:jc w:val="left"/>
      </w:pPr>
      <w:r>
        <w:rPr>
          <w:b/>
        </w:rPr>
        <w:t>•  Thanh toán trước 100%:</w:t>
      </w:r>
      <w:r>
        <w:t xml:space="preserve"> Bên A thanh toán 100% phí dịch vụ của từng tháng vào </w:t>
      </w:r>
      <w:r>
        <w:rPr>
          <w:b/>
        </w:rPr>
        <w:t>đầu mỗi chu kỳ thực hiện (từ ngày 01 đến ngày 05 hàng tháng)</w:t>
      </w:r>
      <w:r>
        <w:t>;</w:t>
      </w:r>
    </w:p>
    <w:p>
      <w:pPr>
        <w:spacing w:after="60" w:before="20" w:line="276" w:lineRule="auto"/>
        <w:ind w:left="360"/>
        <w:jc w:val="left"/>
      </w:pPr>
      <w:r>
        <w:t>•  Bên B chỉ kích hoạt hoặc tiếp tục duy trì chiến dịch quảng cáo và sản xuất nội dung sau khi đã nhận đủ phí dịch vụ của tháng đó.</w:t>
      </w:r>
    </w:p>
    <w:p>
      <w:pPr>
        <w:spacing w:after="120" w:before="80"/>
      </w:pPr>
      <w:r>
        <w:rPr>
          <w:color w:val="CBD5E1"/>
        </w:rPr>
        <w:t>―――――――――――――――――――――――――――――――――――――――――――――――――――――――</w:t>
      </w:r>
    </w:p>
    <w:p>
      <w:pPr>
        <w:spacing w:before="160" w:after="60"/>
      </w:pPr>
      <w:r>
        <w:rPr>
          <w:b/>
          <w:color w:val="0D7647"/>
          <w:sz w:val="23"/>
        </w:rPr>
        <w:t>ĐIỀU 2. QUY CHẾ TIỀN ĐẶT CỌC VÀ XỬ LÝ KHI VI PHẠM HỢP ĐỒNG (THEO ĐIỀU 328 BLDS 2015)</w:t>
      </w:r>
    </w:p>
    <w:p>
      <w:pPr>
        <w:spacing w:after="80" w:before="0" w:line="276" w:lineRule="auto"/>
        <w:jc w:val="left"/>
      </w:pPr>
      <w:r>
        <w:t xml:space="preserve">2.1. Căn cứ Điều 328 Bộ luật Dân sự 2015 và Án lệ số 25/2018/AL của Hội đồng Thẩm phán Tòa án nhân dân tối cao, Hai Bên xác nhận rõ ràng khoản thanh toán Đợt 1 là </w:t>
      </w:r>
      <w:r>
        <w:rPr>
          <w:b/>
        </w:rPr>
        <w:t>Tiền đặt cọc</w:t>
      </w:r>
      <w:r>
        <w:t>, không phải là tiền tạm ứng hay tiền trả trước thông thường.</w:t>
      </w:r>
    </w:p>
    <w:p>
      <w:pPr>
        <w:spacing w:after="80" w:before="0" w:line="276" w:lineRule="auto"/>
        <w:jc w:val="left"/>
      </w:pPr>
      <w:r>
        <w:t xml:space="preserve">2.2. </w:t>
      </w:r>
      <w:r>
        <w:rPr>
          <w:b/>
        </w:rPr>
        <w:t>Cơ chế xử lý tiền đặt cọc:</w:t>
      </w:r>
    </w:p>
    <w:p>
      <w:pPr>
        <w:spacing w:after="60" w:before="20" w:line="276" w:lineRule="auto"/>
        <w:ind w:left="360"/>
        <w:jc w:val="left"/>
      </w:pPr>
      <w:r>
        <w:t>•  Khi hợp đồng được thực hiện và hoàn thành nghiệm thu, toàn bộ số tiền đặt cọc này được tự động đối trừ vào nghĩa vụ thanh toán của Bên A;</w:t>
      </w:r>
    </w:p>
    <w:p>
      <w:pPr>
        <w:spacing w:after="60" w:before="20" w:line="276" w:lineRule="auto"/>
        <w:ind w:left="360"/>
        <w:jc w:val="left"/>
      </w:pPr>
      <w:r>
        <w:t xml:space="preserve">•  Trường hợp Bên A đơn phương từ chối tiếp tục thực hiện hợp đồng, chậm bàn giao tài liệu quá 30 ngày mà không có lý do chính đáng, hoặc tự ý hủy dự án khi Bên B không có lỗi: </w:t>
      </w:r>
      <w:r>
        <w:rPr>
          <w:b/>
        </w:rPr>
        <w:t>Bên B có toàn quyền sở hữu 100% số tiền đặt cọc</w:t>
      </w:r>
      <w:r>
        <w:t xml:space="preserve"> nhằm bù đắp chi phí cơ hội, chi phí lập kế hoạch và thời gian làm việc của đội ngũ chuyên gia;</w:t>
      </w:r>
    </w:p>
    <w:p>
      <w:pPr>
        <w:spacing w:after="60" w:before="20" w:line="276" w:lineRule="auto"/>
        <w:ind w:left="360"/>
        <w:jc w:val="left"/>
      </w:pPr>
      <w:r>
        <w:t>•  Trường hợp Bên B từ chối thực hiện hợp đồng mà không do sự kiện bất khả kháng hoặc không do lỗi của Bên A: Bên B có nghĩa vụ hoàn trả lại cho Bên A toàn bộ số tiền đặt cọc đã nhận kèm theo một khoản tiền tương đương giá trị tiền cọc (theo nguyên tắc phạt cọc gấp đôi tại Khoản 2 Điều 328 BLDS 2015).</w:t>
      </w:r>
    </w:p>
    <w:p>
      <w:pPr>
        <w:spacing w:after="120" w:before="80"/>
      </w:pPr>
      <w:r>
        <w:rPr>
          <w:color w:val="CBD5E1"/>
        </w:rPr>
        <w:t>―――――――――――――――――――――――――――――――――――――――――――――――――――――――</w:t>
      </w:r>
    </w:p>
    <w:p>
      <w:pPr>
        <w:spacing w:before="160" w:after="60"/>
      </w:pPr>
      <w:r>
        <w:rPr>
          <w:b/>
          <w:color w:val="0D7647"/>
          <w:sz w:val="23"/>
        </w:rPr>
        <w:t>ĐIỀU 3. NGUYÊN TẮC BÓC TÁCH NGÂN SÁCH QUẢNG CÁO (MEDIA SPEND) VÀ HÓA ĐƠN THUẾ</w:t>
      </w:r>
    </w:p>
    <w:p>
      <w:pPr>
        <w:spacing w:after="80" w:before="0" w:line="276" w:lineRule="auto"/>
        <w:jc w:val="left"/>
      </w:pPr>
      <w:r>
        <w:t xml:space="preserve">3.1. </w:t>
      </w:r>
      <w:r>
        <w:rPr>
          <w:b/>
        </w:rPr>
        <w:t>Bóc tách dòng tiền bắt buộc:</w:t>
      </w:r>
      <w:r>
        <w:t xml:space="preserve"> Nhằm tuân thủ pháp luật thuế và phòng ngừa rủi ro bị cơ quan thuế ấn định doanh thu sai quy định:</w:t>
      </w:r>
    </w:p>
    <w:p>
      <w:pPr>
        <w:spacing w:after="60" w:before="20" w:line="276" w:lineRule="auto"/>
        <w:ind w:left="360"/>
        <w:jc w:val="left"/>
      </w:pPr>
      <w:r>
        <w:rPr>
          <w:b/>
        </w:rPr>
        <w:t>•  Phương án 1 (Khuyến nghị ưu tiên):</w:t>
      </w:r>
      <w:r>
        <w:t xml:space="preserve"> Khách hàng trực tiếp liên kết thẻ thanh toán quốc tế (Visa/Mastercard) của Khách hàng vào tài khoản Google Ads/Meta Ads. Nền tảng Google/Meta sẽ tự động trích tiền từ thẻ của Khách hàng và xuất hóa đơn điện tử có mã số thuế nhà thầu nước ngoài trực tiếp cho Khách hàng (được khấu trừ thuế hợp pháp). LocalMate chỉ thu duy nhất </w:t>
      </w:r>
      <w:r>
        <w:rPr>
          <w:b/>
        </w:rPr>
        <w:t>Phí dịch vụ quản trị (Management Fee)</w:t>
      </w:r>
      <w:r>
        <w:t xml:space="preserve"> và xuất hóa đơn dịch vụ tương ứng;</w:t>
      </w:r>
    </w:p>
    <w:p>
      <w:pPr>
        <w:spacing w:after="60" w:before="20" w:line="276" w:lineRule="auto"/>
        <w:ind w:left="360"/>
        <w:jc w:val="left"/>
      </w:pPr>
      <w:r>
        <w:rPr>
          <w:b/>
        </w:rPr>
        <w:t>•  Phương án 2 (Trường hợp ủy thác chi hộ):</w:t>
      </w:r>
      <w:r>
        <w:t xml:space="preserve"> Nếu Khách hàng chuyển tiền ngân sách cho LocalMate để nạp hộ vào tài khoản quảng cáo, Hai Bên xác nhận khoản tiền này là </w:t>
      </w:r>
      <w:r>
        <w:rPr>
          <w:b/>
        </w:rPr>
        <w:t>Khoản thu hộ, chi hộ theo Điểm d Khoản 7 Điều 5 Thông tư 219/2013/TT-BTC</w:t>
      </w:r>
      <w:r>
        <w:t>. LocalMate không xuất hóa đơn GTGT cho khoản tiền chi hộ này và Khách hàng không được khấu trừ thuế từ LocalMate đối với phần Media Spend nạp hộ.</w:t>
      </w:r>
    </w:p>
    <w:p>
      <w:pPr>
        <w:spacing w:after="80" w:before="0" w:line="276" w:lineRule="auto"/>
        <w:jc w:val="left"/>
      </w:pPr>
      <w:r>
        <w:t xml:space="preserve">3.2. </w:t>
      </w:r>
      <w:r>
        <w:rPr>
          <w:b/>
        </w:rPr>
        <w:t>Thời điểm xuất hóa đơn GTGT:</w:t>
      </w:r>
      <w:r>
        <w:t xml:space="preserve"> Theo Khoản 2 Điều 9 Nghị định 123/2020/NĐ-CP, LocalMate sẽ xuất hóa đơn GTGT dịch vụ gửi cho Khách hàng tại thời điểm hoàn thành dịch vụ (sau khi ký Biên bản nghiệm thu) hoặc tại thời điểm thu tiền trước (đối với dịch vụ duy trì theo tháng).</w:t>
      </w:r>
    </w:p>
    <w:p>
      <w:pPr>
        <w:spacing w:after="120" w:before="80"/>
      </w:pPr>
      <w:r>
        <w:rPr>
          <w:color w:val="CBD5E1"/>
        </w:rPr>
        <w:t>―――――――――――――――――――――――――――――――――――――――――――――――――――――――</w:t>
      </w:r>
    </w:p>
    <w:p>
      <w:pPr>
        <w:spacing w:before="160" w:after="60"/>
      </w:pPr>
      <w:r>
        <w:rPr>
          <w:b/>
          <w:color w:val="0D7647"/>
          <w:sz w:val="23"/>
        </w:rPr>
        <w:t>ĐIỀU 4. CHẾ TÀI CHẬM THANH TOÁN</w:t>
      </w:r>
    </w:p>
    <w:p>
      <w:pPr>
        <w:spacing w:after="80" w:before="0" w:line="276" w:lineRule="auto"/>
        <w:jc w:val="left"/>
      </w:pPr>
      <w:r>
        <w:t>Trường hợp Bên A chậm thanh toán bất kỳ khoản tiền nào quá hạn theo lịch trình quy định tại Điều 1:</w:t>
      </w:r>
    </w:p>
    <w:p>
      <w:pPr>
        <w:spacing w:after="60" w:before="20" w:line="276" w:lineRule="auto"/>
        <w:ind w:left="360"/>
        <w:jc w:val="left"/>
      </w:pPr>
      <w:r>
        <w:t xml:space="preserve">•  Bên A phải chịu lãi chậm trả tính từ ngày kế tiếp của hạn chót thanh toán cho đến ngày thanh toán thực tế với mức lãi suất </w:t>
      </w:r>
      <w:r>
        <w:rPr>
          <w:b/>
        </w:rPr>
        <w:t>0,05%/ngày</w:t>
      </w:r>
      <w:r>
        <w:t xml:space="preserve"> (tương đương 18%/năm) theo Điều 357 và Điều 468 Bộ luật Dân sự 2015;</w:t>
      </w:r>
    </w:p>
    <w:p>
      <w:pPr>
        <w:spacing w:after="60" w:before="20" w:line="276" w:lineRule="auto"/>
        <w:ind w:left="360"/>
        <w:jc w:val="left"/>
      </w:pPr>
      <w:r>
        <w:t>•  Quá thời hạn thanh toán 07 (bảy) ngày làm việc, LocalMate có quyền tạm ngừng mọi hoạt động hỗ trợ kỹ thuật, tạm ngắt quảng cáo hoặc đưa website về chế độ bảo trì cho đến khi nhận được đủ tiền thanh toán.</w:t>
      </w:r>
    </w:p>
    <w:p>
      <w:pPr>
        <w:spacing w:after="120" w:before="80"/>
      </w:pPr>
      <w:r>
        <w:rPr>
          <w:color w:val="CBD5E1"/>
        </w:rPr>
        <w:t>―――――――――――――――――――――――――――――――――――――――――――――――――――――――</w:t>
      </w:r>
    </w:p>
    <w:p>
      <w:pPr>
        <w:spacing w:after="80" w:before="0" w:line="276" w:lineRule="auto"/>
        <w:jc w:val="left"/>
      </w:pPr>
      <w:r>
        <w:t>Phụ lục này có hiệu lực kể từ ngày ký và là căn cứ tài chính bắt buộc áp dụng trong suốt quá trình Hai Bên giao kết và thực hiện dịch vụ.</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02"/>
        <w:gridCol w:w="4802"/>
      </w:tblGrid>
      <w:tr>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A (KHÁCH HÀNG)</w:t>
            </w:r>
          </w:p>
        </w:tc>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B (LOCALMATE)</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[NGUOI_DAI_DIEN_A]</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[REPRESENTATIVE]</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[CHUC_VU_A]</w:t>
            </w:r>
          </w:p>
        </w:tc>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[TITLE]</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r>
    </w:tbl>
    <w:p>
      <w:pPr>
        <w:spacing w:before="0" w:after="8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