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CHÍNH SÁCH THANH TOÁN, HỦY DỊCH VỤ VÀ HOÀN TIỀN</w:t>
      </w:r>
    </w:p>
    <w:p>
      <w:pPr>
        <w:spacing w:before="200" w:after="80" w:line="276" w:lineRule="auto"/>
        <w:jc w:val="center"/>
      </w:pPr>
      <w:r>
        <w:rPr>
          <w:b/>
          <w:color w:val="0D7647"/>
          <w:sz w:val="26"/>
        </w:rPr>
        <w:t>(PAYMENT, CANCELLATION &amp; REFUND POLICY)</w:t>
      </w:r>
    </w:p>
    <w:p>
      <w:pPr>
        <w:spacing w:after="80" w:before="0" w:line="276" w:lineRule="auto"/>
        <w:jc w:val="left"/>
      </w:pPr>
      <w:r>
        <w:rPr>
          <w:b/>
        </w:rPr>
        <w:t>Mã văn bản:</w:t>
      </w:r>
      <w:r>
        <w:t xml:space="preserve"> </w:t>
      </w:r>
      <w:r>
        <w:rPr>
          <w:rFonts w:ascii="Consolas" w:hAnsi="Consolas"/>
          <w:color w:val="B42828"/>
          <w:sz w:val="20"/>
        </w:rPr>
        <w:t>LM-POL-PAY-28</w:t>
      </w:r>
      <w:r>
        <w:t xml:space="preserve"> | </w:t>
      </w:r>
      <w:r>
        <w:rPr>
          <w:b/>
        </w:rPr>
        <w:t>Áp dụng chính thức từ:</w:t>
      </w:r>
      <w:r>
        <w:t xml:space="preserve"> 01/01/2026  </w:t>
      </w:r>
    </w:p>
    <w:p>
      <w:pPr>
        <w:spacing w:after="80" w:before="0" w:line="276" w:lineRule="auto"/>
        <w:jc w:val="left"/>
      </w:pPr>
      <w:r>
        <w:rPr>
          <w:b/>
        </w:rPr>
        <w:t>Website:</w:t>
      </w:r>
      <w:r>
        <w:t xml:space="preserve"> [https://localmate.vn](https://localmate.vn)  </w:t>
      </w:r>
    </w:p>
    <w:p>
      <w:pPr>
        <w:spacing w:after="80" w:before="0" w:line="276" w:lineRule="auto"/>
        <w:jc w:val="left"/>
      </w:pPr>
      <w:r>
        <w:rPr>
          <w:b/>
        </w:rPr>
        <w:t>Đơn vị vận hành:</w:t>
      </w:r>
      <w:r>
        <w:t xml:space="preserve"> [LOCALMATE_LEGAL_NAME] ("LocalMate")  </w:t>
      </w:r>
    </w:p>
    <w:p>
      <w:pPr>
        <w:spacing w:after="60" w:before="20" w:line="276" w:lineRule="auto"/>
        <w:ind w:left="360"/>
        <w:jc w:val="left"/>
      </w:pPr>
      <w:r>
        <w:t xml:space="preserve">•  Hotline tài chính: 0834.422.439 | Email: billing@localmate.vn / contact@localmate.vn  </w:t>
      </w:r>
    </w:p>
    <w:p>
      <w:pPr>
        <w:spacing w:after="60" w:before="20" w:line="276" w:lineRule="auto"/>
        <w:ind w:left="360"/>
        <w:jc w:val="left"/>
      </w:pPr>
      <w:r>
        <w:t>•  Địa chỉ: [ADDRESS] | MST: [MST]</w:t>
      </w:r>
    </w:p>
    <w:p>
      <w:pPr>
        <w:spacing w:after="120" w:before="80"/>
      </w:pPr>
      <w:r>
        <w:rPr>
          <w:color w:val="CBD5E1"/>
        </w:rPr>
        <w:t>―――――――――――――――――――――――――――――――――――――――――――――――――――――――</w:t>
      </w:r>
    </w:p>
    <w:p>
      <w:pPr>
        <w:spacing w:after="80" w:before="0" w:line="276" w:lineRule="auto"/>
        <w:jc w:val="left"/>
      </w:pPr>
      <w:r>
        <w:t>Chính sách này quy định rõ ràng về các phương thức thanh toán hợp lệ, quy chế tiền đặt cọc, các điều kiện hủy dịch vụ và quy trình hoàn trả tiền (nếu có) giữa LocalMate và Khách hàng khi giao kết và sử dụng dịch vụ.</w:t>
      </w:r>
    </w:p>
    <w:p>
      <w:pPr>
        <w:spacing w:after="120" w:before="80"/>
      </w:pPr>
      <w:r>
        <w:rPr>
          <w:color w:val="CBD5E1"/>
        </w:rPr>
        <w:t>―――――――――――――――――――――――――――――――――――――――――――――――――――――――</w:t>
      </w:r>
    </w:p>
    <w:p>
      <w:pPr>
        <w:spacing w:before="160" w:after="60"/>
      </w:pPr>
      <w:r>
        <w:rPr>
          <w:b/>
          <w:color w:val="0D7647"/>
          <w:sz w:val="23"/>
        </w:rPr>
        <w:t>ĐIỀU 1. PHƯƠNG THỨC THANH TOÁN HỢP LỆ</w:t>
      </w:r>
    </w:p>
    <w:p>
      <w:pPr>
        <w:spacing w:after="80" w:before="0" w:line="276" w:lineRule="auto"/>
        <w:jc w:val="left"/>
      </w:pPr>
      <w:r>
        <w:t xml:space="preserve">LocalMate chỉ chấp nhận thanh toán thông qua hình thức </w:t>
      </w:r>
      <w:r>
        <w:rPr>
          <w:b/>
        </w:rPr>
        <w:t>Chuyển khoản Ngân hàng (Internet Banking / Mobile Banking / Ủy nhiệm chi)</w:t>
      </w:r>
      <w:r>
        <w:t xml:space="preserve"> vào tài khoản ngân hàng chính thức duy nhất sau đây:</w:t>
      </w:r>
    </w:p>
    <w:p>
      <w:pPr>
        <w:spacing w:after="60" w:before="20" w:line="276" w:lineRule="auto"/>
        <w:ind w:left="360"/>
        <w:jc w:val="left"/>
      </w:pPr>
      <w:r>
        <w:rPr>
          <w:b/>
        </w:rPr>
        <w:t>•  Tên chủ tài khoản:</w:t>
      </w:r>
      <w:r>
        <w:t xml:space="preserve"> [REPRESENTATIVE] / [LOCALMATE_LEGAL_NAME]</w:t>
      </w:r>
    </w:p>
    <w:p>
      <w:pPr>
        <w:spacing w:after="60" w:before="20" w:line="276" w:lineRule="auto"/>
        <w:ind w:left="360"/>
        <w:jc w:val="left"/>
      </w:pPr>
      <w:r>
        <w:rPr>
          <w:b/>
        </w:rPr>
        <w:t>•  Số tài khoản:</w:t>
      </w:r>
      <w:r>
        <w:t xml:space="preserve"> [ACCOUNT_NUMBER]</w:t>
      </w:r>
    </w:p>
    <w:p>
      <w:pPr>
        <w:spacing w:after="60" w:before="20" w:line="276" w:lineRule="auto"/>
        <w:ind w:left="360"/>
        <w:jc w:val="left"/>
      </w:pPr>
      <w:r>
        <w:rPr>
          <w:b/>
        </w:rPr>
        <w:t>•  Ngân hàng:</w:t>
      </w:r>
      <w:r>
        <w:t xml:space="preserve"> [BANK] - Chi nhánh: [BANK_BRANCH]</w:t>
      </w:r>
    </w:p>
    <w:p>
      <w:pPr>
        <w:spacing w:after="60" w:before="20" w:line="276" w:lineRule="auto"/>
        <w:ind w:left="360"/>
        <w:jc w:val="left"/>
      </w:pPr>
      <w:r>
        <w:rPr>
          <w:b/>
        </w:rPr>
        <w:t>•  Cú pháp chuyển khoản chuẩn:</w:t>
      </w:r>
      <w:r>
        <w:t xml:space="preserve"> </w:t>
      </w:r>
      <w:r>
        <w:rPr>
          <w:rFonts w:ascii="Consolas" w:hAnsi="Consolas"/>
          <w:color w:val="B42828"/>
          <w:sz w:val="20"/>
        </w:rPr>
        <w:t>[MST hoặc TEN_KHACH] - TT HOP DONG [SO_HOP_DONG]</w:t>
      </w:r>
    </w:p>
    <w:p>
      <w:pPr>
        <w:spacing w:after="80" w:before="0" w:line="276" w:lineRule="auto"/>
        <w:jc w:val="left"/>
      </w:pPr>
      <w:r>
        <w:rPr>
          <w:i/>
        </w:rPr>
        <w:t xml:space="preserve">Lưu ý bảo mật: LocalMate </w:t>
      </w:r>
      <w:r>
        <w:rPr>
          <w:i/>
        </w:rPr>
        <w:t>tuyệt đối không thu tiền mặt trực tiếp</w:t>
      </w:r>
      <w:r>
        <w:rPr>
          <w:i/>
        </w:rPr>
        <w:t xml:space="preserve"> tại địa chỉ của khách hàng và không yêu cầu khách hàng chuyển tiền vào bất kỳ số tài khoản cá nhân nào khác không được ghi nhận trong Hợp đồng chính thức.</w:t>
      </w:r>
    </w:p>
    <w:p>
      <w:pPr>
        <w:spacing w:after="120" w:before="80"/>
      </w:pPr>
      <w:r>
        <w:rPr>
          <w:color w:val="CBD5E1"/>
        </w:rPr>
        <w:t>―――――――――――――――――――――――――――――――――――――――――――――――――――――――</w:t>
      </w:r>
    </w:p>
    <w:p>
      <w:pPr>
        <w:spacing w:before="160" w:after="60"/>
      </w:pPr>
      <w:r>
        <w:rPr>
          <w:b/>
          <w:color w:val="0D7647"/>
          <w:sz w:val="23"/>
        </w:rPr>
        <w:t>ĐIỀU 2. QUY CHẾ TIỀN ĐẶT CỌC (THEO ĐIỀU 328 BỘ LUẬT DÂN SỰ 2015)</w:t>
      </w:r>
    </w:p>
    <w:p>
      <w:pPr>
        <w:spacing w:after="80" w:before="0" w:line="276" w:lineRule="auto"/>
        <w:jc w:val="left"/>
      </w:pPr>
      <w:r>
        <w:t xml:space="preserve">2.1. Đối với các hợp đồng dự án trọn gói (Thiết kế website, Tối ưu Google Maps, Tích hợp CRM), khoản thanh toán Đợt 1 (thường là 50% tổng giá trị dịch vụ) được Hai Bên thống nhất xác định là </w:t>
      </w:r>
      <w:r>
        <w:rPr>
          <w:b/>
        </w:rPr>
        <w:t>Tiền đặt cọc bảo đảm thực hiện hợp đồng theo Điều 328 Bộ luật Dân sự 2015</w:t>
      </w:r>
      <w:r>
        <w:t xml:space="preserve"> (áp dụng Án lệ số 25/2018/AL của Tòa án nhân dân tối cao).</w:t>
      </w:r>
    </w:p>
    <w:p>
      <w:pPr>
        <w:spacing w:after="80" w:before="0" w:line="276" w:lineRule="auto"/>
        <w:jc w:val="left"/>
      </w:pPr>
      <w:r>
        <w:t xml:space="preserve">2.2. </w:t>
      </w:r>
      <w:r>
        <w:rPr>
          <w:b/>
        </w:rPr>
        <w:t>Tính chất tiền đặt cọc:</w:t>
      </w:r>
    </w:p>
    <w:p>
      <w:pPr>
        <w:spacing w:after="60" w:before="20" w:line="276" w:lineRule="auto"/>
        <w:ind w:left="360"/>
        <w:jc w:val="left"/>
      </w:pPr>
      <w:r>
        <w:t>•  Tiền cọc được sử dụng để giữ lịch làm việc chuyên trách của đội ngũ lập trình viên, chi trả chi phí bản quyền công cụ ban đầu và chuẩn bị hạ tầng dự án;</w:t>
      </w:r>
    </w:p>
    <w:p>
      <w:pPr>
        <w:spacing w:after="60" w:before="20" w:line="276" w:lineRule="auto"/>
        <w:ind w:left="360"/>
        <w:jc w:val="left"/>
      </w:pPr>
      <w:r>
        <w:t>•  Số tiền đặt cọc sẽ được tự động khấu trừ vào tổng giá trị thanh toán khi dự án hoàn thành nghiệm thu.</w:t>
      </w:r>
    </w:p>
    <w:p>
      <w:pPr>
        <w:spacing w:after="120" w:before="80"/>
      </w:pPr>
      <w:r>
        <w:rPr>
          <w:color w:val="CBD5E1"/>
        </w:rPr>
        <w:t>―――――――――――――――――――――――――――――――――――――――――――――――――――――――</w:t>
      </w:r>
    </w:p>
    <w:p>
      <w:pPr>
        <w:spacing w:before="160" w:after="60"/>
      </w:pPr>
      <w:r>
        <w:rPr>
          <w:b/>
          <w:color w:val="0D7647"/>
          <w:sz w:val="23"/>
        </w:rPr>
        <w:t>ĐIỀU 3. CHÍNH SÁCH HỦY DỊCH VỤ VÀ XỬ LÝ TÀI CHÍNH</w:t>
      </w:r>
    </w:p>
    <w:p>
      <w:pPr>
        <w:spacing w:before="120" w:after="40"/>
      </w:pPr>
      <w:r>
        <w:rPr>
          <w:b/>
          <w:color w:val="1E293B"/>
          <w:sz w:val="22"/>
        </w:rPr>
        <w:t>1. TRƯỜNG HỢP KHÁCH HÀNG ĐƠN PHƯƠNG HỦY BỎ DỊCH VỤ:</w:t>
      </w:r>
    </w:p>
    <w:p>
      <w:pPr>
        <w:spacing w:after="60" w:before="20" w:line="276" w:lineRule="auto"/>
        <w:ind w:left="360"/>
        <w:jc w:val="left"/>
      </w:pPr>
      <w:r>
        <w:rPr>
          <w:b/>
        </w:rPr>
        <w:t>•  Trước khi triển khai (Trong vòng 24 giờ sau khi ký hợp đồng và LocalMate chưa thực hiện bất kỳ công việc nào):</w:t>
      </w:r>
      <w:r>
        <w:t xml:space="preserve"> Khách hàng được hoàn trả lại </w:t>
      </w:r>
      <w:r>
        <w:rPr>
          <w:b/>
        </w:rPr>
        <w:t>80%</w:t>
      </w:r>
      <w:r>
        <w:t xml:space="preserve"> số tiền đặt cọc (LocalMate giữ lại 20% phí quản trị hồ sơ và chi phí giao dịch ngân hàng);</w:t>
      </w:r>
    </w:p>
    <w:p>
      <w:pPr>
        <w:spacing w:after="60" w:before="20" w:line="276" w:lineRule="auto"/>
        <w:ind w:left="360"/>
        <w:jc w:val="left"/>
      </w:pPr>
      <w:r>
        <w:rPr>
          <w:b/>
        </w:rPr>
        <w:t>•  Sau khi LocalMate đã bắt đầu triển khai (Đã thiết kế sitemap, phác thảo wireframe hoặc lập trình demo):</w:t>
      </w:r>
      <w:r>
        <w:t xml:space="preserve"> Khách hàng </w:t>
      </w:r>
      <w:r>
        <w:rPr>
          <w:b/>
        </w:rPr>
        <w:t>không được hoàn lại tiền đặt cọc</w:t>
      </w:r>
      <w:r>
        <w:t>. Số tiền đặt cọc thuộc về LocalMate theo Khoản 2 Điều 328 Bộ luật Dân sự 2015 nhằm bù đắp tổn thất chi phí nhân sự và thời gian làm việc đã bỏ ra;</w:t>
      </w:r>
    </w:p>
    <w:p>
      <w:pPr>
        <w:spacing w:after="60" w:before="20" w:line="276" w:lineRule="auto"/>
        <w:ind w:left="360"/>
        <w:jc w:val="left"/>
      </w:pPr>
      <w:r>
        <w:rPr>
          <w:b/>
        </w:rPr>
        <w:t>•  Trường hợp Khách hàng hủy dự án khi khối lượng công việc đã hoàn thành trên 50%:</w:t>
      </w:r>
      <w:r>
        <w:t xml:space="preserve"> Hai Bên tiến hành lập biên bản xác nhận khối lượng thực tế. Khách hàng có nghĩa vụ thanh toán chi phí cho phần công việc LocalMate đã hoàn thành tương ứng và LocalMate bàn giao lại các sản phẩm làm dở đó.</w:t>
      </w:r>
    </w:p>
    <w:p>
      <w:pPr>
        <w:spacing w:before="120" w:after="40"/>
      </w:pPr>
      <w:r>
        <w:rPr>
          <w:b/>
          <w:color w:val="1E293B"/>
          <w:sz w:val="22"/>
        </w:rPr>
        <w:t>2. TRƯỜNG HỢP LOCALMATE ĐƠN PHƯƠNG HỦY HOẶC VI PHẠM NGHĨA VỤ:</w:t>
      </w:r>
    </w:p>
    <w:p>
      <w:pPr>
        <w:spacing w:after="60" w:before="20" w:line="276" w:lineRule="auto"/>
        <w:ind w:left="360"/>
        <w:jc w:val="left"/>
      </w:pPr>
      <w:r>
        <w:t xml:space="preserve">•  Trường hợp LocalMate tự ý từ chối thực hiện dịch vụ hoặc chậm trễ tiến độ bàn giao quá </w:t>
      </w:r>
      <w:r>
        <w:rPr>
          <w:b/>
        </w:rPr>
        <w:t>30 (ba mươi) ngày làm việc</w:t>
      </w:r>
      <w:r>
        <w:t xml:space="preserve"> so với cam kết trong SOW mà không do sự kiện bất khả kháng và không do lỗi từ phía Khách hàng:</w:t>
      </w:r>
    </w:p>
    <w:p>
      <w:pPr>
        <w:spacing w:after="60" w:before="20" w:line="276" w:lineRule="auto"/>
        <w:ind w:left="360"/>
        <w:jc w:val="left"/>
      </w:pPr>
      <w:r>
        <w:t xml:space="preserve">•  LocalMate cam kết </w:t>
      </w:r>
      <w:r>
        <w:rPr>
          <w:b/>
        </w:rPr>
        <w:t>hoàn trả lại 100% toàn bộ số tiền đặt cọc</w:t>
      </w:r>
      <w:r>
        <w:t xml:space="preserve"> mà Khách hàng đã thanh toán;</w:t>
      </w:r>
    </w:p>
    <w:p>
      <w:pPr>
        <w:spacing w:after="60" w:before="20" w:line="276" w:lineRule="auto"/>
        <w:ind w:left="360"/>
        <w:jc w:val="left"/>
      </w:pPr>
      <w:r>
        <w:t>•  Đồng thời chi trả cho Khách hàng một khoản tiền phạt cọc tương đương theo đúng quy định tại Khoản 2 Điều 328 Bộ luật Dân sự 2015.</w:t>
      </w:r>
    </w:p>
    <w:p>
      <w:pPr>
        <w:spacing w:before="120" w:after="40"/>
      </w:pPr>
      <w:r>
        <w:rPr>
          <w:b/>
          <w:color w:val="1E293B"/>
          <w:sz w:val="22"/>
        </w:rPr>
        <w:t>3. ĐỐI VỚI DỊCH VỤ DUY TRÌ ĐỊNH KỲ THEO THÁNG (GOOGLE ADS / CONTENT / RETAINER):</w:t>
      </w:r>
    </w:p>
    <w:p>
      <w:pPr>
        <w:spacing w:after="60" w:before="20" w:line="276" w:lineRule="auto"/>
        <w:ind w:left="360"/>
        <w:jc w:val="left"/>
      </w:pPr>
      <w:r>
        <w:t xml:space="preserve">•  Khách hàng có quyền dừng sử dụng dịch vụ duy trì theo tháng vào cuối mỗi chu kỳ tháng hiện tại bằng cách thông báo trước bằng văn bản/email tối thiểu </w:t>
      </w:r>
      <w:r>
        <w:rPr>
          <w:b/>
        </w:rPr>
        <w:t>07 (bảy) ngày làm việc</w:t>
      </w:r>
      <w:r>
        <w:t xml:space="preserve"> trước ngày bắt đầu chu kỳ tháng mới;</w:t>
      </w:r>
    </w:p>
    <w:p>
      <w:pPr>
        <w:spacing w:after="60" w:before="20" w:line="276" w:lineRule="auto"/>
        <w:ind w:left="360"/>
        <w:jc w:val="left"/>
      </w:pPr>
      <w:r>
        <w:t xml:space="preserve">•  Phí dịch vụ của tháng hiện tại đã thanh toán sẽ </w:t>
      </w:r>
      <w:r>
        <w:rPr>
          <w:b/>
        </w:rPr>
        <w:t>không được hoàn lại</w:t>
      </w:r>
      <w:r>
        <w:t xml:space="preserve"> do đội ngũ chuyên gia đã lên kế hoạch và phân bổ thời gian quản trị cho toàn bộ tháng đó.</w:t>
      </w:r>
    </w:p>
    <w:p>
      <w:pPr>
        <w:spacing w:after="120" w:before="80"/>
      </w:pPr>
      <w:r>
        <w:rPr>
          <w:color w:val="CBD5E1"/>
        </w:rPr>
        <w:t>―――――――――――――――――――――――――――――――――――――――――――――――――――――――</w:t>
      </w:r>
    </w:p>
    <w:p>
      <w:pPr>
        <w:spacing w:before="160" w:after="60"/>
      </w:pPr>
      <w:r>
        <w:rPr>
          <w:b/>
          <w:color w:val="0D7647"/>
          <w:sz w:val="23"/>
        </w:rPr>
        <w:t>ĐIỀU 4. CHÍNH SÁCH VỀ NGÂN SÁCH QUẢNG CÁO NỀN TẢNG (MEDIA SPEND)</w:t>
      </w:r>
    </w:p>
    <w:p>
      <w:pPr>
        <w:spacing w:after="80" w:before="0" w:line="276" w:lineRule="auto"/>
        <w:jc w:val="left"/>
      </w:pPr>
      <w:r>
        <w:t xml:space="preserve">4.1. Ngân sách quảng cáo trả cho Google / Meta do Khách hàng thanh toán trực tiếp qua thẻ tín dụng của Khách hàng trên tài khoản của Khách hàng. </w:t>
      </w:r>
    </w:p>
    <w:p>
      <w:pPr>
        <w:spacing w:after="80" w:before="0" w:line="276" w:lineRule="auto"/>
        <w:jc w:val="left"/>
      </w:pPr>
      <w:r>
        <w:t xml:space="preserve">4.2. LocalMate </w:t>
      </w:r>
      <w:r>
        <w:rPr>
          <w:b/>
        </w:rPr>
        <w:t>hoàn toàn không giữ và không quản lý dòng tiền này</w:t>
      </w:r>
      <w:r>
        <w:t>. Việc hoàn lại số dư ngân sách quảng cáo chưa chi tiêu hết trong tài khoản Google Ads thuộc thẩm quyền và quy trình hoàn tiền độc lập của Google LLC (thường từ 2 - 4 tuần về lại thẻ của khách hàng sau khi hủy tài khoản quảng cáo). LocalMate có trách nhiệm hỗ trợ kỹ thuật thực hiện thao tác hủy tài khoản trên Google Ads để hệ thống Google hoàn tiền về thẻ cho Quý khách.</w:t>
      </w:r>
    </w:p>
    <w:p>
      <w:pPr>
        <w:spacing w:after="120" w:before="80"/>
      </w:pPr>
      <w:r>
        <w:rPr>
          <w:color w:val="CBD5E1"/>
        </w:rPr>
        <w:t>―――――――――――――――――――――――――――――――――――――――――――――――――――――――</w:t>
      </w:r>
    </w:p>
    <w:p>
      <w:pPr>
        <w:spacing w:before="160" w:after="60"/>
      </w:pPr>
      <w:r>
        <w:rPr>
          <w:b/>
          <w:color w:val="0D7647"/>
          <w:sz w:val="23"/>
        </w:rPr>
        <w:t>ĐIỀU 5. QUY TRÌNH TIẾP NHẬN VÀ HOÀN TRẢ TIỀN</w:t>
      </w:r>
    </w:p>
    <w:p>
      <w:pPr>
        <w:spacing w:after="80" w:before="0" w:line="276" w:lineRule="auto"/>
        <w:jc w:val="left"/>
      </w:pPr>
      <w:r>
        <w:t>Trường hợp Khách hàng thuộc diện được hoàn tiền theo quy định tại Điều 3:</w:t>
      </w:r>
    </w:p>
    <w:p>
      <w:pPr>
        <w:spacing w:after="60" w:before="20" w:line="276" w:lineRule="auto"/>
        <w:ind w:left="288"/>
        <w:jc w:val="left"/>
      </w:pPr>
      <w:r>
        <w:t xml:space="preserve">1. </w:t>
      </w:r>
      <w:r>
        <w:rPr>
          <w:b/>
        </w:rPr>
        <w:t>Gửi văn bản đề nghị:</w:t>
      </w:r>
      <w:r>
        <w:t xml:space="preserve"> Khách hàng gửi văn bản hoặc email yêu cầu hoàn tiền đến hòm thư: </w:t>
      </w:r>
      <w:r>
        <w:rPr>
          <w:rFonts w:ascii="Consolas" w:hAnsi="Consolas"/>
          <w:color w:val="B42828"/>
          <w:sz w:val="20"/>
        </w:rPr>
        <w:t>billing@localmate.vn</w:t>
      </w:r>
      <w:r>
        <w:t xml:space="preserve"> hoặc </w:t>
      </w:r>
      <w:r>
        <w:rPr>
          <w:rFonts w:ascii="Consolas" w:hAnsi="Consolas"/>
          <w:color w:val="B42828"/>
          <w:sz w:val="20"/>
        </w:rPr>
        <w:t>contact@localmate.vn</w:t>
      </w:r>
      <w:r>
        <w:t>, nêu rõ mã hợp đồng, lý do yêu cầu và thông tin tài khoản nhận lại tiền;</w:t>
      </w:r>
    </w:p>
    <w:p>
      <w:pPr>
        <w:spacing w:after="60" w:before="20" w:line="276" w:lineRule="auto"/>
        <w:ind w:left="288"/>
        <w:jc w:val="left"/>
      </w:pPr>
      <w:r>
        <w:t xml:space="preserve">2. </w:t>
      </w:r>
      <w:r>
        <w:rPr>
          <w:b/>
        </w:rPr>
        <w:t>Đối chiếu và Xác nhận:</w:t>
      </w:r>
      <w:r>
        <w:t xml:space="preserve"> Bộ phận Kế toán của LocalMate kiểm tra khối lượng công việc, đối soát hồ sơ và gửi thông báo xác nhận số tiền hoàn trả trong vòng </w:t>
      </w:r>
      <w:r>
        <w:rPr>
          <w:b/>
        </w:rPr>
        <w:t>03 (ba) ngày làm việc</w:t>
      </w:r>
      <w:r>
        <w:t>;</w:t>
      </w:r>
    </w:p>
    <w:p>
      <w:pPr>
        <w:spacing w:after="60" w:before="20" w:line="276" w:lineRule="auto"/>
        <w:ind w:left="288"/>
        <w:jc w:val="left"/>
      </w:pPr>
      <w:r>
        <w:t xml:space="preserve">3. </w:t>
      </w:r>
      <w:r>
        <w:rPr>
          <w:b/>
        </w:rPr>
        <w:t>Thực hiện hoàn tiền:</w:t>
      </w:r>
      <w:r>
        <w:t xml:space="preserve"> LocalMate thực hiện lệnh chuyển khoản hoàn tiền vào số tài khoản ngân hàng chính thức của Khách hàng trong thời hạn tối đa </w:t>
      </w:r>
      <w:r>
        <w:rPr>
          <w:b/>
        </w:rPr>
        <w:t>07 (bảy) ngày làm việc</w:t>
      </w:r>
      <w:r>
        <w:t xml:space="preserve"> kể từ ngày Hai Bên ký biên bản xác nhận hoàn tiền.</w:t>
      </w:r>
    </w:p>
    <w:p>
      <w:pPr>
        <w:spacing w:after="120" w:before="80"/>
      </w:pPr>
      <w:r>
        <w:rPr>
          <w:color w:val="CBD5E1"/>
        </w:rPr>
        <w:t>―――――――――――――――――――――――――――――――――――――――――――――――――――――――</w:t>
      </w:r>
    </w:p>
    <w:p>
      <w:pPr>
        <w:spacing w:before="160" w:after="60"/>
      </w:pPr>
      <w:r>
        <w:rPr>
          <w:b/>
          <w:color w:val="0D7647"/>
          <w:sz w:val="23"/>
        </w:rPr>
        <w:t>ĐIỀU 6. HÓA ĐƠN TÀI CHÍNH (HÓA ĐƠN GTGT ĐIỆN TỬ)</w:t>
      </w:r>
    </w:p>
    <w:p>
      <w:pPr>
        <w:spacing w:after="60" w:before="20" w:line="276" w:lineRule="auto"/>
        <w:ind w:left="360"/>
        <w:jc w:val="left"/>
      </w:pPr>
      <w:r>
        <w:t>•  LocalMate phát hành Hóa đơn Giá trị gia tăng (GTGT) điện tử hợp pháp theo Nghị định 123/2020/NĐ-CP và Thông tư 78/2021/TT-BTC gửi qua email của Quý khách ngay sau khi nghiệm thu hoàn thành dịch vụ hoặc khi nhận được thanh toán đối với dịch vụ theo tháng;</w:t>
      </w:r>
    </w:p>
    <w:p>
      <w:pPr>
        <w:spacing w:after="60" w:before="20" w:line="276" w:lineRule="auto"/>
        <w:ind w:left="360"/>
        <w:jc w:val="left"/>
      </w:pPr>
      <w:r>
        <w:t>•  Quý khách có trách nhiệm cung cấp chính xác Tên công ty, Mã số thuế và Địa chỉ đăng ký thuế trước khi ký hợp đồng để bảo đảm tính hợp lệ của hóa đơn tài chính.</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