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HỢP ĐỒNG KHUNG CUNG CẤP DỊCH VỤ CÔNG NGHỆ &amp; CHUYỂN ĐỔI SỐ DOANH NGHIỆP</w:t>
      </w:r>
    </w:p>
    <w:p>
      <w:pPr>
        <w:spacing w:after="80" w:before="0" w:line="276" w:lineRule="auto"/>
        <w:jc w:val="left"/>
      </w:pPr>
      <w:r>
        <w:rPr>
          <w:b/>
        </w:rPr>
        <w:t>(LOCALMATE ENTERPRISE MASTER SERVICES AGREEMENT - ENTERPRISE MSA)</w:t>
      </w:r>
      <w:r>
        <w:t xml:space="preserve">  </w:t>
      </w:r>
    </w:p>
    <w:p>
      <w:pPr>
        <w:spacing w:after="80" w:before="0" w:line="276" w:lineRule="auto"/>
        <w:jc w:val="left"/>
      </w:pPr>
      <w:r>
        <w:rPr>
          <w:b/>
        </w:rPr>
        <w:t>Số hiệu Hợp đồng:</w:t>
      </w:r>
      <w:r>
        <w:t xml:space="preserve"> [MÃ_HỢP_ĐỒNG]/ENT-MSA-LM/[NĂM]</w:t>
      </w:r>
    </w:p>
    <w:p>
      <w:pPr>
        <w:spacing w:after="80" w:before="0" w:line="276" w:lineRule="auto"/>
        <w:jc w:val="left"/>
      </w:pPr>
      <w:r>
        <w:rPr>
          <w:i/>
        </w:rPr>
        <w:t>(Phiên bản Doanh nghiệp Toàn diện dành cho Khách hàng Chuỗi, Doanh nghiệp SME quy mô vừa và lớn, Hợp đồng Tích hợp Đa dịch vụ, Ngân sách Quảng cáo lớn và Thuê bao Định kỳ Retainer)</w:t>
      </w:r>
    </w:p>
    <w:p>
      <w:pPr>
        <w:spacing w:after="120" w:before="80"/>
      </w:pPr>
      <w:r>
        <w:rPr>
          <w:color w:val="CBD5E1"/>
        </w:rPr>
        <w:t>―――――――――――――――――――――――――――――――――――――――――――――――――――――――</w:t>
      </w:r>
    </w:p>
    <w:p>
      <w:pPr>
        <w:spacing w:before="160" w:after="60"/>
      </w:pPr>
      <w:r>
        <w:rPr>
          <w:b/>
          <w:color w:val="0D7647"/>
          <w:sz w:val="23"/>
        </w:rPr>
        <w:t>BẢNG THẨM ĐỊNH MÔ HÌNH PHÁP NHÂN LOCALMATE</w:t>
      </w:r>
    </w:p>
    <w:p>
      <w:pPr>
        <w:spacing w:after="60" w:before="20" w:line="276" w:lineRule="auto"/>
        <w:ind w:left="360"/>
        <w:jc w:val="left"/>
      </w:pPr>
      <w:r>
        <w:t xml:space="preserve">•  [x] </w:t>
      </w:r>
      <w:r>
        <w:rPr>
          <w:b/>
        </w:rPr>
        <w:t>CÔNG TY TNHH / CÔNG TY CỔ PHẦN</w:t>
      </w:r>
      <w:r>
        <w:t xml:space="preserve"> (Mặc định cho Hợp đồng Enterprise B2B)</w:t>
      </w:r>
    </w:p>
    <w:p>
      <w:pPr>
        <w:spacing w:after="60" w:before="20" w:line="276" w:lineRule="auto"/>
        <w:ind w:left="360"/>
        <w:jc w:val="left"/>
      </w:pPr>
      <w:r>
        <w:t>•  Áp dụng thuế GTGT (10% hoặc 8%), thuế TNDN 20%.</w:t>
      </w:r>
    </w:p>
    <w:p>
      <w:pPr>
        <w:spacing w:after="60" w:before="20" w:line="276" w:lineRule="auto"/>
        <w:ind w:left="360"/>
        <w:jc w:val="left"/>
      </w:pPr>
      <w:r>
        <w:t>•  Phát hành hóa đơn điện tử GTGT hợp pháp theo Nghị định 123/2020/NĐ-CP.</w:t>
      </w:r>
    </w:p>
    <w:p>
      <w:pPr>
        <w:spacing w:after="60" w:before="20" w:line="276" w:lineRule="auto"/>
        <w:ind w:left="360"/>
        <w:jc w:val="left"/>
      </w:pPr>
      <w:r>
        <w:t>•  [ ] Hộ kinh doanh cá thể quy mô lớn kê khai thuế</w:t>
      </w:r>
    </w:p>
    <w:p>
      <w:pPr>
        <w:spacing w:after="120" w:before="80"/>
      </w:pPr>
      <w:r>
        <w:rPr>
          <w:color w:val="CBD5E1"/>
        </w:rPr>
        <w:t>―――――――――――――――――――――――――――――――――――――――――――――――――――――――</w:t>
      </w:r>
    </w:p>
    <w:p>
      <w:pPr>
        <w:spacing w:after="80" w:before="0" w:line="276" w:lineRule="auto"/>
        <w:jc w:val="left"/>
      </w:pPr>
      <w:r>
        <w:t>Hôm nay, ngày [NGÀY] tháng [THÁNG] năm 202[NĂM], Hợp đồng Khung Doanh Nghiệp này được ký kết giữa:</w:t>
      </w:r>
    </w:p>
    <w:p>
      <w:pPr>
        <w:spacing w:before="160" w:after="60"/>
      </w:pPr>
      <w:r>
        <w:rPr>
          <w:b/>
          <w:color w:val="0D7647"/>
          <w:sz w:val="23"/>
        </w:rPr>
        <w:t>BÊN A (BÊN KHÁCH HÀNG DOANH NGHIỆP):</w:t>
      </w:r>
    </w:p>
    <w:p>
      <w:pPr>
        <w:spacing w:after="60" w:before="20" w:line="276" w:lineRule="auto"/>
        <w:ind w:left="360"/>
        <w:jc w:val="left"/>
      </w:pPr>
      <w:r>
        <w:t xml:space="preserve">•  Tên Doanh nghiệp: </w:t>
      </w:r>
      <w:r>
        <w:rPr>
          <w:b/>
        </w:rPr>
        <w:t>[TÊN_DOANH_NGHIỆP_BÊN_A]</w:t>
      </w:r>
    </w:p>
    <w:p>
      <w:pPr>
        <w:spacing w:after="60" w:before="20" w:line="276" w:lineRule="auto"/>
        <w:ind w:left="360"/>
        <w:jc w:val="left"/>
      </w:pPr>
      <w:r>
        <w:t>•  Giấy chứng nhận ĐKKD / Mã số doanh nghiệp: [MST_BÊN_A] do Sở KH&amp;ĐT [TỈNH_THÀNH] cấp</w:t>
      </w:r>
    </w:p>
    <w:p>
      <w:pPr>
        <w:spacing w:after="60" w:before="20" w:line="276" w:lineRule="auto"/>
        <w:ind w:left="360"/>
        <w:jc w:val="left"/>
      </w:pPr>
      <w:r>
        <w:t>•  Địa chỉ trụ sở chính: [ĐỊA_CHỈ_BÊN_A]</w:t>
      </w:r>
    </w:p>
    <w:p>
      <w:pPr>
        <w:spacing w:after="60" w:before="20" w:line="276" w:lineRule="auto"/>
        <w:ind w:left="360"/>
        <w:jc w:val="left"/>
      </w:pPr>
      <w:r>
        <w:t xml:space="preserve">•  Người đại diện theo pháp luật: </w:t>
      </w:r>
      <w:r>
        <w:rPr>
          <w:b/>
        </w:rPr>
        <w:t>[ĐẠI_DIỆN_BÊN_A]</w:t>
      </w:r>
      <w:r>
        <w:t xml:space="preserve"> — Chức vụ: </w:t>
      </w:r>
      <w:r>
        <w:rPr>
          <w:b/>
        </w:rPr>
        <w:t>[CHỨC_VỤ_BÊN_A]</w:t>
      </w:r>
    </w:p>
    <w:p>
      <w:pPr>
        <w:spacing w:after="60" w:before="20" w:line="276" w:lineRule="auto"/>
        <w:ind w:left="360"/>
        <w:jc w:val="left"/>
      </w:pPr>
      <w:r>
        <w:t>•  Đầu mối Quản lý Dự án (Project Lead): [TÊN_PM_A] — Email: [EMAIL_PM_A] — SĐT: [SĐT_PM_A]</w:t>
      </w:r>
    </w:p>
    <w:p>
      <w:pPr>
        <w:spacing w:after="60" w:before="20" w:line="276" w:lineRule="auto"/>
        <w:ind w:left="360"/>
        <w:jc w:val="left"/>
      </w:pPr>
      <w:r>
        <w:t>•  Đầu mối Phụ trách Dữ liệu / IT (Security Lead): [TÊN_IT_A] — Email: [EMAIL_IT_A]</w:t>
      </w:r>
    </w:p>
    <w:p>
      <w:pPr>
        <w:spacing w:after="60" w:before="20" w:line="276" w:lineRule="auto"/>
        <w:ind w:left="360"/>
        <w:jc w:val="left"/>
      </w:pPr>
      <w:r>
        <w:t>•  Tài khoản ngân hàng: [SỐ_TK_A] mở tại Ngân hàng: [NGÂN_HÀNG_A]</w:t>
      </w:r>
    </w:p>
    <w:p>
      <w:pPr>
        <w:spacing w:before="160" w:after="60"/>
      </w:pPr>
      <w:r>
        <w:rPr>
          <w:b/>
          <w:color w:val="0D7647"/>
          <w:sz w:val="23"/>
        </w:rPr>
        <w:t>BÊN B (BÊN CUNG CẤP GIẢI PHÁP SỐ / LOCALMATE):</w:t>
      </w:r>
    </w:p>
    <w:p>
      <w:pPr>
        <w:spacing w:after="60" w:before="20" w:line="276" w:lineRule="auto"/>
        <w:ind w:left="360"/>
        <w:jc w:val="left"/>
      </w:pPr>
      <w:r>
        <w:t xml:space="preserve">•  Tên pháp lý: </w:t>
      </w:r>
      <w:r>
        <w:rPr>
          <w:b/>
        </w:rPr>
        <w:t>[LOCALMATE_LEGAL_NAME]</w:t>
      </w:r>
    </w:p>
    <w:p>
      <w:pPr>
        <w:spacing w:after="60" w:before="20" w:line="276" w:lineRule="auto"/>
        <w:ind w:left="360"/>
        <w:jc w:val="left"/>
      </w:pPr>
      <w:r>
        <w:t xml:space="preserve">•  Giấy chứng nhận ĐKKD / Mã số doanh nghiệp: </w:t>
      </w:r>
      <w:r>
        <w:rPr>
          <w:b/>
        </w:rPr>
        <w:t>[MST]</w:t>
      </w:r>
    </w:p>
    <w:p>
      <w:pPr>
        <w:spacing w:after="60" w:before="20" w:line="276" w:lineRule="auto"/>
        <w:ind w:left="360"/>
        <w:jc w:val="left"/>
      </w:pPr>
      <w:r>
        <w:t xml:space="preserve">•  Địa chỉ trụ sở chính: </w:t>
      </w:r>
      <w:r>
        <w:rPr>
          <w:b/>
        </w:rPr>
        <w:t>[ADDRESS]</w:t>
      </w:r>
    </w:p>
    <w:p>
      <w:pPr>
        <w:spacing w:after="60" w:before="20" w:line="276" w:lineRule="auto"/>
        <w:ind w:left="360"/>
        <w:jc w:val="left"/>
      </w:pPr>
      <w:r>
        <w:t xml:space="preserve">•  Người đại diện theo pháp luật: </w:t>
      </w:r>
      <w:r>
        <w:rPr>
          <w:b/>
        </w:rPr>
        <w:t>[REPRESENTATIVE]</w:t>
      </w:r>
      <w:r>
        <w:t xml:space="preserve"> — Chức vụ: </w:t>
      </w:r>
      <w:r>
        <w:rPr>
          <w:b/>
        </w:rPr>
        <w:t>[TITLE]</w:t>
      </w:r>
    </w:p>
    <w:p>
      <w:pPr>
        <w:spacing w:after="60" w:before="20" w:line="276" w:lineRule="auto"/>
        <w:ind w:left="360"/>
        <w:jc w:val="left"/>
      </w:pPr>
      <w:r>
        <w:t>•  Đầu mối Quản trị Dự án (Project Director): [PROJECT_DIRECTOR_B] — Email: [EMAIL]</w:t>
      </w:r>
    </w:p>
    <w:p>
      <w:pPr>
        <w:spacing w:after="60" w:before="20" w:line="276" w:lineRule="auto"/>
        <w:ind w:left="360"/>
        <w:jc w:val="left"/>
      </w:pPr>
      <w:r>
        <w:t>•  Cán bộ Bảo vệ Dữ liệu (DPO / Security): dpo@localmate.vn</w:t>
      </w:r>
    </w:p>
    <w:p>
      <w:pPr>
        <w:spacing w:after="60" w:before="20" w:line="276" w:lineRule="auto"/>
        <w:ind w:left="360"/>
        <w:jc w:val="left"/>
      </w:pPr>
      <w:r>
        <w:t xml:space="preserve">•  Tài khoản ngân hàng: </w:t>
      </w:r>
      <w:r>
        <w:rPr>
          <w:b/>
        </w:rPr>
        <w:t>[ACCOUNT_NUMBER]</w:t>
      </w:r>
      <w:r>
        <w:t xml:space="preserve"> mở tại Ngân hàng: </w:t>
      </w:r>
      <w:r>
        <w:rPr>
          <w:b/>
        </w:rPr>
        <w:t>[BANK]</w:t>
      </w:r>
    </w:p>
    <w:p>
      <w:pPr>
        <w:spacing w:after="120" w:before="80"/>
      </w:pPr>
      <w:r>
        <w:rPr>
          <w:color w:val="CBD5E1"/>
        </w:rPr>
        <w:t>―――――――――――――――――――――――――――――――――――――――――――――――――――――――</w:t>
      </w:r>
    </w:p>
    <w:p>
      <w:pPr>
        <w:spacing w:before="160" w:after="60"/>
      </w:pPr>
      <w:r>
        <w:rPr>
          <w:b/>
          <w:color w:val="0D7647"/>
          <w:sz w:val="23"/>
        </w:rPr>
        <w:t>MỤC LỤC ĐIỀU KHOẢN HỢP ĐỒNG KHUNG DOANH NGHIỆP</w:t>
      </w:r>
    </w:p>
    <w:p>
      <w:pPr>
        <w:spacing w:after="60" w:before="20" w:line="276" w:lineRule="auto"/>
        <w:ind w:left="360"/>
        <w:jc w:val="left"/>
      </w:pPr>
      <w:r>
        <w:t>•  Điều 1: Cấu trúc Hợp đồng &amp; Thứ tự Ưu tiên Văn bản</w:t>
      </w:r>
    </w:p>
    <w:p>
      <w:pPr>
        <w:spacing w:after="60" w:before="20" w:line="276" w:lineRule="auto"/>
        <w:ind w:left="360"/>
        <w:jc w:val="left"/>
      </w:pPr>
      <w:r>
        <w:t>•  Điều 2: Danh mục Dịch vụ Enterprise &amp; Cơ chế Đặt hàng</w:t>
      </w:r>
    </w:p>
    <w:p>
      <w:pPr>
        <w:spacing w:after="60" w:before="20" w:line="276" w:lineRule="auto"/>
        <w:ind w:left="360"/>
        <w:jc w:val="left"/>
      </w:pPr>
      <w:r>
        <w:t>•  Điều 3: Tiêu chuẩn Năng lực Nghề nghiệp &amp; Ranh giới Nỗ lực Tối đa (Best Efforts)</w:t>
      </w:r>
    </w:p>
    <w:p>
      <w:pPr>
        <w:spacing w:after="60" w:before="20" w:line="276" w:lineRule="auto"/>
        <w:ind w:left="360"/>
        <w:jc w:val="left"/>
      </w:pPr>
      <w:r>
        <w:t>•  Điều 4: Cơ cấu Tài chính, Bóc tách Media Spend &amp; Quy chuẩn Thuế</w:t>
      </w:r>
    </w:p>
    <w:p>
      <w:pPr>
        <w:spacing w:after="60" w:before="20" w:line="276" w:lineRule="auto"/>
        <w:ind w:left="360"/>
        <w:jc w:val="left"/>
      </w:pPr>
      <w:r>
        <w:t>•  Điều 5: Đặt cọc Bảo đảm, Chu kỳ Thanh toán Retainer &amp; Chế tài Chậm trả</w:t>
      </w:r>
    </w:p>
    <w:p>
      <w:pPr>
        <w:spacing w:after="60" w:before="20" w:line="276" w:lineRule="auto"/>
        <w:ind w:left="360"/>
        <w:jc w:val="left"/>
      </w:pPr>
      <w:r>
        <w:t>•  Điều 6: Cơ chế Quản lý Thay đổi Phát sinh (Enterprise Change Request - CR)</w:t>
      </w:r>
    </w:p>
    <w:p>
      <w:pPr>
        <w:spacing w:after="60" w:before="20" w:line="276" w:lineRule="auto"/>
        <w:ind w:left="360"/>
        <w:jc w:val="left"/>
      </w:pPr>
      <w:r>
        <w:t>•  Điều 7: Quy trình Kiểm thử Nghiệm thu 2 Tầng &amp; Chấp thuận Thực tế</w:t>
      </w:r>
    </w:p>
    <w:p>
      <w:pPr>
        <w:spacing w:after="60" w:before="20" w:line="276" w:lineRule="auto"/>
        <w:ind w:left="360"/>
        <w:jc w:val="left"/>
      </w:pPr>
      <w:r>
        <w:t>•  Điều 8: Ma trận Bản quyền Sở hữu Trí tuệ &amp; Bảo vệ Core Framework</w:t>
      </w:r>
    </w:p>
    <w:p>
      <w:pPr>
        <w:spacing w:after="60" w:before="20" w:line="276" w:lineRule="auto"/>
        <w:ind w:left="360"/>
        <w:jc w:val="left"/>
      </w:pPr>
      <w:r>
        <w:t>•  Điều 9: Thỏa thuận Xử lý Dữ liệu Cá nhân Chuyên sâu (Enterprise DPA)</w:t>
      </w:r>
    </w:p>
    <w:p>
      <w:pPr>
        <w:spacing w:after="60" w:before="20" w:line="276" w:lineRule="auto"/>
        <w:ind w:left="360"/>
        <w:jc w:val="left"/>
      </w:pPr>
      <w:r>
        <w:t>•  Điều 10: Quy chế An toàn Thông tin &amp; Mô hình Trách nhiệm Chung</w:t>
      </w:r>
    </w:p>
    <w:p>
      <w:pPr>
        <w:spacing w:after="60" w:before="20" w:line="276" w:lineRule="auto"/>
        <w:ind w:left="360"/>
        <w:jc w:val="left"/>
      </w:pPr>
      <w:r>
        <w:t>•  Điều 11: Bàn giao Tài sản Số An toàn &amp; Quyền Sở hữu Chính chủ</w:t>
      </w:r>
    </w:p>
    <w:p>
      <w:pPr>
        <w:spacing w:after="60" w:before="20" w:line="276" w:lineRule="auto"/>
        <w:ind w:left="360"/>
        <w:jc w:val="left"/>
      </w:pPr>
      <w:r>
        <w:t>•  Điều 12: Thỏa thuận Mức Dịch vụ Doanh nghiệp (Enterprise SLA &amp; Uptime)</w:t>
      </w:r>
    </w:p>
    <w:p>
      <w:pPr>
        <w:spacing w:after="60" w:before="20" w:line="276" w:lineRule="auto"/>
        <w:ind w:left="360"/>
        <w:jc w:val="left"/>
      </w:pPr>
      <w:r>
        <w:t>•  Điều 13: Bảo mật Thông tin Hai chiều &amp; Bí mật Kinh doanh</w:t>
      </w:r>
    </w:p>
    <w:p>
      <w:pPr>
        <w:spacing w:after="60" w:before="20" w:line="276" w:lineRule="auto"/>
        <w:ind w:left="360"/>
        <w:jc w:val="left"/>
      </w:pPr>
      <w:r>
        <w:t>•  Điều 14: Cam kết Tính Hợp pháp Nội dung &amp; Bồi hoàn Toàn diện (Full Indemnity)</w:t>
      </w:r>
    </w:p>
    <w:p>
      <w:pPr>
        <w:spacing w:after="60" w:before="20" w:line="276" w:lineRule="auto"/>
        <w:ind w:left="360"/>
        <w:jc w:val="left"/>
      </w:pPr>
      <w:r>
        <w:t>•  Điều 15: Giới hạn Trách nhiệm Pháp lý Hợp pháp (Liability Cap)</w:t>
      </w:r>
    </w:p>
    <w:p>
      <w:pPr>
        <w:spacing w:after="60" w:before="20" w:line="276" w:lineRule="auto"/>
        <w:ind w:left="360"/>
        <w:jc w:val="left"/>
      </w:pPr>
      <w:r>
        <w:t>•  Điều 16: Quyền Kiểm toán Tuân thủ (Audit Rights)</w:t>
      </w:r>
    </w:p>
    <w:p>
      <w:pPr>
        <w:spacing w:after="60" w:before="20" w:line="276" w:lineRule="auto"/>
        <w:ind w:left="360"/>
        <w:jc w:val="left"/>
      </w:pPr>
      <w:r>
        <w:t>•  Điều 17: Sự kiện Bất khả kháng &amp; Miễn trừ Nền tảng Bên Thứ Ba</w:t>
      </w:r>
    </w:p>
    <w:p>
      <w:pPr>
        <w:spacing w:after="60" w:before="20" w:line="276" w:lineRule="auto"/>
        <w:ind w:left="360"/>
        <w:jc w:val="left"/>
      </w:pPr>
      <w:r>
        <w:t>•  Điều 18: Tạm ngừng Dịch vụ &amp; Đơn phương Chấm dứt Hợp pháp</w:t>
      </w:r>
    </w:p>
    <w:p>
      <w:pPr>
        <w:spacing w:after="60" w:before="20" w:line="276" w:lineRule="auto"/>
        <w:ind w:left="360"/>
        <w:jc w:val="left"/>
      </w:pPr>
      <w:r>
        <w:t>•  Điều 19: Bàn giao Sau Chấm dứt &amp; Quy trình Xóa Dữ liệu Vĩnh viễn</w:t>
      </w:r>
    </w:p>
    <w:p>
      <w:pPr>
        <w:spacing w:after="60" w:before="20" w:line="276" w:lineRule="auto"/>
        <w:ind w:left="360"/>
        <w:jc w:val="left"/>
      </w:pPr>
      <w:r>
        <w:t>•  Điều 20: Giao dịch Điện tử &amp; Hiệu lực Chữ ký Số</w:t>
      </w:r>
    </w:p>
    <w:p>
      <w:pPr>
        <w:spacing w:after="60" w:before="20" w:line="276" w:lineRule="auto"/>
        <w:ind w:left="360"/>
        <w:jc w:val="left"/>
      </w:pPr>
      <w:r>
        <w:t>•  Điều 21: Luật Điều chỉnh &amp; Cơ chế Giải quyết Tranh chấp Trọng tài / Tòa án</w:t>
      </w:r>
    </w:p>
    <w:p>
      <w:pPr>
        <w:spacing w:after="60" w:before="20" w:line="276" w:lineRule="auto"/>
        <w:ind w:left="360"/>
        <w:jc w:val="left"/>
      </w:pPr>
      <w:r>
        <w:t>•  Điều 22: Hiệu lực Thi hành &amp; Quy định Chuyển tiếp</w:t>
      </w:r>
    </w:p>
    <w:p>
      <w:pPr>
        <w:spacing w:after="120" w:before="80"/>
      </w:pPr>
      <w:r>
        <w:rPr>
          <w:color w:val="CBD5E1"/>
        </w:rPr>
        <w:t>―――――――――――――――――――――――――――――――――――――――――――――――――――――――</w:t>
      </w:r>
    </w:p>
    <w:p>
      <w:pPr>
        <w:spacing w:after="80" w:before="0" w:line="276" w:lineRule="auto"/>
        <w:jc w:val="left"/>
      </w:pPr>
      <w:r>
        <w:rPr>
          <w:i/>
        </w:rPr>
        <w:t>(Nội dung chi tiết các điều khoản được thiết kế chuẩn mực hóa theo tiêu chuẩn hợp đồng công nghệ quốc tế kết hợp pháp luật Việt Nam hiện hành 2026)</w:t>
      </w:r>
    </w:p>
    <w:p>
      <w:pPr>
        <w:spacing w:before="120" w:after="40"/>
      </w:pPr>
      <w:r>
        <w:rPr>
          <w:b/>
          <w:color w:val="1E293B"/>
          <w:sz w:val="22"/>
        </w:rPr>
        <w:t>ĐIỀU 1: CẤU TRÚC HỢP ĐỒNG &amp; THỨ TỰ ƯU TIÊN VĂN BẢN</w:t>
      </w:r>
    </w:p>
    <w:p>
      <w:pPr>
        <w:spacing w:after="80" w:before="0" w:line="276" w:lineRule="auto"/>
        <w:jc w:val="left"/>
      </w:pPr>
      <w:r>
        <w:t xml:space="preserve">1.1. Quan hệ hợp tác giữa Các Bên được thiết lập theo cấu trúc phân tầng bao gồm: Hợp đồng Khung này (MSA) quy định các nguyên tắc nền tảng; các Đơn Đặt Hàng (Service Order - SO); các Bảng Đặc Tả Phạm Vi Công Việc (SOW); và các Phụ Lục Kỹ Thuật Đính Kèm.  </w:t>
      </w:r>
    </w:p>
    <w:p>
      <w:pPr>
        <w:spacing w:after="80" w:before="0" w:line="276" w:lineRule="auto"/>
        <w:jc w:val="left"/>
      </w:pPr>
      <w:r>
        <w:t xml:space="preserve">1.2. Mọi Đơn Đặt Hàng và Phụ lục ký kết giữa Các Bên trong thời hạn hiệu lực của Hợp đồng này đều mặc nhiên chịu sự điều chỉnh của các điều khoản tại Hợp đồng này.  </w:t>
      </w:r>
    </w:p>
    <w:p>
      <w:pPr>
        <w:spacing w:after="80" w:before="0" w:line="276" w:lineRule="auto"/>
        <w:jc w:val="left"/>
      </w:pPr>
      <w:r>
        <w:t>1.3. Thứ tự ưu tiên văn bản: (1) Service Order &amp; SOW ký mới nhất; (2) Phụ lục kỹ thuật tương ứng; (3) Hợp đồng Khung MSA này.</w:t>
      </w:r>
    </w:p>
    <w:p>
      <w:pPr>
        <w:spacing w:before="120" w:after="40"/>
      </w:pPr>
      <w:r>
        <w:rPr>
          <w:b/>
          <w:color w:val="1E293B"/>
          <w:sz w:val="22"/>
        </w:rPr>
        <w:t>ĐIỀU 2: DANH MỤC DỊCH VỤ ENTERPRISE</w:t>
      </w:r>
    </w:p>
    <w:p>
      <w:pPr>
        <w:spacing w:after="80" w:before="0" w:line="276" w:lineRule="auto"/>
        <w:jc w:val="left"/>
      </w:pPr>
      <w:r>
        <w:t>Bên B cung cấp cho Bên A các dịch vụ chuyển đổi số doanh nghiệp tùy chỉnh theo từng SOW:</w:t>
      </w:r>
    </w:p>
    <w:p>
      <w:pPr>
        <w:spacing w:after="80" w:before="0" w:line="276" w:lineRule="auto"/>
        <w:jc w:val="left"/>
      </w:pPr>
      <w:r>
        <w:t xml:space="preserve">a) </w:t>
      </w:r>
      <w:r>
        <w:rPr>
          <w:b/>
        </w:rPr>
        <w:t>Hệ thống Website &amp; Cổng Thông tin Doanh nghiệp:</w:t>
      </w:r>
      <w:r>
        <w:t xml:space="preserve"> Kiến trúc Serverless / Edge Computing (Cloudflare Pages/Workers, Next.js, Headless CMS), hiệu năng tải trang cao, chống DDoS, tích hợp hệ thống backend;  </w:t>
      </w:r>
    </w:p>
    <w:p>
      <w:pPr>
        <w:spacing w:after="80" w:before="0" w:line="276" w:lineRule="auto"/>
        <w:jc w:val="left"/>
      </w:pPr>
      <w:r>
        <w:t xml:space="preserve">b) </w:t>
      </w:r>
      <w:r>
        <w:rPr>
          <w:b/>
        </w:rPr>
        <w:t>Google Business Profile Network:</w:t>
      </w:r>
      <w:r>
        <w:t xml:space="preserve"> Khởi tạo, xác minh, chuẩn hóa NAP và tối ưu SEO định vị cho hệ thống chuỗi cửa hàng / chi nhánh toàn quốc;  </w:t>
      </w:r>
    </w:p>
    <w:p>
      <w:pPr>
        <w:spacing w:after="80" w:before="0" w:line="276" w:lineRule="auto"/>
        <w:jc w:val="left"/>
      </w:pPr>
      <w:r>
        <w:t xml:space="preserve">c) </w:t>
      </w:r>
      <w:r>
        <w:rPr>
          <w:b/>
        </w:rPr>
        <w:t>Quản Trị Chiến Dịch Quảng Cáo Đa Kênh (Google Ads, Meta Ads):</w:t>
      </w:r>
      <w:r>
        <w:t xml:space="preserve"> Nghiên cứu từ khóa chuyên sâu, setup conversion tracking đa tầng (GA4, GTM, Server-side CAPI), quản trị đấu thầu tự động và tối ưu hóa chi phí chuyển đổi;  </w:t>
      </w:r>
    </w:p>
    <w:p>
      <w:pPr>
        <w:spacing w:after="80" w:before="0" w:line="276" w:lineRule="auto"/>
        <w:jc w:val="left"/>
      </w:pPr>
      <w:r>
        <w:t xml:space="preserve">d) </w:t>
      </w:r>
      <w:r>
        <w:rPr>
          <w:b/>
        </w:rPr>
        <w:t>Content Production &amp; Quản Trị Kênh Truyền Thông Số:</w:t>
      </w:r>
      <w:r>
        <w:t xml:space="preserve"> Xây dựng chiến lược nội dung đa nền tảng, thiết kế bộ nhận diện thương hiệu, sản xuất video ngắn (Reels/TikTok), bài viết SEO chuyên sâu;  </w:t>
      </w:r>
    </w:p>
    <w:p>
      <w:pPr>
        <w:spacing w:after="80" w:before="0" w:line="276" w:lineRule="auto"/>
        <w:jc w:val="left"/>
      </w:pPr>
      <w:r>
        <w:t xml:space="preserve">e) </w:t>
      </w:r>
      <w:r>
        <w:rPr>
          <w:b/>
        </w:rPr>
        <w:t>CRM, Tự Động Hóa Dữ Liệu &amp; Tích Hợp API:</w:t>
      </w:r>
      <w:r>
        <w:t xml:space="preserve"> Xây dựng hệ thống CRM quản lý phễu khách hàng tiềm năng, đồng bộ webhook đa kênh (Form, Zalo OA, Telegram, Email), tự động hóa kịch bản chăm sóc khách hàng và dashboard quản trị thời gian thực.</w:t>
      </w:r>
    </w:p>
    <w:p>
      <w:pPr>
        <w:spacing w:before="120" w:after="40"/>
      </w:pPr>
      <w:r>
        <w:rPr>
          <w:b/>
          <w:color w:val="1E293B"/>
          <w:sz w:val="22"/>
        </w:rPr>
        <w:t>ĐIỀU 3: TIÊU CHUẨN CHUYÊN MÔN &amp; GIỚI HẠN NỖ LỰC TỐI ĐA (BEST EFFORTS)</w:t>
      </w:r>
    </w:p>
    <w:p>
      <w:pPr>
        <w:spacing w:after="80" w:before="0" w:line="276" w:lineRule="auto"/>
        <w:jc w:val="left"/>
      </w:pPr>
      <w:r>
        <w:t xml:space="preserve">3.1. Căn cứ Điều 80 Luật Thương mại 2005, Bên B cam kết triển khai dịch vụ với trình độ chuyên môn cao, cẩn trọng và áp dụng các tiêu chuẩn kỹ thuật số tốt nhất trong ngành.  </w:t>
      </w:r>
    </w:p>
    <w:p>
      <w:pPr>
        <w:spacing w:after="80" w:before="0" w:line="276" w:lineRule="auto"/>
        <w:jc w:val="left"/>
      </w:pPr>
      <w:r>
        <w:t xml:space="preserve">3.2. </w:t>
      </w:r>
      <w:r>
        <w:rPr>
          <w:b/>
        </w:rPr>
        <w:t>Giới Hạn Nỗ Lực:</w:t>
      </w:r>
      <w:r>
        <w:t xml:space="preserve"> Đối với các dịch vụ Digital Marketing, Google Ads, SEO và Social Media, Bên B </w:t>
      </w:r>
      <w:r>
        <w:rPr>
          <w:b/>
        </w:rPr>
        <w:t>TUYỆT ĐỐI KHÔNG CAM KẾT VÀ KHÔNG BẢO ĐẢM</w:t>
      </w:r>
      <w:r>
        <w:t xml:space="preserve"> về:</w:t>
      </w:r>
    </w:p>
    <w:p>
      <w:pPr>
        <w:spacing w:after="60" w:before="20" w:line="276" w:lineRule="auto"/>
        <w:ind w:left="360"/>
        <w:jc w:val="left"/>
      </w:pPr>
      <w:r>
        <w:t>•  Doanh thu bán hàng, tỷ lệ chuyển đổi chốt sales, hoặc tỷ suất hoàn vốn (ROAS/ROI) cụ thể;</w:t>
      </w:r>
    </w:p>
    <w:p>
      <w:pPr>
        <w:spacing w:after="60" w:before="20" w:line="276" w:lineRule="auto"/>
        <w:ind w:left="360"/>
        <w:jc w:val="left"/>
      </w:pPr>
      <w:r>
        <w:t>•  Thứ hạng cố định vĩnh viễn trên công cụ tìm kiếm Google hoặc Google Maps;</w:t>
      </w:r>
    </w:p>
    <w:p>
      <w:pPr>
        <w:spacing w:after="60" w:before="20" w:line="276" w:lineRule="auto"/>
        <w:ind w:left="360"/>
        <w:jc w:val="left"/>
      </w:pPr>
      <w:r>
        <w:t xml:space="preserve">•  Việc Google, Meta hay bất kỳ nền tảng bên thứ ba nào bảo đảm 100% không xét duyệt lại hoặc không tạm ngưng tài khoản.  </w:t>
      </w:r>
    </w:p>
    <w:p>
      <w:pPr>
        <w:spacing w:after="80" w:before="0" w:line="276" w:lineRule="auto"/>
        <w:jc w:val="left"/>
      </w:pPr>
      <w:r>
        <w:t>3.3. Các Bên ghi nhận rằng hiệu quả kinh doanh phụ thuộc mật thiết vào chất lượng sản phẩm, chính sách giá, độ phủ thương hiệu và năng lực tư vấn bán hàng của Bên A.</w:t>
      </w:r>
    </w:p>
    <w:p>
      <w:pPr>
        <w:spacing w:before="120" w:after="40"/>
      </w:pPr>
      <w:r>
        <w:rPr>
          <w:b/>
          <w:color w:val="1E293B"/>
          <w:sz w:val="22"/>
        </w:rPr>
        <w:t>ĐIỀU 4: CƠ CẤU TÀI CHÍNH, BÓC TÁCH DÒNG TIỀN MEDIA SPEND &amp; THUẾ</w:t>
      </w:r>
    </w:p>
    <w:p>
      <w:pPr>
        <w:spacing w:after="80" w:before="0" w:line="276" w:lineRule="auto"/>
        <w:jc w:val="left"/>
      </w:pPr>
      <w:r>
        <w:t xml:space="preserve">4.1. </w:t>
      </w:r>
      <w:r>
        <w:rPr>
          <w:b/>
        </w:rPr>
        <w:t>Tách Bạch Tuyệt Đối 3 Dòng Tiền:</w:t>
      </w:r>
    </w:p>
    <w:p>
      <w:pPr>
        <w:spacing w:after="60" w:before="20" w:line="276" w:lineRule="auto"/>
        <w:ind w:left="360"/>
        <w:jc w:val="left"/>
      </w:pPr>
      <w:r>
        <w:rPr>
          <w:i/>
        </w:rPr>
        <w:t>•  Phí Dịch Vụ Bên B (Management &amp; Retainer Fee):</w:t>
      </w:r>
      <w:r>
        <w:t xml:space="preserve"> Là thù lao chuyên môn kỹ thuật của Bên B. Bên B xuất hóa đơn GTGT điện tử (thuế suất 10% hoặc theo luật thuế hiện hành) và nộp thuế TNDN.</w:t>
      </w:r>
    </w:p>
    <w:p>
      <w:pPr>
        <w:spacing w:after="60" w:before="20" w:line="276" w:lineRule="auto"/>
        <w:ind w:left="360"/>
        <w:jc w:val="left"/>
      </w:pPr>
      <w:r>
        <w:rPr>
          <w:i/>
        </w:rPr>
        <w:t>•  Ngân Sách Quảng Cáo Trả Nền Tảng (Media Spend):</w:t>
      </w:r>
      <w:r>
        <w:t xml:space="preserve"> Thuộc về Bên A. Áp dụng chuẩn mực </w:t>
      </w:r>
      <w:r>
        <w:rPr>
          <w:b/>
        </w:rPr>
        <w:t>Bên A tự gắn thẻ thanh toán quốc tế của Bên A vào tài khoản quảng cáo</w:t>
      </w:r>
      <w:r>
        <w:t>. Google / Meta trực tiếp xuất hóa đơn cho Bên A kèm thuế nhà thầu 5% theo Thông tư 80/2021/TT-BTC. Tiền ngân sách tuyệt đối không chuyển qua tài khoản của Bên B nhằm loại trừ 100% rủi ro truy thu thuế.</w:t>
      </w:r>
    </w:p>
    <w:p>
      <w:pPr>
        <w:spacing w:after="60" w:before="20" w:line="276" w:lineRule="auto"/>
        <w:ind w:left="360"/>
        <w:jc w:val="left"/>
      </w:pPr>
      <w:r>
        <w:rPr>
          <w:i/>
        </w:rPr>
        <w:t>•  Chi Phí Công Cụ Bên Thứ Ba:</w:t>
      </w:r>
      <w:r>
        <w:t xml:space="preserve"> Thuê bao phần mềm, hosting Cloudflare, API keys... do Bên A thanh toán trực tiếp cho nhà cung cấp.  </w:t>
      </w:r>
    </w:p>
    <w:p>
      <w:pPr>
        <w:spacing w:after="80" w:before="0" w:line="276" w:lineRule="auto"/>
        <w:jc w:val="left"/>
      </w:pPr>
      <w:r>
        <w:t xml:space="preserve">4.2. </w:t>
      </w:r>
      <w:r>
        <w:rPr>
          <w:b/>
        </w:rPr>
        <w:t>Trường Hợp Ủy Thác Chi Hộ:</w:t>
      </w:r>
      <w:r>
        <w:t xml:space="preserve"> Nếu Các Bên có thỏa thuận bằng văn bản về việc Bên B chi hộ tiền ads, Các Bên cam kết thực hiện đúng thủ tục Thu hộ - Chi hộ theo Điểm d Khoản 7 Điều 5 Thông tư 219/2013/TT-BTC, có hồ sơ đối soát 1:1 và Bên B tuyệt đối không xuất hóa đơn GTGT cho khoản tiền chi hộ này.</w:t>
      </w:r>
    </w:p>
    <w:p>
      <w:pPr>
        <w:spacing w:before="120" w:after="40"/>
      </w:pPr>
      <w:r>
        <w:rPr>
          <w:b/>
          <w:color w:val="1E293B"/>
          <w:sz w:val="22"/>
        </w:rPr>
        <w:t>ĐIỀU 5: ĐẶT CỌC, THANH TOÁN RETAINER &amp; CHẾ TÀI CHẬM TRẢ</w:t>
      </w:r>
    </w:p>
    <w:p>
      <w:pPr>
        <w:spacing w:after="80" w:before="0" w:line="276" w:lineRule="auto"/>
        <w:jc w:val="left"/>
      </w:pPr>
      <w:r>
        <w:t xml:space="preserve">5.1. Đối với dự án triển khai ban đầu: Khoản thanh toán Đợt 1 là </w:t>
      </w:r>
      <w:r>
        <w:rPr>
          <w:b/>
        </w:rPr>
        <w:t>Tiền đặt cọc bảo đảm thực hiện hợp đồng theo Điều 328 BLDS 2015</w:t>
      </w:r>
      <w:r>
        <w:t xml:space="preserve">. Nếu Bên A hủy ngang hợp đồng trái quy định, Bên B giữ lại 100% tiền đặt cọc.  </w:t>
      </w:r>
    </w:p>
    <w:p>
      <w:pPr>
        <w:spacing w:after="80" w:before="0" w:line="276" w:lineRule="auto"/>
        <w:jc w:val="left"/>
      </w:pPr>
      <w:r>
        <w:t xml:space="preserve">5.2. Đối với gói duy trì định kỳ (Retainer): Bên A thanh toán trước vào ngày 01 đến ngày 05 của mỗi chu kỳ thanh toán (tháng/quý).  </w:t>
      </w:r>
    </w:p>
    <w:p>
      <w:pPr>
        <w:spacing w:after="80" w:before="0" w:line="276" w:lineRule="auto"/>
        <w:jc w:val="left"/>
      </w:pPr>
      <w:r>
        <w:t xml:space="preserve">5.3. </w:t>
      </w:r>
      <w:r>
        <w:rPr>
          <w:b/>
        </w:rPr>
        <w:t>Chậm Thanh Toán:</w:t>
      </w:r>
    </w:p>
    <w:p>
      <w:pPr>
        <w:spacing w:after="60" w:before="20" w:line="276" w:lineRule="auto"/>
        <w:ind w:left="360"/>
        <w:jc w:val="left"/>
      </w:pPr>
      <w:r>
        <w:t xml:space="preserve">•  Quá hạn 03 ngày làm việc: Áp dụng lãi chậm trả </w:t>
      </w:r>
      <w:r>
        <w:rPr>
          <w:b/>
        </w:rPr>
        <w:t>0,05%/ngày</w:t>
      </w:r>
      <w:r>
        <w:t xml:space="preserve"> trên số tiền chậm trả.</w:t>
      </w:r>
    </w:p>
    <w:p>
      <w:pPr>
        <w:spacing w:after="60" w:before="20" w:line="276" w:lineRule="auto"/>
        <w:ind w:left="360"/>
        <w:jc w:val="left"/>
      </w:pPr>
      <w:r>
        <w:t xml:space="preserve">•  Quá hạn 07 ngày làm việc: Bên B có quyền </w:t>
      </w:r>
      <w:r>
        <w:rPr>
          <w:b/>
        </w:rPr>
        <w:t>Tạm ngưng dịch vụ hợp pháp</w:t>
      </w:r>
      <w:r>
        <w:t xml:space="preserve"> (Điều 6 MSA) mà không chịu trách nhiệm về thiệt hại kinh doanh của Bên A.</w:t>
      </w:r>
    </w:p>
    <w:p>
      <w:pPr>
        <w:spacing w:after="60" w:before="20" w:line="276" w:lineRule="auto"/>
        <w:ind w:left="360"/>
        <w:jc w:val="left"/>
      </w:pPr>
      <w:r>
        <w:t xml:space="preserve">•  Quá hạn 15 ngày làm việc: Bên A chịu thêm khoản phạt vi phạm </w:t>
      </w:r>
      <w:r>
        <w:rPr>
          <w:b/>
        </w:rPr>
        <w:t>8% giá trị nghĩa vụ vi phạm</w:t>
      </w:r>
      <w:r>
        <w:t xml:space="preserve"> theo Điều 301 Luật Thương mại 2005.</w:t>
      </w:r>
    </w:p>
    <w:p>
      <w:pPr>
        <w:spacing w:before="120" w:after="40"/>
      </w:pPr>
      <w:r>
        <w:rPr>
          <w:b/>
          <w:color w:val="1E293B"/>
          <w:sz w:val="22"/>
        </w:rPr>
        <w:t>ĐIỀU 6: QUY TRÌNH QUẢN LÝ THAY ĐỔI PHÁT SINH (CHANGE REQUEST)</w:t>
      </w:r>
    </w:p>
    <w:p>
      <w:pPr>
        <w:spacing w:after="80" w:before="0" w:line="276" w:lineRule="auto"/>
        <w:jc w:val="left"/>
      </w:pPr>
      <w:r>
        <w:t xml:space="preserve">Mọi tính năng, module hoặc yêu cầu mở rộng ngoài SOW ban đầu bắt buộc phải lập </w:t>
      </w:r>
      <w:r>
        <w:rPr>
          <w:b/>
        </w:rPr>
        <w:t>Phiếu Yêu Cầu Thay Đổi (CR Form)</w:t>
      </w:r>
      <w:r>
        <w:t xml:space="preserve"> ghi rõ giải pháp kỹ thuật, chi phí bổ sung và số ngày gia hạn tiến độ. Công việc chỉ được thực hiện sau khi Người đại diện Bên A ký duyệt phiếu CR.</w:t>
      </w:r>
    </w:p>
    <w:p>
      <w:pPr>
        <w:spacing w:before="120" w:after="40"/>
      </w:pPr>
      <w:r>
        <w:rPr>
          <w:b/>
          <w:color w:val="1E293B"/>
          <w:sz w:val="22"/>
        </w:rPr>
        <w:t>ĐIỀU 7: QUY TRÌNH NGHIỆM THU 2 TẦNG &amp; CHẤP NHẬN THỰC TẾ</w:t>
      </w:r>
    </w:p>
    <w:p>
      <w:pPr>
        <w:spacing w:after="80" w:before="0" w:line="276" w:lineRule="auto"/>
        <w:jc w:val="left"/>
      </w:pPr>
      <w:r>
        <w:t xml:space="preserve">7.1. </w:t>
      </w:r>
      <w:r>
        <w:rPr>
          <w:b/>
        </w:rPr>
        <w:t>Quy trình UAT 07 ngày:</w:t>
      </w:r>
      <w:r>
        <w:t xml:space="preserve"> Bên A có 07 ngày làm việc để kiểm thử. Chỉ được từ chối nghiệm thu nếu phát sinh Lỗi Nghiêm Trọng (Critical Bug). Lỗi thứ yếu (Minor Bug) được khắc phục trong thời hạn bảo hành.  </w:t>
      </w:r>
    </w:p>
    <w:p>
      <w:pPr>
        <w:spacing w:after="80" w:before="0" w:line="276" w:lineRule="auto"/>
        <w:jc w:val="left"/>
      </w:pPr>
      <w:r>
        <w:t xml:space="preserve">7.2. </w:t>
      </w:r>
      <w:r>
        <w:rPr>
          <w:b/>
        </w:rPr>
        <w:t>Quy trình Thông báo 2 Tầng:</w:t>
      </w:r>
      <w:r>
        <w:t xml:space="preserve"> Hết 07 ngày UAT lần 1, Bên B gửi Thông báo Nhắc nhở Lần 2 (gia hạn 03 ngày). Nếu Bên A tiếp tục im lặng, sản phẩm </w:t>
      </w:r>
      <w:r>
        <w:rPr>
          <w:b/>
        </w:rPr>
        <w:t>MẶC NHIÊN ĐƯỢC COI LÀ ĐÃ NGHIỆM THU ĐẠT CHUẨN 100%</w:t>
      </w:r>
      <w:r>
        <w:t xml:space="preserve"> theo Khoản 2 Điều 393 BLDS 2015.  </w:t>
      </w:r>
    </w:p>
    <w:p>
      <w:pPr>
        <w:spacing w:after="80" w:before="0" w:line="276" w:lineRule="auto"/>
        <w:jc w:val="left"/>
      </w:pPr>
      <w:r>
        <w:t xml:space="preserve">7.3. </w:t>
      </w:r>
      <w:r>
        <w:rPr>
          <w:b/>
        </w:rPr>
        <w:t>Nghiệm Thu Thực Tế (Fact-based Acceptance):</w:t>
      </w:r>
      <w:r>
        <w:t xml:space="preserve"> Bất kể có biên bản ký tay hay chưa, nếu Bên A trỏ tên miền chính thức, nhập dữ liệu khách hàng thật hoặc chạy ads bán hàng thì sản phẩm mặc nhiên được pháp luật công nhận là đã nghiệm thu hoàn tất.</w:t>
      </w:r>
    </w:p>
    <w:p>
      <w:pPr>
        <w:spacing w:before="120" w:after="40"/>
      </w:pPr>
      <w:r>
        <w:rPr>
          <w:b/>
          <w:color w:val="1E293B"/>
          <w:sz w:val="22"/>
        </w:rPr>
        <w:t>ĐIỀU 8: MA TRẬN BẢN QUYỀN SỞ HỮU TRÍ TUỆ</w:t>
      </w:r>
    </w:p>
    <w:p>
      <w:pPr>
        <w:spacing w:after="80" w:before="0" w:line="276" w:lineRule="auto"/>
        <w:jc w:val="left"/>
      </w:pPr>
      <w:r>
        <w:t>8.1. Căn cứ Luật SHTT sửa đổi 2022 và Nghị định 17/2023/NĐ-CP:</w:t>
      </w:r>
    </w:p>
    <w:p>
      <w:pPr>
        <w:spacing w:after="60" w:before="20" w:line="276" w:lineRule="auto"/>
        <w:ind w:left="360"/>
        <w:jc w:val="left"/>
      </w:pPr>
      <w:r>
        <w:rPr>
          <w:b/>
        </w:rPr>
        <w:t>•  Tài sản tạo riêng (Custom Deliverables):</w:t>
      </w:r>
      <w:r>
        <w:t xml:space="preserve"> Chuyển nhượng quyền tài sản cho Bên A </w:t>
      </w:r>
      <w:r>
        <w:rPr>
          <w:b/>
        </w:rPr>
        <w:t>sau khi Bên A thanh toán đủ 100% giá trị hợp đồng</w:t>
      </w:r>
      <w:r>
        <w:t>.</w:t>
      </w:r>
    </w:p>
    <w:p>
      <w:pPr>
        <w:spacing w:after="60" w:before="20" w:line="276" w:lineRule="auto"/>
        <w:ind w:left="360"/>
        <w:jc w:val="left"/>
      </w:pPr>
      <w:r>
        <w:rPr>
          <w:b/>
        </w:rPr>
        <w:t>•  Tài sản nền tảng LocalMate (Core Framework):</w:t>
      </w:r>
      <w:r>
        <w:t xml:space="preserve"> 100% thuộc quyền sở hữu vĩnh viễn của LocalMate. Bên A được cấp </w:t>
      </w:r>
      <w:r>
        <w:rPr>
          <w:b/>
        </w:rPr>
        <w:t>Giấy phép sử dụng vĩnh viễn, không độc quyền (Non-exclusive Perpetual License)</w:t>
      </w:r>
      <w:r>
        <w:t xml:space="preserve"> để vận hành sản phẩm. Cấm Bên A trích xuất, bán lại mã nguồn framework cho bên thứ ba.  </w:t>
      </w:r>
    </w:p>
    <w:p>
      <w:pPr>
        <w:spacing w:after="80" w:before="0" w:line="276" w:lineRule="auto"/>
        <w:jc w:val="left"/>
      </w:pPr>
      <w:r>
        <w:t xml:space="preserve">8.2. </w:t>
      </w:r>
      <w:r>
        <w:rPr>
          <w:b/>
        </w:rPr>
        <w:t>Bảo Lưu Quyền Sở Hữu (Điều 331 BLDS):</w:t>
      </w:r>
      <w:r>
        <w:t xml:space="preserve"> Trong thời gian chưa thanh toán đủ, Bên A chỉ có quyền sử dụng thử nghiệm tạm thời.</w:t>
      </w:r>
    </w:p>
    <w:p>
      <w:pPr>
        <w:spacing w:before="120" w:after="40"/>
      </w:pPr>
      <w:r>
        <w:rPr>
          <w:b/>
          <w:color w:val="1E293B"/>
          <w:sz w:val="22"/>
        </w:rPr>
        <w:t>ĐIỀU 9: THỎA THUẬN XỬ LÝ DỮ LIỆU CÁ NHÂN (ENTERPRISE DPA)</w:t>
      </w:r>
    </w:p>
    <w:p>
      <w:pPr>
        <w:spacing w:after="80" w:before="0" w:line="276" w:lineRule="auto"/>
        <w:jc w:val="left"/>
      </w:pPr>
      <w:r>
        <w:t xml:space="preserve">9.1. Xác lập tư cách pháp lý theo </w:t>
      </w:r>
      <w:r>
        <w:rPr>
          <w:b/>
        </w:rPr>
        <w:t>Luật Bảo vệ dữ liệu cá nhân 2025</w:t>
      </w:r>
      <w:r>
        <w:t xml:space="preserve"> và </w:t>
      </w:r>
      <w:r>
        <w:rPr>
          <w:b/>
        </w:rPr>
        <w:t>Nghị định 13/2023/NĐ-CP</w:t>
      </w:r>
      <w:r>
        <w:t>:</w:t>
      </w:r>
    </w:p>
    <w:p>
      <w:pPr>
        <w:spacing w:after="60" w:before="20" w:line="276" w:lineRule="auto"/>
        <w:ind w:left="360"/>
        <w:jc w:val="left"/>
      </w:pPr>
      <w:r>
        <w:t xml:space="preserve">•  Bên A là </w:t>
      </w:r>
      <w:r>
        <w:rPr>
          <w:b/>
        </w:rPr>
        <w:t>Bên Kiểm soát Dữ liệu Cá nhân (Data Controller)</w:t>
      </w:r>
      <w:r>
        <w:t>: Chịu trách nhiệm về tính hợp pháp của việc thu thập dữ liệu, lấy chấp thuận (Consent) của chủ thể dữ liệu và nộp hồ sơ DPIA cho Cục A05 - Bộ Công an.</w:t>
      </w:r>
    </w:p>
    <w:p>
      <w:pPr>
        <w:spacing w:after="60" w:before="20" w:line="276" w:lineRule="auto"/>
        <w:ind w:left="360"/>
        <w:jc w:val="left"/>
      </w:pPr>
      <w:r>
        <w:t xml:space="preserve">•  Bên B là </w:t>
      </w:r>
      <w:r>
        <w:rPr>
          <w:b/>
        </w:rPr>
        <w:t>Bên Xử lý Dữ liệu Cá nhân (Data Processor)</w:t>
      </w:r>
      <w:r>
        <w:t xml:space="preserve">: Chỉ xử lý dữ liệu theo hợp đồng và văn bản hướng dẫn của Bên A.  </w:t>
      </w:r>
    </w:p>
    <w:p>
      <w:pPr>
        <w:spacing w:after="80" w:before="0" w:line="276" w:lineRule="auto"/>
        <w:jc w:val="left"/>
      </w:pPr>
      <w:r>
        <w:t xml:space="preserve">9.2. Bên B cam kết áp dụng các biện pháp an ninh kỹ thuật (TOMs) theo chuẩn Cấp độ 2; duy trì Sổ đăng ký bên xử lý phụ (Subprocessor Register - Cloudflare, Supabase, Google); và thông báo sự cố rò rỉ dữ liệu cho Bên A trong vòng </w:t>
      </w:r>
      <w:r>
        <w:rPr>
          <w:b/>
        </w:rPr>
        <w:t>24 - 48 giờ</w:t>
      </w:r>
      <w:r>
        <w:t xml:space="preserve"> để Bên A báo cáo Cục A05 trong hạn định </w:t>
      </w:r>
      <w:r>
        <w:rPr>
          <w:b/>
        </w:rPr>
        <w:t>72 giờ</w:t>
      </w:r>
      <w:r>
        <w:t xml:space="preserve">.  </w:t>
      </w:r>
    </w:p>
    <w:p>
      <w:pPr>
        <w:spacing w:after="80" w:before="0" w:line="276" w:lineRule="auto"/>
        <w:jc w:val="left"/>
      </w:pPr>
      <w:r>
        <w:t>9.3. Sau khi kết thúc hợp đồng, Bên B bàn giao và thực hiện xóa vĩnh viễn dữ liệu cá nhân trên hệ thống của Bên B trong vòng 30 ngày.</w:t>
      </w:r>
    </w:p>
    <w:p>
      <w:pPr>
        <w:spacing w:before="120" w:after="40"/>
      </w:pPr>
      <w:r>
        <w:rPr>
          <w:b/>
          <w:color w:val="1E293B"/>
          <w:sz w:val="22"/>
        </w:rPr>
        <w:t>ĐIỀU 10: QUY CHẾ AN TOÀN THÔNG TIN &amp; MÔ HÌNH TRÁCH NHIỆM CHUNG</w:t>
      </w:r>
    </w:p>
    <w:p>
      <w:pPr>
        <w:spacing w:after="80" w:before="0" w:line="276" w:lineRule="auto"/>
        <w:jc w:val="left"/>
      </w:pPr>
      <w:r>
        <w:t xml:space="preserve">10.1. Hệ thống LocalMate áp dụng Security Baseline: Xác thực đa yếu tố (MFA), mã hóa đường truyền TLS 1.3, mã hóa database AES-256, nguyên tắc quyền tối thiểu (Least Privilege).  </w:t>
      </w:r>
    </w:p>
    <w:p>
      <w:pPr>
        <w:spacing w:after="80" w:before="0" w:line="276" w:lineRule="auto"/>
        <w:jc w:val="left"/>
      </w:pPr>
      <w:r>
        <w:t xml:space="preserve">10.2. </w:t>
      </w:r>
      <w:r>
        <w:rPr>
          <w:b/>
        </w:rPr>
        <w:t>Miễn Trừ Tuyệt Đối:</w:t>
      </w:r>
      <w:r>
        <w:t xml:space="preserve"> Bên B không cam kết hệ thống "an toàn tuyệt đối 100% không bao giờ bị hack", mà cam kết áp dụng nỗ lực kỹ thuật hợp lý theo chuẩn ngành.  </w:t>
      </w:r>
    </w:p>
    <w:p>
      <w:pPr>
        <w:spacing w:after="80" w:before="0" w:line="276" w:lineRule="auto"/>
        <w:jc w:val="left"/>
      </w:pPr>
      <w:r>
        <w:t>10.3. Bên A chịu trách nhiệm toàn bộ nếu nhân viên của Bên A làm lộ mật khẩu, cấu hình sai quyền truy cập, hoặc sử dụng hệ thống để phát tán tin nhắn rác vi phạm Nghị định 91/2020/NĐ-CP.</w:t>
      </w:r>
    </w:p>
    <w:p>
      <w:pPr>
        <w:spacing w:before="120" w:after="40"/>
      </w:pPr>
      <w:r>
        <w:rPr>
          <w:b/>
          <w:color w:val="1E293B"/>
          <w:sz w:val="22"/>
        </w:rPr>
        <w:t>ĐIỀU 11: BÀN GIAO TÀI SẢN SỐ &amp; CHÍNH CHỦ TÀI KHOẢN</w:t>
      </w:r>
    </w:p>
    <w:p>
      <w:pPr>
        <w:spacing w:after="80" w:before="0" w:line="276" w:lineRule="auto"/>
        <w:jc w:val="left"/>
      </w:pPr>
      <w:r>
        <w:t xml:space="preserve">11.1. Toàn bộ Tên miền, Tài khoản Google Ads, Google Maps, Meta BM được thiết lập chính chủ cho Bên A.  </w:t>
      </w:r>
    </w:p>
    <w:p>
      <w:pPr>
        <w:spacing w:after="80" w:before="0" w:line="276" w:lineRule="auto"/>
        <w:jc w:val="left"/>
      </w:pPr>
      <w:r>
        <w:t xml:space="preserve">11.2. Mật khẩu và thông tin xác thực quản trị được bàn giao bằng phương thức an toàn qua </w:t>
      </w:r>
      <w:r>
        <w:rPr>
          <w:b/>
        </w:rPr>
        <w:t>Bitwarden Send</w:t>
      </w:r>
      <w:r>
        <w:t xml:space="preserve"> mã hóa đầu cuối, tuyệt đối không gửi mật khẩu thô trong tin nhắn hoặc email công khai.  </w:t>
      </w:r>
    </w:p>
    <w:p>
      <w:pPr>
        <w:spacing w:after="80" w:before="0" w:line="276" w:lineRule="auto"/>
        <w:jc w:val="left"/>
      </w:pPr>
      <w:r>
        <w:t xml:space="preserve">11.3. Google Business Profile được chuyển giao vị trí Chủ sở hữu chính (Primary Owner) sau đúng </w:t>
      </w:r>
      <w:r>
        <w:rPr>
          <w:b/>
        </w:rPr>
        <w:t>07 ngày</w:t>
      </w:r>
      <w:r>
        <w:t xml:space="preserve"> theo quy định bảo mật của Google.</w:t>
      </w:r>
    </w:p>
    <w:p>
      <w:pPr>
        <w:spacing w:before="120" w:after="40"/>
      </w:pPr>
      <w:r>
        <w:rPr>
          <w:b/>
          <w:color w:val="1E293B"/>
          <w:sz w:val="22"/>
        </w:rPr>
        <w:t>ĐIỀU 12: THỎA THUẬN MỨC DỊCH VỤ (ENTERPRISE SLA)</w:t>
      </w:r>
    </w:p>
    <w:p>
      <w:pPr>
        <w:spacing w:after="80" w:before="0" w:line="276" w:lineRule="auto"/>
        <w:jc w:val="left"/>
      </w:pPr>
      <w:r>
        <w:t>Cam kết thời gian phản hồi sự cố:</w:t>
      </w:r>
    </w:p>
    <w:p>
      <w:pPr>
        <w:spacing w:after="60" w:before="20" w:line="276" w:lineRule="auto"/>
        <w:ind w:left="360"/>
        <w:jc w:val="left"/>
      </w:pPr>
      <w:r>
        <w:rPr>
          <w:i/>
        </w:rPr>
        <w:t>•  Mức P0 (Critical - Hệ thống ngừng hoạt động hoàn toàn):</w:t>
      </w:r>
      <w:r>
        <w:t xml:space="preserve"> Phản hồi trong vòng 01 giờ, xử lý trong vòng 08 giờ làm việc.</w:t>
      </w:r>
    </w:p>
    <w:p>
      <w:pPr>
        <w:spacing w:after="60" w:before="20" w:line="276" w:lineRule="auto"/>
        <w:ind w:left="360"/>
        <w:jc w:val="left"/>
      </w:pPr>
      <w:r>
        <w:rPr>
          <w:i/>
        </w:rPr>
        <w:t>•  Mức P1 (High - Tính năng chính bị lỗi):</w:t>
      </w:r>
      <w:r>
        <w:t xml:space="preserve"> Phản hồi trong vòng 02 giờ, xử lý trong vòng 24 giờ làm việc.</w:t>
      </w:r>
    </w:p>
    <w:p>
      <w:pPr>
        <w:spacing w:after="60" w:before="20" w:line="276" w:lineRule="auto"/>
        <w:ind w:left="360"/>
        <w:jc w:val="left"/>
      </w:pPr>
      <w:r>
        <w:rPr>
          <w:i/>
        </w:rPr>
        <w:t>•  Mức P2/P3 (Medium/Low - Lỗi hiển thị, cập nhật nhỏ):</w:t>
      </w:r>
      <w:r>
        <w:t xml:space="preserve"> Phản hồi trong vòng 04 giờ làm việc, xử lý trong vòng 48 giờ làm việc.</w:t>
      </w:r>
    </w:p>
    <w:p>
      <w:pPr>
        <w:spacing w:before="120" w:after="40"/>
      </w:pPr>
      <w:r>
        <w:rPr>
          <w:b/>
          <w:color w:val="1E293B"/>
          <w:sz w:val="22"/>
        </w:rPr>
        <w:t>ĐIỀU 13: BẢO MẬT THÔNG TIN (NDA)</w:t>
      </w:r>
    </w:p>
    <w:p>
      <w:pPr>
        <w:spacing w:after="80" w:before="0" w:line="276" w:lineRule="auto"/>
        <w:jc w:val="left"/>
      </w:pPr>
      <w:r>
        <w:t xml:space="preserve">Hai Bên cam kết bảo mật toàn bộ mã nguồn, thông tin kinh doanh, dữ liệu khách hàng và bảng giá trong suốt thời hạn hợp đồng và kéo dài thêm </w:t>
      </w:r>
      <w:r>
        <w:rPr>
          <w:b/>
        </w:rPr>
        <w:t>03 năm</w:t>
      </w:r>
      <w:r>
        <w:t xml:space="preserve"> sau khi chấm dứt hợp đồng.</w:t>
      </w:r>
    </w:p>
    <w:p>
      <w:pPr>
        <w:spacing w:before="120" w:after="40"/>
      </w:pPr>
      <w:r>
        <w:rPr>
          <w:b/>
          <w:color w:val="1E293B"/>
          <w:sz w:val="22"/>
        </w:rPr>
        <w:t>ĐIỀU 14: CAM KẾT HỢP PHÁP NỘI DUNG &amp; BỒI HOÀN TOÀN DIỆN (FULL INDEMNITY)</w:t>
      </w:r>
    </w:p>
    <w:p>
      <w:pPr>
        <w:spacing w:after="80" w:before="0" w:line="276" w:lineRule="auto"/>
        <w:jc w:val="left"/>
      </w:pPr>
      <w:r>
        <w:t xml:space="preserve">14.1. Bên A cam đoan và chịu trách nhiệm 100% về tính hợp pháp của sản phẩm, hàng hóa, giấy phép kinh doanh, giấy phép quảng cáo y tế/mỹ phẩm/TPCN và bản quyền hình ảnh cung cấp cho Bên B.  </w:t>
      </w:r>
    </w:p>
    <w:p>
      <w:pPr>
        <w:spacing w:after="80" w:before="0" w:line="276" w:lineRule="auto"/>
        <w:jc w:val="left"/>
      </w:pPr>
      <w:r>
        <w:t xml:space="preserve">14.2. </w:t>
      </w:r>
      <w:r>
        <w:rPr>
          <w:b/>
        </w:rPr>
        <w:t>Bồi Hoàn Vô Điều Kiện:</w:t>
      </w:r>
      <w:r>
        <w:t xml:space="preserve"> Trường hợp Bên B bị cơ quan nhà nước xử phạt vi phạm hành chính do nội dung hoặc sản phẩm của Bên A, Bên A có nghĩa vụ </w:t>
      </w:r>
      <w:r>
        <w:rPr>
          <w:b/>
        </w:rPr>
        <w:t>bồi hoàn 100% tiền phạt và chi phí pháp lý cho Bên B trong vòng 05 ngày làm việc</w:t>
      </w:r>
      <w:r>
        <w:t>.</w:t>
      </w:r>
    </w:p>
    <w:p>
      <w:pPr>
        <w:spacing w:before="120" w:after="40"/>
      </w:pPr>
      <w:r>
        <w:rPr>
          <w:b/>
          <w:color w:val="1E293B"/>
          <w:sz w:val="22"/>
        </w:rPr>
        <w:t>ĐIỀU 15: GIỚI HẠN TRÁCH NHIỆM BỒI THƯỜNG (LIABILITY CAP)</w:t>
      </w:r>
    </w:p>
    <w:p>
      <w:pPr>
        <w:spacing w:after="80" w:before="0" w:line="276" w:lineRule="auto"/>
        <w:jc w:val="left"/>
      </w:pPr>
      <w:r>
        <w:t xml:space="preserve">15.1. Căn cứ Điều 302 Luật Thương mại 2005, Bên B được loại trừ hoàn toàn trách nhiệm đối với các thiệt hại gián tiếp, mất cơ hội kinh doanh hoặc lợi nhuận kỳ vọng bị bỏ lỡ (Lost Profits) của Bên A.  </w:t>
      </w:r>
    </w:p>
    <w:p>
      <w:pPr>
        <w:spacing w:after="80" w:before="0" w:line="276" w:lineRule="auto"/>
        <w:jc w:val="left"/>
      </w:pPr>
      <w:r>
        <w:t xml:space="preserve">15.2. </w:t>
      </w:r>
      <w:r>
        <w:rPr>
          <w:b/>
        </w:rPr>
        <w:t>Liability Cap:</w:t>
      </w:r>
      <w:r>
        <w:t xml:space="preserve"> Tổng mức trách nhiệm bồi thường thiệt hại tối đa của Bên B đối với mọi khiếu nại phát sinh từ Hợp đồng này </w:t>
      </w:r>
      <w:r>
        <w:rPr>
          <w:b/>
        </w:rPr>
        <w:t>KHÔNG VƯỢT QUÁ 100% TỔNG SỐ TIỀN PHÍ DỊCH VỤ BÊN B ĐÃ THỰC NHẬN TRONG BA (03) THÁNG GẦN NHẤT</w:t>
      </w:r>
      <w:r>
        <w:t xml:space="preserve">.  </w:t>
      </w:r>
    </w:p>
    <w:p>
      <w:pPr>
        <w:spacing w:after="80" w:before="0" w:line="276" w:lineRule="auto"/>
        <w:jc w:val="left"/>
      </w:pPr>
      <w:r>
        <w:t>15.3. Mức trần trách nhiệm không áp dụng đối với hành vi cố ý vi phạm hợp đồng hoặc cố ý làm lộ bí mật kinh doanh.</w:t>
      </w:r>
    </w:p>
    <w:p>
      <w:pPr>
        <w:spacing w:before="120" w:after="40"/>
      </w:pPr>
      <w:r>
        <w:rPr>
          <w:b/>
          <w:color w:val="1E293B"/>
          <w:sz w:val="22"/>
        </w:rPr>
        <w:t>ĐIỀU 16: QUYỀN KIỂM TOÁN TUÂN THỦ (AUDIT RIGHTS)</w:t>
      </w:r>
    </w:p>
    <w:p>
      <w:pPr>
        <w:spacing w:after="80" w:before="0" w:line="276" w:lineRule="auto"/>
        <w:jc w:val="left"/>
      </w:pPr>
      <w:r>
        <w:t>Đối với hợp đồng Enterprise, Bên A có quyền yêu cầu Bên B cung cấp bản ghi báo cáo tuân thủ an toàn thông tin (Security Compliance Report) và danh sách Sub-processors định kỳ 01 lần/năm với điều kiện thông báo trước bằng văn bản 15 ngày làm việc và ký cam kết bảo mật nghiêm ngặt.</w:t>
      </w:r>
    </w:p>
    <w:p>
      <w:pPr>
        <w:spacing w:before="120" w:after="40"/>
      </w:pPr>
      <w:r>
        <w:rPr>
          <w:b/>
          <w:color w:val="1E293B"/>
          <w:sz w:val="22"/>
        </w:rPr>
        <w:t>ĐIỀU 17: BẤT KHẢ KHÁNG &amp; MIỄN TRỪ NỀN TẢNG BÊN THỨ BA</w:t>
      </w:r>
    </w:p>
    <w:p>
      <w:pPr>
        <w:spacing w:after="80" w:before="0" w:line="276" w:lineRule="auto"/>
        <w:jc w:val="left"/>
      </w:pPr>
      <w:r>
        <w:t>Bên B được miễn trừ trách nhiệm hợp đồng khi xảy ra sự kiện bất khả kháng (Điều 156 BLDS) hoặc sự cố xuất phát từ nền tảng bên thứ ba (đứt cáp quang biển, sự cố toàn cầu của Cloudflare/Google/AWS, Google thay đổi thuật toán đột ngột).</w:t>
      </w:r>
    </w:p>
    <w:p>
      <w:pPr>
        <w:spacing w:before="120" w:after="40"/>
      </w:pPr>
      <w:r>
        <w:rPr>
          <w:b/>
          <w:color w:val="1E293B"/>
          <w:sz w:val="22"/>
        </w:rPr>
        <w:t>ĐIỀU 18: TẠM NGỪNG &amp; CHẤM DỨT HỢP ĐỒNG HỢP PHÁP</w:t>
      </w:r>
    </w:p>
    <w:p>
      <w:pPr>
        <w:spacing w:after="80" w:before="0" w:line="276" w:lineRule="auto"/>
        <w:jc w:val="left"/>
      </w:pPr>
      <w:r>
        <w:t>Bên B có quyền tạm ngừng dịch vụ sau khi thông báo trước 24 giờ nếu Bên A chậm thanh toán quá 07 ngày hoặc vi phạm an toàn thông tin. Mỗi Bên có quyền đơn phương chấm dứt hợp đồng nếu Bên kia vi phạm cơ bản nghĩa vụ và không khắc phục trong vòng 15 ngày kể từ khi nhận được thông báo văn bản.</w:t>
      </w:r>
    </w:p>
    <w:p>
      <w:pPr>
        <w:spacing w:before="120" w:after="40"/>
      </w:pPr>
      <w:r>
        <w:rPr>
          <w:b/>
          <w:color w:val="1E293B"/>
          <w:sz w:val="22"/>
        </w:rPr>
        <w:t>ĐIỀU 19: BÀN GIAO &amp; XÓA DỮ LIỆU SAU CHẤM DỨT</w:t>
      </w:r>
    </w:p>
    <w:p>
      <w:pPr>
        <w:spacing w:after="80" w:before="0" w:line="276" w:lineRule="auto"/>
        <w:jc w:val="left"/>
      </w:pPr>
      <w:r>
        <w:t>Trong vòng 15 ngày kể từ ngày chấm dứt hợp đồng, Hai Bên tiến hành đối soát công nợ, bàn giao mã nguồn/tài khoản tương ứng với số tiền đã thanh toán, cấp Biên bản hoàn tất xóa dữ liệu cá nhân (File 10E) và ký Biên Bản Thanh Lý Hợp Đồng.</w:t>
      </w:r>
    </w:p>
    <w:p>
      <w:pPr>
        <w:spacing w:before="120" w:after="40"/>
      </w:pPr>
      <w:r>
        <w:rPr>
          <w:b/>
          <w:color w:val="1E293B"/>
          <w:sz w:val="22"/>
        </w:rPr>
        <w:t>ĐIỀU 20: GIAO DỊCH ĐIỆN TỬ &amp; CHỮ KÝ SỐ</w:t>
      </w:r>
    </w:p>
    <w:p>
      <w:pPr>
        <w:spacing w:after="80" w:before="0" w:line="276" w:lineRule="auto"/>
        <w:jc w:val="left"/>
      </w:pPr>
      <w:r>
        <w:t xml:space="preserve">Căn cứ Luật Giao dịch điện tử số 20/2023/QH15, Hợp đồng này và toàn bộ các văn bản giao dịch được ưu tiên ký kết bằng </w:t>
      </w:r>
      <w:r>
        <w:rPr>
          <w:b/>
        </w:rPr>
        <w:t>Chữ ký số (Digital Signature) có chứng thư số công cộng hợp pháp</w:t>
      </w:r>
      <w:r>
        <w:t xml:space="preserve"> hoặc qua Nền tảng hợp đồng điện tử CeCA có giá trị pháp lý tương đương văn bản giấy có con dấu.</w:t>
      </w:r>
    </w:p>
    <w:p>
      <w:pPr>
        <w:spacing w:before="120" w:after="40"/>
      </w:pPr>
      <w:r>
        <w:rPr>
          <w:b/>
          <w:color w:val="1E293B"/>
          <w:sz w:val="22"/>
        </w:rPr>
        <w:t>ĐIỀU 21: LUẬT ÁP DỤNG &amp; GIẢI QUYẾT TRANH CHẤP</w:t>
      </w:r>
    </w:p>
    <w:p>
      <w:pPr>
        <w:spacing w:after="80" w:before="0" w:line="276" w:lineRule="auto"/>
        <w:jc w:val="left"/>
      </w:pPr>
      <w:r>
        <w:t xml:space="preserve">21.1. Hợp đồng chịu sự điều chỉnh của pháp luật nước Cộng hòa Xã hội Chủ nghĩa Việt Nam.  </w:t>
      </w:r>
    </w:p>
    <w:p>
      <w:pPr>
        <w:spacing w:after="80" w:before="0" w:line="276" w:lineRule="auto"/>
        <w:jc w:val="left"/>
      </w:pPr>
      <w:r>
        <w:t xml:space="preserve">21.2. Mọi tranh chấp không giải quyết được qua thương lượng trong vòng 30 ngày sẽ được đưa ra giải quyết tại </w:t>
      </w:r>
      <w:r>
        <w:rPr>
          <w:b/>
        </w:rPr>
        <w:t>Trung tâm Trọng tài Quốc tế Việt Nam (VIAC)</w:t>
      </w:r>
      <w:r>
        <w:t xml:space="preserve"> hoặc </w:t>
      </w:r>
      <w:r>
        <w:rPr>
          <w:b/>
        </w:rPr>
        <w:t>Tòa án Nhân dân có thẩm quyền tại nơi Bên B đặt trụ sở chính</w:t>
      </w:r>
      <w:r>
        <w:t>. Bên thua kiện chịu toàn bộ án phí/trọng tài phí và chi phí luật sư của bên thắng kiện.</w:t>
      </w:r>
    </w:p>
    <w:p>
      <w:pPr>
        <w:spacing w:before="120" w:after="40"/>
      </w:pPr>
      <w:r>
        <w:rPr>
          <w:b/>
          <w:color w:val="1E293B"/>
          <w:sz w:val="22"/>
        </w:rPr>
        <w:t>ĐIỀU 22: HIỆU LỰC THI HÀNH</w:t>
      </w:r>
    </w:p>
    <w:p>
      <w:pPr>
        <w:spacing w:after="80" w:before="0" w:line="276" w:lineRule="auto"/>
        <w:jc w:val="left"/>
      </w:pPr>
      <w:r>
        <w:t>Hợp đồng có hiệu lực 12 tháng kể từ ngày ký, tự động gia hạn từng năm trừ khi có thông báo từ chối. Hợp đồng được lập thành 02 bản gốc có giá trị như nhau hoặc 01 bản điện tử ký số lưu trữ an toàn.</w:t>
      </w:r>
    </w:p>
    <w:p>
      <w:pPr>
        <w:spacing w:after="120" w:before="80"/>
      </w:pPr>
      <w:r>
        <w:rPr>
          <w:color w:val="CBD5E1"/>
        </w:rPr>
        <w:t>―――――――――――――――――――――――――――――――――――――――――――――――――――――――</w:t>
      </w:r>
    </w:p>
    <w:p>
      <w:pPr>
        <w:spacing w:before="160" w:after="60"/>
      </w:pPr>
      <w:r>
        <w:rPr>
          <w:b/>
          <w:color w:val="0D7647"/>
          <w:sz w:val="23"/>
        </w:rPr>
        <w:t>ĐẠI DIỆN HỢP PHÁP CÁC BÊN KÝ TÊN</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BÊN A                                   ĐẠI DIỆN BÊN B</w:t>
      </w:r>
    </w:p>
    <w:p>
      <w:pPr>
        <w:spacing w:after="80" w:before="0" w:line="276" w:lineRule="auto"/>
        <w:jc w:val="left"/>
      </w:pPr>
      <w:r>
        <w:t xml:space="preserve">      [TÊN_DOANH_NGHIỆP_BÊN_A]                            [LOCALMATE_LEGAL_NAME]</w:t>
      </w:r>
    </w:p>
    <w:p>
      <w:pPr>
        <w:spacing w:after="80" w:before="0" w:line="276" w:lineRule="auto"/>
        <w:jc w:val="left"/>
      </w:pPr>
      <w:r>
        <w:t>_________________________________________         _________________________________________</w:t>
      </w:r>
    </w:p>
    <w:p>
      <w:pPr>
        <w:spacing w:after="80" w:before="0" w:line="276" w:lineRule="auto"/>
        <w:jc w:val="left"/>
      </w:pPr>
      <w:r>
        <w:t xml:space="preserve">  [ĐẠI_DIỆN_BÊN_A]                                  [REPRESENTATIVE]</w:t>
      </w:r>
    </w:p>
    <w:p>
      <w:pPr>
        <w:spacing w:after="80" w:before="0" w:line="276" w:lineRule="auto"/>
        <w:jc w:val="left"/>
      </w:pPr>
      <w:r>
        <w:t xml:space="preserve">  Chức vụ: [CHỨC_VỤ_BÊN_A]                          Chức vụ: [TITLE]</w:t>
      </w:r>
    </w:p>
    <w:p>
      <w:pPr>
        <w:spacing w:after="80" w:before="0" w:line="276" w:lineRule="auto"/>
        <w:jc w:val="left"/>
      </w:pPr>
      <w:r>
        <w:t xml:space="preserve">  (Ký số điện tử hoặc Ký tên, đóng dấu)             (Ký số điện tử hoặc Ký tên, đóng dấu)</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