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left"/>
      </w:pPr>
      <w:r>
        <w:t>﻿# BIÊN BẢN NGHIỆM THU DỊCH VỤ HOÀN THÀNH</w:t>
      </w:r>
    </w:p>
    <w:p>
      <w:pPr>
        <w:spacing w:before="200" w:after="80" w:line="276" w:lineRule="auto"/>
        <w:jc w:val="center"/>
      </w:pPr>
      <w:r>
        <w:rPr>
          <w:b/>
          <w:color w:val="0D7647"/>
          <w:sz w:val="26"/>
        </w:rPr>
        <w:t>(SERVICE ACCEPTANCE CERTIFICATE)</w:t>
      </w:r>
    </w:p>
    <w:p>
      <w:pPr>
        <w:spacing w:after="80" w:before="0" w:line="276" w:lineRule="auto"/>
        <w:jc w:val="left"/>
      </w:pPr>
      <w:r>
        <w:rPr>
          <w:b/>
        </w:rPr>
        <w:t>Mã hiệu văn bản:</w:t>
      </w:r>
      <w:r>
        <w:t xml:space="preserve"> </w:t>
      </w:r>
      <w:r>
        <w:rPr>
          <w:rFonts w:ascii="Consolas" w:hAnsi="Consolas"/>
          <w:color w:val="B42828"/>
          <w:sz w:val="20"/>
        </w:rPr>
        <w:t>LM-OPS-ACC-16</w:t>
      </w:r>
      <w:r>
        <w:t xml:space="preserve">  </w:t>
      </w:r>
    </w:p>
    <w:p>
      <w:pPr>
        <w:spacing w:after="80" w:before="0" w:line="276" w:lineRule="auto"/>
        <w:jc w:val="left"/>
      </w:pPr>
      <w:r>
        <w:rPr>
          <w:i/>
        </w:rPr>
        <w:t>(Căn cứ theo Hợp đồng Dịch vụ Khung số: LM-MSA-2026-088/LM-MSA và Bản SOW số: LM-SOW-2026-088)</w:t>
      </w:r>
      <w:r>
        <w:t xml:space="preserve">  </w:t>
      </w:r>
    </w:p>
    <w:p>
      <w:pPr>
        <w:spacing w:after="80" w:before="0" w:line="276" w:lineRule="auto"/>
        <w:jc w:val="left"/>
      </w:pPr>
      <w:r>
        <w:rPr>
          <w:b/>
        </w:rPr>
        <w:t>Căn cứ pháp lý:</w:t>
      </w:r>
      <w:r>
        <w:t xml:space="preserve">  </w:t>
      </w:r>
    </w:p>
    <w:p>
      <w:pPr>
        <w:spacing w:after="60" w:before="20" w:line="276" w:lineRule="auto"/>
        <w:ind w:left="360"/>
        <w:jc w:val="left"/>
      </w:pPr>
      <w:r>
        <w:rPr>
          <w:i/>
        </w:rPr>
        <w:t>•  Bộ luật Dân sự số 91/2015/QH13 (Điều 513, Điều 518 về kiểm tra và tiếp nhận kết quả dịch vụ);</w:t>
      </w:r>
      <w:r>
        <w:t xml:space="preserve">  </w:t>
      </w:r>
    </w:p>
    <w:p>
      <w:pPr>
        <w:spacing w:after="60" w:before="20" w:line="276" w:lineRule="auto"/>
        <w:ind w:left="360"/>
        <w:jc w:val="left"/>
      </w:pPr>
      <w:r>
        <w:rPr>
          <w:i/>
        </w:rPr>
        <w:t>•  Luật Thương mại số 36/2005/QH11 (Điều 74, Điều 79 về quyền và nghĩa vụ của bên thuê dịch vụ);</w:t>
      </w:r>
      <w:r>
        <w:t xml:space="preserve">  </w:t>
      </w:r>
    </w:p>
    <w:p>
      <w:pPr>
        <w:spacing w:after="60" w:before="20" w:line="276" w:lineRule="auto"/>
        <w:ind w:left="360"/>
        <w:jc w:val="left"/>
      </w:pPr>
      <w:r>
        <w:rPr>
          <w:i/>
        </w:rPr>
        <w:t>•  Nghị định số 123/2020/NĐ-CP (Khoản 2 Điều 9 về thời điểm lập hóa đơn khi hoàn thành dịch vụ hoặc từng giai đoạn nghiệm thu).</w:t>
      </w:r>
    </w:p>
    <w:p>
      <w:pPr>
        <w:spacing w:after="120" w:before="80"/>
      </w:pPr>
      <w:r>
        <w:rPr>
          <w:color w:val="CBD5E1"/>
        </w:rPr>
        <w:t>―――――――――――――――――――――――――――――――――――――――――――――――――――――――</w:t>
      </w:r>
    </w:p>
    <w:p>
      <w:pPr>
        <w:spacing w:after="80" w:before="0" w:line="276" w:lineRule="auto"/>
        <w:jc w:val="left"/>
      </w:pPr>
      <w:r>
        <w:t>Hôm nay, ngày [NGAY] tháng [THANG] năm 202[X], tại [DIA_DIEM], Hai Bên tiến hành kiểm tra, đánh giá và lập Biên bản nghiệm thu đối với các sản phẩm dịch vụ kỹ thuật số theo hợp đồng đã ký kết:</w:t>
      </w:r>
    </w:p>
    <w:p>
      <w:pPr>
        <w:spacing w:before="160" w:after="60"/>
      </w:pPr>
      <w:r>
        <w:rPr>
          <w:b/>
          <w:color w:val="0D7647"/>
          <w:sz w:val="23"/>
        </w:rPr>
        <w:t>ĐƠN VỊ SỬ DỤNG DỊCH VỤ (BÊN A - KHÁCH HÀNG):</w:t>
      </w:r>
    </w:p>
    <w:p>
      <w:pPr>
        <w:spacing w:after="60" w:before="20" w:line="276" w:lineRule="auto"/>
        <w:ind w:left="360"/>
        <w:jc w:val="left"/>
      </w:pPr>
      <w:r>
        <w:rPr>
          <w:b/>
        </w:rPr>
        <w:t>•  Tên doanh nghiệp / Hộ kinh doanh:</w:t>
      </w:r>
      <w:r>
        <w:t xml:space="preserve"> CÔNG TY TNHH THỜI TRANG ĐỊA PHƯƠNG SÀI GÒN</w:t>
      </w:r>
    </w:p>
    <w:p>
      <w:pPr>
        <w:spacing w:after="60" w:before="20" w:line="276" w:lineRule="auto"/>
        <w:ind w:left="360"/>
        <w:jc w:val="left"/>
      </w:pPr>
      <w:r>
        <w:rPr>
          <w:b/>
        </w:rPr>
        <w:t>•  Mã số thuế:</w:t>
      </w:r>
      <w:r>
        <w:t xml:space="preserve"> 0317888888</w:t>
      </w:r>
    </w:p>
    <w:p>
      <w:pPr>
        <w:spacing w:after="60" w:before="20" w:line="276" w:lineRule="auto"/>
        <w:ind w:left="360"/>
        <w:jc w:val="left"/>
      </w:pPr>
      <w:r>
        <w:rPr>
          <w:b/>
        </w:rPr>
        <w:t>•  Địa chỉ:</w:t>
      </w:r>
      <w:r>
        <w:t xml:space="preserve"> 123 Đường Nguyễn Trãi, Phường Bến Thành, Quận 1, TP. Hồ Chí Minh</w:t>
      </w:r>
    </w:p>
    <w:p>
      <w:pPr>
        <w:spacing w:after="60" w:before="20" w:line="276" w:lineRule="auto"/>
        <w:ind w:left="360"/>
        <w:jc w:val="left"/>
      </w:pPr>
      <w:r>
        <w:rPr>
          <w:b/>
        </w:rPr>
        <w:t>•  Đại diện nghiệm thu:</w:t>
      </w:r>
      <w:r>
        <w:t xml:space="preserve"> NGUYỄN VĂN AN | </w:t>
      </w:r>
      <w:r>
        <w:rPr>
          <w:b/>
        </w:rPr>
        <w:t>Chức vụ:</w:t>
      </w:r>
      <w:r>
        <w:t xml:space="preserve"> Tổng Giám Đốc</w:t>
      </w:r>
    </w:p>
    <w:p>
      <w:pPr>
        <w:spacing w:before="160" w:after="60"/>
      </w:pPr>
      <w:r>
        <w:rPr>
          <w:b/>
          <w:color w:val="0D7647"/>
          <w:sz w:val="23"/>
        </w:rPr>
        <w:t>ĐƠN VỊ CUNG CẤP DỊCH VỤ (BÊN B - LOCALMATE):</w:t>
      </w:r>
    </w:p>
    <w:p>
      <w:pPr>
        <w:spacing w:after="60" w:before="20" w:line="276" w:lineRule="auto"/>
        <w:ind w:left="360"/>
        <w:jc w:val="left"/>
      </w:pPr>
      <w:r>
        <w:rPr>
          <w:b/>
        </w:rPr>
        <w:t>•  Tổ chức:</w:t>
      </w:r>
      <w:r>
        <w:t xml:space="preserve"> CÔNG TY TNHH CÔNG NGHỆ VÀ TRUYỀN THÔNG LOCALMATE</w:t>
      </w:r>
    </w:p>
    <w:p>
      <w:pPr>
        <w:spacing w:after="60" w:before="20" w:line="276" w:lineRule="auto"/>
        <w:ind w:left="360"/>
        <w:jc w:val="left"/>
      </w:pPr>
      <w:r>
        <w:rPr>
          <w:b/>
        </w:rPr>
        <w:t>•  Mã số thuế:</w:t>
      </w:r>
      <w:r>
        <w:t xml:space="preserve"> 0318999999</w:t>
      </w:r>
    </w:p>
    <w:p>
      <w:pPr>
        <w:spacing w:after="60" w:before="20" w:line="276" w:lineRule="auto"/>
        <w:ind w:left="360"/>
        <w:jc w:val="left"/>
      </w:pPr>
      <w:r>
        <w:rPr>
          <w:b/>
        </w:rPr>
        <w:t>•  Địa chỉ:</w:t>
      </w:r>
      <w:r>
        <w:t xml:space="preserve"> Tầng 5, Tòa nhà Innovation, Phường Bến Nghé, Quận 1, TP. Hồ Chí Minh</w:t>
      </w:r>
    </w:p>
    <w:p>
      <w:pPr>
        <w:spacing w:after="60" w:before="20" w:line="276" w:lineRule="auto"/>
        <w:ind w:left="360"/>
        <w:jc w:val="left"/>
      </w:pPr>
      <w:r>
        <w:rPr>
          <w:b/>
        </w:rPr>
        <w:t>•  Đại diện kỹ thuật:</w:t>
      </w:r>
      <w:r>
        <w:t xml:space="preserve"> PHẠM NGUYÊN VŨ | </w:t>
      </w:r>
      <w:r>
        <w:rPr>
          <w:b/>
        </w:rPr>
        <w:t>Chức vụ:</w:t>
      </w:r>
      <w:r>
        <w:t xml:space="preserve"> Giám Đốc</w:t>
      </w:r>
    </w:p>
    <w:p>
      <w:pPr>
        <w:spacing w:after="60" w:before="20" w:line="276" w:lineRule="auto"/>
        <w:ind w:left="360"/>
        <w:jc w:val="left"/>
      </w:pPr>
      <w:r>
        <w:rPr>
          <w:b/>
        </w:rPr>
        <w:t>•  Hotline:</w:t>
      </w:r>
      <w:r>
        <w:t xml:space="preserve"> 0834.422.439 | </w:t>
      </w:r>
      <w:r>
        <w:rPr>
          <w:b/>
        </w:rPr>
        <w:t>Email:</w:t>
      </w:r>
      <w:r>
        <w:t xml:space="preserve"> contact@localmate.vn</w:t>
      </w:r>
    </w:p>
    <w:p>
      <w:pPr>
        <w:spacing w:after="120" w:before="80"/>
      </w:pPr>
      <w:r>
        <w:rPr>
          <w:color w:val="CBD5E1"/>
        </w:rPr>
        <w:t>―――――――――――――――――――――――――――――――――――――――――――――――――――――――</w:t>
      </w:r>
    </w:p>
    <w:p>
      <w:pPr>
        <w:spacing w:before="160" w:after="60"/>
      </w:pPr>
      <w:r>
        <w:rPr>
          <w:b/>
          <w:color w:val="0D7647"/>
          <w:sz w:val="23"/>
        </w:rPr>
        <w:t>ĐIỀU 1. ĐỐI TƯỢNG VÀ PHẠM VI NGHIỆM THU</w:t>
      </w:r>
    </w:p>
    <w:p>
      <w:pPr>
        <w:spacing w:after="80" w:before="0" w:line="276" w:lineRule="auto"/>
        <w:jc w:val="left"/>
      </w:pPr>
      <w:r>
        <w:t xml:space="preserve">Hai Bên tiến hành nghiệm thu đối với toàn bộ các sản phẩm bàn giao thuộc dự án: </w:t>
      </w:r>
      <w:r>
        <w:rPr>
          <w:b/>
        </w:rPr>
        <w:t>DỰ ÁN SỐ HÓA THƯƠNG HIỆU &amp; LOCAL SEO LOCAL FASHION</w:t>
      </w:r>
      <w:r>
        <w:t xml:space="preserve"> theo đúng Bản đặc tả phạm vi công việc (SOW) số: </w:t>
      </w:r>
      <w:r>
        <w:rPr>
          <w:rFonts w:ascii="Consolas" w:hAnsi="Consolas"/>
          <w:color w:val="B42828"/>
          <w:sz w:val="20"/>
        </w:rPr>
        <w:t>LM-SOW-2026-088</w:t>
      </w:r>
      <w:r>
        <w:t>, bao gồm:</w:t>
      </w:r>
    </w:p>
    <w:p>
      <w:pPr>
        <w:spacing w:after="60" w:before="20" w:line="276" w:lineRule="auto"/>
        <w:ind w:left="288"/>
        <w:jc w:val="left"/>
      </w:pPr>
      <w:r>
        <w:t xml:space="preserve">1. </w:t>
      </w:r>
      <w:r>
        <w:rPr>
          <w:b/>
        </w:rPr>
        <w:t>Dự án Website:</w:t>
      </w:r>
      <w:r>
        <w:t xml:space="preserve"> Giao diện website hoàn chỉnh chạy trên tên miền: </w:t>
      </w:r>
      <w:r>
        <w:rPr>
          <w:rFonts w:ascii="Consolas" w:hAnsi="Consolas"/>
          <w:color w:val="B42828"/>
          <w:sz w:val="20"/>
        </w:rPr>
        <w:t>localfashion.vn</w:t>
      </w:r>
      <w:r>
        <w:t>;</w:t>
      </w:r>
    </w:p>
    <w:p>
      <w:pPr>
        <w:spacing w:after="60" w:before="20" w:line="276" w:lineRule="auto"/>
        <w:ind w:left="288"/>
        <w:jc w:val="left"/>
      </w:pPr>
      <w:r>
        <w:t xml:space="preserve">2. </w:t>
      </w:r>
      <w:r>
        <w:rPr>
          <w:b/>
        </w:rPr>
        <w:t>Google Maps &amp; Local SEO:</w:t>
      </w:r>
      <w:r>
        <w:t xml:space="preserve"> Hồ sơ Google Business Profile đã tối ưu: </w:t>
      </w:r>
      <w:r>
        <w:rPr>
          <w:rFonts w:ascii="Consolas" w:hAnsi="Consolas"/>
          <w:color w:val="B42828"/>
          <w:sz w:val="20"/>
        </w:rPr>
        <w:t>Local Fashion Sài Gòn - Thời Trang Thiết Kế</w:t>
      </w:r>
      <w:r>
        <w:t>;</w:t>
      </w:r>
    </w:p>
    <w:p>
      <w:pPr>
        <w:spacing w:after="60" w:before="20" w:line="276" w:lineRule="auto"/>
        <w:ind w:left="288"/>
        <w:jc w:val="left"/>
      </w:pPr>
      <w:r>
        <w:t xml:space="preserve">3. </w:t>
      </w:r>
      <w:r>
        <w:rPr>
          <w:b/>
        </w:rPr>
        <w:t>Chiến dịch Google Ads (nếu có):</w:t>
      </w:r>
      <w:r>
        <w:t xml:space="preserve"> Cấu hình chiến dịch tìm kiếm đã kích hoạt trên Customer ID: </w:t>
      </w:r>
      <w:r>
        <w:rPr>
          <w:rFonts w:ascii="Consolas" w:hAnsi="Consolas"/>
          <w:color w:val="B42828"/>
          <w:sz w:val="20"/>
        </w:rPr>
        <w:t>[GOOGLE_ADS_CID]</w:t>
      </w:r>
      <w:r>
        <w:t>;</w:t>
      </w:r>
    </w:p>
    <w:p>
      <w:pPr>
        <w:spacing w:after="60" w:before="20" w:line="276" w:lineRule="auto"/>
        <w:ind w:left="288"/>
        <w:jc w:val="left"/>
      </w:pPr>
      <w:r>
        <w:t xml:space="preserve">4. </w:t>
      </w:r>
      <w:r>
        <w:rPr>
          <w:b/>
        </w:rPr>
        <w:t>CRM &amp; Automation (nếu có):</w:t>
      </w:r>
      <w:r>
        <w:t xml:space="preserve"> Luồng đồng bộ dữ liệu khách hàng tự động về Telegram/Email/Zalo.</w:t>
      </w:r>
    </w:p>
    <w:p>
      <w:pPr>
        <w:spacing w:after="120" w:before="80"/>
      </w:pPr>
      <w:r>
        <w:rPr>
          <w:color w:val="CBD5E1"/>
        </w:rPr>
        <w:t>―――――――――――――――――――――――――――――――――――――――――――――――――――――――</w:t>
      </w:r>
    </w:p>
    <w:p>
      <w:pPr>
        <w:spacing w:before="160" w:after="60"/>
      </w:pPr>
      <w:r>
        <w:rPr>
          <w:b/>
          <w:color w:val="0D7647"/>
          <w:sz w:val="23"/>
        </w:rPr>
        <w:t>ĐIỀU 2. BẢNG KIỂM TRA ĐÁNH GIÁ KỸ THUẬT (UAT CHECKLIST)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21"/>
        <w:gridCol w:w="1921"/>
        <w:gridCol w:w="1921"/>
        <w:gridCol w:w="1921"/>
        <w:gridCol w:w="1921"/>
      </w:tblGrid>
      <w:tr>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HẠNG MỤC KIỂM TRA</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TIÊU CHÍ KỸ THUẬT ĐỐI CHIẾU</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KẾT QUẢ ĐÁNH GIÁ THỰC TẾ</w:t>
            </w:r>
          </w:p>
        </w:tc>
        <w:tc>
          <w:tcPr>
            <w:tcW w:type="dxa" w:w="1921"/>
            <w:vAlign w:val="center"/>
            <w:tcMar>
              <w:top w:w="120" w:type="dxa"/>
              <w:bottom w:w="120" w:type="dxa"/>
              <w:left w:w="160" w:type="dxa"/>
              <w:right w:w="160" w:type="dxa"/>
            </w:tcMar>
            <w:shd w:fill="EDF7F1"/>
          </w:tcPr>
          <w:p>
            <w:r/>
          </w:p>
          <w:p>
            <w:pPr>
              <w:spacing w:before="0" w:after="40" w:line="276" w:lineRule="auto"/>
              <w:jc w:val="center"/>
            </w:pPr>
            <w:r>
              <w:rPr>
                <w:b/>
                <w:color w:val="0D7647"/>
              </w:rPr>
              <w:t>KẾT LUẬN</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Giao diện UI &amp; Responsive</w:t>
            </w:r>
          </w:p>
        </w:tc>
        <w:tc>
          <w:tcPr>
            <w:tcW w:type="dxa" w:w="1921"/>
            <w:vAlign w:val="center"/>
            <w:tcMar>
              <w:top w:w="120" w:type="dxa"/>
              <w:bottom w:w="120" w:type="dxa"/>
              <w:left w:w="160" w:type="dxa"/>
              <w:right w:w="160" w:type="dxa"/>
            </w:tcMar>
            <w:shd w:fill="F8FAFC"/>
          </w:tcPr>
          <w:p>
            <w:r/>
          </w:p>
          <w:p>
            <w:pPr>
              <w:spacing w:before="0" w:after="40" w:line="276" w:lineRule="auto"/>
              <w:jc w:val="left"/>
            </w:pPr>
            <w:r>
              <w:t>Hiển thị đúng bố cục thiết kế đã duyệt; giao diện sáng, chữ đậm rõ nét; co giãn responsive mượt mà trên Mobile (iOS/Android), Tablet và Desktop; không vỡ layout, không rớt chữ cụt lọt hàng.</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Đạt chuẩn 100%</w:t>
            </w:r>
          </w:p>
          <w:p>
            <w:pPr>
              <w:spacing w:before="0" w:after="40" w:line="276" w:lineRule="auto"/>
              <w:jc w:val="left"/>
            </w:pPr>
            <w:r>
              <w:t>[ ] Chưa đạt</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Tính năng &amp; Form thu Lead</w:t>
            </w:r>
          </w:p>
        </w:tc>
        <w:tc>
          <w:tcPr>
            <w:tcW w:type="dxa" w:w="1921"/>
            <w:vAlign w:val="center"/>
            <w:tcMar>
              <w:top w:w="120" w:type="dxa"/>
              <w:bottom w:w="120" w:type="dxa"/>
              <w:left w:w="160" w:type="dxa"/>
              <w:right w:w="160" w:type="dxa"/>
            </w:tcMar>
            <w:shd w:fill="FFFFFF"/>
          </w:tcPr>
          <w:p>
            <w:r/>
          </w:p>
          <w:p>
            <w:pPr>
              <w:spacing w:before="0" w:after="40" w:line="276" w:lineRule="auto"/>
              <w:jc w:val="left"/>
            </w:pPr>
            <w:r>
              <w:t>Điền thử form trên website, thông báo thành công hiển thị tức thì; dữ liệu lead đổ về email và nhóm Telegram ngay lập tức; các nút Gọi Hotline và Chat Zalo hoạt động chuẩn xác đúng số.</w:t>
            </w:r>
          </w:p>
        </w:tc>
        <w:tc>
          <w:tcPr>
            <w:tcW w:type="dxa" w:w="1921"/>
            <w:vAlign w:val="center"/>
            <w:tcMar>
              <w:top w:w="120" w:type="dxa"/>
              <w:bottom w:w="120" w:type="dxa"/>
              <w:left w:w="160" w:type="dxa"/>
              <w:right w:w="160" w:type="dxa"/>
            </w:tcMar>
            <w:shd w:fill="FFFFFF"/>
          </w:tcPr>
          <w:p>
            <w:r/>
          </w:p>
          <w:p>
            <w:pPr>
              <w:spacing w:before="0" w:after="40" w:line="276" w:lineRule="auto"/>
              <w:jc w:val="left"/>
            </w:pPr>
            <w:r>
              <w:t>[x] Dữ liệu chuyển tức thì</w:t>
            </w:r>
          </w:p>
          <w:p>
            <w:pPr>
              <w:spacing w:before="0" w:after="40" w:line="276" w:lineRule="auto"/>
              <w:jc w:val="left"/>
            </w:pPr>
            <w:r>
              <w:t>[ ] Chưa đạt</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Tốc độ &amp; An ninh mạng</w:t>
            </w:r>
          </w:p>
        </w:tc>
        <w:tc>
          <w:tcPr>
            <w:tcW w:type="dxa" w:w="1921"/>
            <w:vAlign w:val="center"/>
            <w:tcMar>
              <w:top w:w="120" w:type="dxa"/>
              <w:bottom w:w="120" w:type="dxa"/>
              <w:left w:w="160" w:type="dxa"/>
              <w:right w:w="160" w:type="dxa"/>
            </w:tcMar>
            <w:shd w:fill="F8FAFC"/>
          </w:tcPr>
          <w:p>
            <w:r/>
          </w:p>
          <w:p>
            <w:pPr>
              <w:spacing w:before="0" w:after="40" w:line="276" w:lineRule="auto"/>
              <w:jc w:val="left"/>
            </w:pPr>
            <w:r>
              <w:t>Điểm hiệu năng Mobile đạt từ 80+ trên PageSpeed Insights; chứng chỉ bảo mật HTTPS/TLS hợp lệ (ổ khóa xanh an toàn); không phát hiện mã độc.</w:t>
            </w:r>
          </w:p>
        </w:tc>
        <w:tc>
          <w:tcPr>
            <w:tcW w:type="dxa" w:w="1921"/>
            <w:vAlign w:val="center"/>
            <w:tcMar>
              <w:top w:w="120" w:type="dxa"/>
              <w:bottom w:w="120" w:type="dxa"/>
              <w:left w:w="160" w:type="dxa"/>
              <w:right w:w="160" w:type="dxa"/>
            </w:tcMar>
            <w:shd w:fill="F8FAFC"/>
          </w:tcPr>
          <w:p>
            <w:r/>
          </w:p>
          <w:p>
            <w:pPr>
              <w:spacing w:before="0" w:after="40" w:line="276" w:lineRule="auto"/>
              <w:jc w:val="left"/>
            </w:pPr>
            <w:r>
              <w:t>[x] Tốc độ tải mượt mà</w:t>
            </w:r>
          </w:p>
          <w:p>
            <w:pPr>
              <w:spacing w:before="0" w:after="40" w:line="276" w:lineRule="auto"/>
              <w:jc w:val="left"/>
            </w:pPr>
            <w:r>
              <w:t>[ ] Bảo mật HTTPS an toàn</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Google Business Profile</w:t>
            </w:r>
          </w:p>
        </w:tc>
        <w:tc>
          <w:tcPr>
            <w:tcW w:type="dxa" w:w="1921"/>
            <w:vAlign w:val="center"/>
            <w:tcMar>
              <w:top w:w="120" w:type="dxa"/>
              <w:bottom w:w="120" w:type="dxa"/>
              <w:left w:w="160" w:type="dxa"/>
              <w:right w:w="160" w:type="dxa"/>
            </w:tcMar>
            <w:shd w:fill="FFFFFF"/>
          </w:tcPr>
          <w:p>
            <w:r/>
          </w:p>
          <w:p>
            <w:pPr>
              <w:spacing w:before="0" w:after="40" w:line="276" w:lineRule="auto"/>
              <w:jc w:val="left"/>
            </w:pPr>
            <w:r>
              <w:t>Đã xác minh quyền sở hữu; thông tin tên, địa chỉ, giờ mở cửa, số hotline chuẩn 100%; bộ ảnh nhận diện và bài giới thiệu đã đăng tải hoàn tất; mã QR đánh giá hoạt động tốt.</w:t>
            </w:r>
          </w:p>
        </w:tc>
        <w:tc>
          <w:tcPr>
            <w:tcW w:type="dxa" w:w="1921"/>
            <w:vAlign w:val="center"/>
            <w:tcMar>
              <w:top w:w="120" w:type="dxa"/>
              <w:bottom w:w="120" w:type="dxa"/>
              <w:left w:w="160" w:type="dxa"/>
              <w:right w:w="160" w:type="dxa"/>
            </w:tcMar>
            <w:shd w:fill="FFFFFF"/>
          </w:tcPr>
          <w:p>
            <w:r/>
          </w:p>
          <w:p>
            <w:pPr>
              <w:spacing w:before="0" w:after="40" w:line="276" w:lineRule="auto"/>
              <w:jc w:val="left"/>
            </w:pPr>
            <w:r>
              <w:t>[x] Hồ sơ chuẩn SEO Local</w:t>
            </w:r>
          </w:p>
          <w:p>
            <w:pPr>
              <w:spacing w:before="0" w:after="40" w:line="276" w:lineRule="auto"/>
              <w:jc w:val="left"/>
            </w:pPr>
            <w:r>
              <w:t>[ ] Chưa đạt</w:t>
            </w:r>
          </w:p>
        </w:tc>
        <w:tc>
          <w:tcPr>
            <w:tcW w:type="dxa" w:w="1921"/>
            <w:vAlign w:val="center"/>
            <w:tcMar>
              <w:top w:w="120" w:type="dxa"/>
              <w:bottom w:w="120" w:type="dxa"/>
              <w:left w:w="160" w:type="dxa"/>
              <w:right w:w="160" w:type="dxa"/>
            </w:tcMar>
            <w:shd w:fill="FFFFFF"/>
          </w:tcPr>
          <w:p>
            <w:r/>
          </w:p>
          <w:p>
            <w:pPr>
              <w:spacing w:before="0" w:after="40" w:line="276" w:lineRule="auto"/>
              <w:jc w:val="left"/>
            </w:pPr>
            <w:r>
              <w:rPr>
                <w:b/>
              </w:rPr>
              <w:t>ĐẠT (PASS)</w:t>
            </w:r>
          </w:p>
        </w:tc>
      </w:tr>
      <w:tr>
        <w:tc>
          <w:tcPr>
            <w:tcW w:type="dxa" w:w="1921"/>
            <w:vAlign w:val="center"/>
            <w:tcMar>
              <w:top w:w="120" w:type="dxa"/>
              <w:bottom w:w="120" w:type="dxa"/>
              <w:left w:w="160" w:type="dxa"/>
              <w:right w:w="160" w:type="dxa"/>
            </w:tcMar>
            <w:shd w:fill="F8FAFC"/>
          </w:tcPr>
          <w:p>
            <w:r/>
          </w:p>
          <w:p>
            <w:pPr>
              <w:spacing w:before="0" w:after="40" w:line="276" w:lineRule="auto"/>
              <w:jc w:val="left"/>
            </w:pPr>
            <w:r>
              <w:rPr>
                <w:b/>
              </w:rPr>
              <w:t>05</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Cài đặt Tracking &amp; Đo lường</w:t>
            </w:r>
          </w:p>
        </w:tc>
        <w:tc>
          <w:tcPr>
            <w:tcW w:type="dxa" w:w="1921"/>
            <w:vAlign w:val="center"/>
            <w:tcMar>
              <w:top w:w="120" w:type="dxa"/>
              <w:bottom w:w="120" w:type="dxa"/>
              <w:left w:w="160" w:type="dxa"/>
              <w:right w:w="160" w:type="dxa"/>
            </w:tcMar>
            <w:shd w:fill="F8FAFC"/>
          </w:tcPr>
          <w:p>
            <w:r/>
          </w:p>
          <w:p>
            <w:pPr>
              <w:spacing w:before="0" w:after="40" w:line="276" w:lineRule="auto"/>
              <w:jc w:val="left"/>
            </w:pPr>
            <w:r>
              <w:t>Gắn mã Google Tag Manager (GTM), Google Analytics (GA4) và theo dõi chuyển đổi cuộc gọi/form hoạt động bình thường.</w:t>
            </w:r>
          </w:p>
        </w:tc>
        <w:tc>
          <w:tcPr>
            <w:tcW w:type="dxa" w:w="1921"/>
            <w:vAlign w:val="center"/>
            <w:tcMar>
              <w:top w:w="120" w:type="dxa"/>
              <w:bottom w:w="120" w:type="dxa"/>
              <w:left w:w="160" w:type="dxa"/>
              <w:right w:w="160" w:type="dxa"/>
            </w:tcMar>
            <w:shd w:fill="F8FAFC"/>
          </w:tcPr>
          <w:p>
            <w:r/>
          </w:p>
          <w:p>
            <w:pPr>
              <w:spacing w:before="0" w:after="40" w:line="276" w:lineRule="auto"/>
              <w:jc w:val="left"/>
            </w:pPr>
            <w:r>
              <w:t>[x] Đã nhận tín hiệu data</w:t>
            </w:r>
          </w:p>
          <w:p>
            <w:pPr>
              <w:spacing w:before="0" w:after="40" w:line="276" w:lineRule="auto"/>
              <w:jc w:val="left"/>
            </w:pPr>
            <w:r>
              <w:t>[ ] Chưa đạt</w:t>
            </w:r>
          </w:p>
        </w:tc>
        <w:tc>
          <w:tcPr>
            <w:tcW w:type="dxa" w:w="1921"/>
            <w:vAlign w:val="center"/>
            <w:tcMar>
              <w:top w:w="120" w:type="dxa"/>
              <w:bottom w:w="120" w:type="dxa"/>
              <w:left w:w="160" w:type="dxa"/>
              <w:right w:w="160" w:type="dxa"/>
            </w:tcMar>
            <w:shd w:fill="F8FAFC"/>
          </w:tcPr>
          <w:p>
            <w:r/>
          </w:p>
          <w:p>
            <w:pPr>
              <w:spacing w:before="0" w:after="40" w:line="276" w:lineRule="auto"/>
              <w:jc w:val="left"/>
            </w:pPr>
            <w:r>
              <w:rPr>
                <w:b/>
              </w:rPr>
              <w:t>ĐẠT (PASS)</w:t>
            </w:r>
          </w:p>
        </w:tc>
      </w:tr>
    </w:tbl>
    <w:p>
      <w:pPr>
        <w:spacing w:before="0" w:after="80"/>
      </w:pPr>
    </w:p>
    <w:p>
      <w:pPr>
        <w:spacing w:after="120" w:before="80"/>
      </w:pPr>
      <w:r>
        <w:rPr>
          <w:color w:val="CBD5E1"/>
        </w:rPr>
        <w:t>―――――――――――――――――――――――――――――――――――――――――――――――――――――――</w:t>
      </w:r>
    </w:p>
    <w:p>
      <w:pPr>
        <w:spacing w:before="160" w:after="60"/>
      </w:pPr>
      <w:r>
        <w:rPr>
          <w:b/>
          <w:color w:val="0D7647"/>
          <w:sz w:val="23"/>
        </w:rPr>
        <w:t>ĐIỀU 3. KẾT LUẬN NGHIỆM THU</w:t>
      </w:r>
    </w:p>
    <w:p>
      <w:pPr>
        <w:spacing w:after="60" w:before="20" w:line="276" w:lineRule="auto"/>
        <w:ind w:left="288"/>
        <w:jc w:val="left"/>
      </w:pPr>
      <w:r>
        <w:t xml:space="preserve">1. </w:t>
      </w:r>
      <w:r>
        <w:rPr>
          <w:b/>
        </w:rPr>
        <w:t>Đánh giá chung:</w:t>
      </w:r>
      <w:r>
        <w:t xml:space="preserve"> Bên A xác nhận Bên B đã hoàn thành toàn bộ các hạng mục công việc đúng phạm vi, đạt tiêu chuẩn chất lượng kỹ thuật và mỹ thuật theo yêu cầu tại Hợp đồng và SOW đính kèm.</w:t>
      </w:r>
    </w:p>
    <w:p>
      <w:pPr>
        <w:spacing w:after="60" w:before="20" w:line="276" w:lineRule="auto"/>
        <w:ind w:left="288"/>
        <w:jc w:val="left"/>
      </w:pPr>
      <w:r>
        <w:t xml:space="preserve">2. </w:t>
      </w:r>
      <w:r>
        <w:rPr>
          <w:b/>
        </w:rPr>
        <w:t>Nghiệm thu toàn bộ:</w:t>
      </w:r>
      <w:r>
        <w:t xml:space="preserve"> Bên A đồng ý ký nghiệm thu hoàn thành toàn bộ khối lượng công việc của dự án và đồng ý đưa sản phẩm vào vận hành khai thác thương mại chính thức kể từ ngày ký biên bản này.</w:t>
      </w:r>
    </w:p>
    <w:p>
      <w:pPr>
        <w:spacing w:after="60" w:before="20" w:line="276" w:lineRule="auto"/>
        <w:ind w:left="288"/>
        <w:jc w:val="left"/>
      </w:pPr>
      <w:r>
        <w:t xml:space="preserve">3. </w:t>
      </w:r>
      <w:r>
        <w:rPr>
          <w:b/>
        </w:rPr>
        <w:t>Kích hoạt thời hạn bảo hành:</w:t>
      </w:r>
      <w:r>
        <w:t xml:space="preserve"> Kể từ ngày ký Biên bản này, dự án chính thức bước vào giai đoạn </w:t>
      </w:r>
      <w:r>
        <w:rPr>
          <w:b/>
        </w:rPr>
        <w:t>Bảo hành kỹ thuật miễn phí trong vòng 30 (ba mươi) ngày</w:t>
      </w:r>
      <w:r>
        <w:t xml:space="preserve"> theo đúng Thỏa thuận mức độ dịch vụ SLA (Mã hiệu </w:t>
      </w:r>
      <w:r>
        <w:rPr>
          <w:rFonts w:ascii="Consolas" w:hAnsi="Consolas"/>
          <w:color w:val="B42828"/>
          <w:sz w:val="20"/>
        </w:rPr>
        <w:t>LM-OPS-SLA-14</w:t>
      </w:r>
      <w:r>
        <w:t>).</w:t>
      </w:r>
    </w:p>
    <w:p>
      <w:pPr>
        <w:spacing w:after="120" w:before="80"/>
      </w:pPr>
      <w:r>
        <w:rPr>
          <w:color w:val="CBD5E1"/>
        </w:rPr>
        <w:t>―――――――――――――――――――――――――――――――――――――――――――――――――――――――</w:t>
      </w:r>
    </w:p>
    <w:p>
      <w:pPr>
        <w:spacing w:before="160" w:after="60"/>
      </w:pPr>
      <w:r>
        <w:rPr>
          <w:b/>
          <w:color w:val="0D7647"/>
          <w:sz w:val="23"/>
        </w:rPr>
        <w:t>ĐIỀU 4. NGHĨA VỤ THANH TOÁN VÀ QUYẾT TOÁN TÀI CHÍNH</w:t>
      </w:r>
    </w:p>
    <w:p>
      <w:pPr>
        <w:spacing w:after="80" w:before="0" w:line="276" w:lineRule="auto"/>
        <w:jc w:val="left"/>
      </w:pPr>
      <w:r>
        <w:t>Căn cứ kết quả nghiệm thu trên, Bên A có nghĩa vụ hoàn tất thanh toán đợt cuối cùng cho Bên B theo đúng quy định tại Hợp đồng:</w:t>
      </w:r>
    </w:p>
    <w:p>
      <w:pPr>
        <w:spacing w:after="60" w:before="20" w:line="276" w:lineRule="auto"/>
        <w:ind w:left="360"/>
        <w:jc w:val="left"/>
      </w:pPr>
      <w:r>
        <w:rPr>
          <w:b/>
        </w:rPr>
        <w:t>•  Tổng giá trị hợp đồng đã ký:</w:t>
      </w:r>
      <w:r>
        <w:t xml:space="preserve"> 20,000,000 VND</w:t>
      </w:r>
    </w:p>
    <w:p>
      <w:pPr>
        <w:spacing w:after="60" w:before="20" w:line="276" w:lineRule="auto"/>
        <w:ind w:left="360"/>
        <w:jc w:val="left"/>
      </w:pPr>
      <w:r>
        <w:rPr>
          <w:b/>
        </w:rPr>
        <w:t>•  Số tiền Bên A đã tạm ứng / đặt cọc Đợt 1:</w:t>
      </w:r>
      <w:r>
        <w:t xml:space="preserve"> 10,000,000 VND</w:t>
      </w:r>
    </w:p>
    <w:p>
      <w:pPr>
        <w:spacing w:after="60" w:before="20" w:line="276" w:lineRule="auto"/>
        <w:ind w:left="360"/>
        <w:jc w:val="left"/>
      </w:pPr>
      <w:r>
        <w:rPr>
          <w:b/>
        </w:rPr>
        <w:t>•  Chi phí phát sinh theo các Phiếu Change Request (nếu có):</w:t>
      </w:r>
      <w:r>
        <w:t xml:space="preserve"> [TIEN_CR_PHAT_SINH] VND</w:t>
      </w:r>
    </w:p>
    <w:p>
      <w:pPr>
        <w:spacing w:after="60" w:before="20" w:line="276" w:lineRule="auto"/>
        <w:ind w:left="360"/>
        <w:jc w:val="left"/>
      </w:pPr>
      <w:r>
        <w:rPr>
          <w:b/>
        </w:rPr>
        <w:t>•  SỐ TIỀN CÒN LẠI BÊN A CẦN THANH TOÁN QUYẾT TOÁN:</w:t>
      </w:r>
      <w:r>
        <w:t xml:space="preserve"> </w:t>
      </w:r>
      <w:r>
        <w:rPr>
          <w:b/>
        </w:rPr>
        <w:t>10,000,000 VND</w:t>
      </w:r>
      <w:r>
        <w:t xml:space="preserve">  </w:t>
      </w:r>
    </w:p>
    <w:p>
      <w:pPr>
        <w:spacing w:after="80" w:before="0" w:line="276" w:lineRule="auto"/>
        <w:jc w:val="left"/>
      </w:pPr>
      <w:r>
        <w:t xml:space="preserve">  </w:t>
      </w:r>
      <w:r>
        <w:rPr>
          <w:i/>
        </w:rPr>
        <w:t>(Bằng chữ: [SO_TIEN_CON_LAI_BANG_CHU] đồng).</w:t>
      </w:r>
    </w:p>
    <w:p>
      <w:pPr>
        <w:spacing w:after="60" w:before="20" w:line="276" w:lineRule="auto"/>
        <w:ind w:left="360"/>
        <w:jc w:val="left"/>
      </w:pPr>
      <w:r>
        <w:rPr>
          <w:b/>
        </w:rPr>
        <w:t>•  Thời hạn thanh toán đợt cuối:</w:t>
      </w:r>
      <w:r>
        <w:t xml:space="preserve"> Trong vòng </w:t>
      </w:r>
      <w:r>
        <w:rPr>
          <w:b/>
        </w:rPr>
        <w:t>03 (ba) ngày làm việc</w:t>
      </w:r>
      <w:r>
        <w:t xml:space="preserve"> kể từ ngày ký Biên bản nghiệm thu này.</w:t>
      </w:r>
    </w:p>
    <w:p>
      <w:pPr>
        <w:spacing w:after="60" w:before="20" w:line="276" w:lineRule="auto"/>
        <w:ind w:left="360"/>
        <w:jc w:val="left"/>
      </w:pPr>
      <w:r>
        <w:t>•  Bên B có nghĩa vụ xuất hóa đơn hợp pháp cho Bên A tương ứng với giá trị dịch vụ theo quy định của Luật Quản lý thuế sau khi nhận đủ thanh toán.</w:t>
      </w:r>
    </w:p>
    <w:p>
      <w:pPr>
        <w:spacing w:after="120" w:before="80"/>
      </w:pPr>
      <w:r>
        <w:rPr>
          <w:color w:val="CBD5E1"/>
        </w:rPr>
        <w:t>―――――――――――――――――――――――――――――――――――――――――――――――――――――――</w:t>
      </w:r>
    </w:p>
    <w:p>
      <w:pPr>
        <w:spacing w:after="80" w:before="0" w:line="276" w:lineRule="auto"/>
        <w:jc w:val="left"/>
      </w:pPr>
      <w:r>
        <w:t>Biên bản này được lập thành 02 (hai) bản gốc bằng tiếng Việt có giá trị pháp lý như nhau, mỗi Bên giữ 01 (một) bản làm căn cứ thanh toán, thanh lý hợp đồng và kích hoạt chế độ bảo hành.</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A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BÊN B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 và đóng dấu)</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NGUYỄN VĂN AN</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PHẠM NGUYÊN VŨ</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Tổng Giám Đốc</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Giám Đốc</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ký:</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