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HỢP ĐỒNG / PHỤ LỤC DỊCH VỤ QUẢNG CÁO GOOGLE ADS CHUYÊN SÂU</w:t>
      </w:r>
    </w:p>
    <w:p>
      <w:pPr>
        <w:spacing w:after="80" w:before="0" w:line="276" w:lineRule="auto"/>
        <w:jc w:val="left"/>
      </w:pPr>
      <w:r>
        <w:rPr>
          <w:b/>
        </w:rPr>
        <w:t>(GOOGLE ADS MANAGEMENT &amp; PERFORMANCE APPENDIX)</w:t>
      </w:r>
      <w:r>
        <w:t xml:space="preserve">  </w:t>
      </w:r>
    </w:p>
    <w:p>
      <w:pPr>
        <w:spacing w:after="80" w:before="0" w:line="276" w:lineRule="auto"/>
        <w:jc w:val="left"/>
      </w:pPr>
      <w:r>
        <w:rPr>
          <w:b/>
        </w:rPr>
        <w:t>Số hiệu Văn bản:</w:t>
      </w:r>
      <w:r>
        <w:t xml:space="preserve"> [MÃ_ĐƠN]/HĐQC-ADS-LM/[NĂM]  </w:t>
      </w:r>
    </w:p>
    <w:p>
      <w:pPr>
        <w:spacing w:after="80" w:before="0" w:line="276" w:lineRule="auto"/>
        <w:jc w:val="left"/>
      </w:pPr>
      <w:r>
        <w:rPr>
          <w:i/>
        </w:rPr>
        <w:t>(Kèm theo Hợp đồng Dịch vụ Khung số: [MÃ_HỢP_ĐỒNG] ký ngày [NGÀY_KÝ])</w:t>
      </w:r>
    </w:p>
    <w:p>
      <w:pPr>
        <w:spacing w:after="120" w:before="80"/>
      </w:pPr>
      <w:r>
        <w:rPr>
          <w:color w:val="CBD5E1"/>
        </w:rPr>
        <w:t>―――――――――――――――――――――――――――――――――――――――――――――――――――――――</w:t>
      </w:r>
    </w:p>
    <w:p>
      <w:pPr>
        <w:spacing w:before="160" w:after="60"/>
      </w:pPr>
      <w:r>
        <w:rPr>
          <w:b/>
          <w:color w:val="0D7647"/>
          <w:sz w:val="23"/>
        </w:rPr>
        <w:t>CĂN CỨ PHÁP LUẬT BẮT BUỘC ÁP DỤNG</w:t>
      </w:r>
    </w:p>
    <w:p>
      <w:pPr>
        <w:spacing w:after="60" w:before="20" w:line="276" w:lineRule="auto"/>
        <w:ind w:left="360"/>
        <w:jc w:val="left"/>
      </w:pPr>
      <w:r>
        <w:rPr>
          <w:b/>
        </w:rPr>
        <w:t>•  Luật Quảng cáo số 16/2012/QH13</w:t>
      </w:r>
      <w:r>
        <w:t xml:space="preserve"> và </w:t>
      </w:r>
      <w:r>
        <w:rPr>
          <w:b/>
        </w:rPr>
        <w:t>Luật số 75/2025/QH15</w:t>
      </w:r>
      <w:r>
        <w:t xml:space="preserve"> (sửa đổi, bổ sung một số điều của Luật Quảng cáo, có hiệu lực từ </w:t>
      </w:r>
      <w:r>
        <w:rPr>
          <w:b/>
        </w:rPr>
        <w:t>01/01/2026</w:t>
      </w:r>
      <w:r>
        <w:t>).</w:t>
      </w:r>
    </w:p>
    <w:p>
      <w:pPr>
        <w:spacing w:after="60" w:before="20" w:line="276" w:lineRule="auto"/>
        <w:ind w:left="360"/>
        <w:jc w:val="left"/>
      </w:pPr>
      <w:r>
        <w:rPr>
          <w:b/>
        </w:rPr>
        <w:t>•  Nghị định 181/2013/NĐ-CP</w:t>
      </w:r>
      <w:r>
        <w:t xml:space="preserve"> và </w:t>
      </w:r>
      <w:r>
        <w:rPr>
          <w:b/>
        </w:rPr>
        <w:t>Nghị định 70/2021/NĐ-CP</w:t>
      </w:r>
      <w:r>
        <w:t xml:space="preserve"> về quản lý quảng cáo trên không gian mạng và dịch vụ quảng cáo xuyên biên giới tại Việt Nam.</w:t>
      </w:r>
    </w:p>
    <w:p>
      <w:pPr>
        <w:spacing w:after="60" w:before="20" w:line="276" w:lineRule="auto"/>
        <w:ind w:left="360"/>
        <w:jc w:val="left"/>
      </w:pPr>
      <w:r>
        <w:rPr>
          <w:b/>
        </w:rPr>
        <w:t>•  Nghị định 38/2021/NĐ-CP</w:t>
      </w:r>
      <w:r>
        <w:t xml:space="preserve"> (sửa đổi bởi NĐ 128/2022/NĐ-CP) về xử phạt vi phạm hành chính trong hoạt động văn hóa và quảng cáo.</w:t>
      </w:r>
    </w:p>
    <w:p>
      <w:pPr>
        <w:spacing w:after="60" w:before="20" w:line="276" w:lineRule="auto"/>
        <w:ind w:left="360"/>
        <w:jc w:val="left"/>
      </w:pPr>
      <w:r>
        <w:rPr>
          <w:b/>
        </w:rPr>
        <w:t>•  Thông tư 80/2021/TT-BTC</w:t>
      </w:r>
      <w:r>
        <w:t xml:space="preserve"> &amp; </w:t>
      </w:r>
      <w:r>
        <w:rPr>
          <w:b/>
        </w:rPr>
        <w:t>Thông tư 219/2013/TT-BTC</w:t>
      </w:r>
      <w:r>
        <w:t xml:space="preserve"> của Bộ Tài chính về hóa đơn, thuế GTGT và thuế nhà thầu nước ngoài (FCT) của Google tại Việt Nam.</w:t>
      </w:r>
    </w:p>
    <w:p>
      <w:pPr>
        <w:spacing w:after="120" w:before="80"/>
      </w:pPr>
      <w:r>
        <w:rPr>
          <w:color w:val="CBD5E1"/>
        </w:rPr>
        <w:t>―――――――――――――――――――――――――――――――――――――――――――――――――――――――</w:t>
      </w:r>
    </w:p>
    <w:p>
      <w:pPr>
        <w:spacing w:before="160" w:after="60"/>
      </w:pPr>
      <w:r>
        <w:rPr>
          <w:b/>
          <w:color w:val="0D7647"/>
          <w:sz w:val="23"/>
        </w:rPr>
        <w:t>ĐIỀU 1: PHÂN ĐỊNH TƯ CÁCH PHÁP LÝ &amp; NGHĨA VỤ THEO LUẬT QUẢNG CÁO</w:t>
      </w:r>
    </w:p>
    <w:p>
      <w:pPr>
        <w:spacing w:after="80" w:before="0" w:line="276" w:lineRule="auto"/>
        <w:jc w:val="left"/>
      </w:pPr>
      <w:r>
        <w:t>Căn cứ Điều 2, Điều 12, Điều 13 và Điều 27 Luật Quảng cáo, Hai Bên xác định rõ tư cách và phạm vi trách nhiệm pháp lý độc lập như sau:</w:t>
      </w:r>
    </w:p>
    <w:p>
      <w:pPr>
        <w:spacing w:after="80" w:before="0" w:line="276" w:lineRule="auto"/>
        <w:jc w:val="left"/>
      </w:pPr>
      <w:r>
        <w:t xml:space="preserve">1.1. </w:t>
      </w:r>
      <w:r>
        <w:rPr>
          <w:b/>
        </w:rPr>
        <w:t>Bên A là "Người Quảng Cáo" (Advertiser):</w:t>
      </w:r>
    </w:p>
    <w:p>
      <w:pPr>
        <w:spacing w:after="60" w:before="20" w:line="276" w:lineRule="auto"/>
        <w:ind w:left="360"/>
        <w:jc w:val="left"/>
      </w:pPr>
      <w:r>
        <w:t>•  Là chủ sở hữu hoặc đơn vị phân phối hợp pháp sản phẩm, hàng hóa, dịch vụ được quảng bá;</w:t>
      </w:r>
    </w:p>
    <w:p>
      <w:pPr>
        <w:spacing w:after="60" w:before="20" w:line="276" w:lineRule="auto"/>
        <w:ind w:left="360"/>
        <w:jc w:val="left"/>
      </w:pPr>
      <w:r>
        <w:rPr>
          <w:b/>
        </w:rPr>
        <w:t>•  Chịu trách nhiệm toàn bộ trước pháp luật</w:t>
      </w:r>
      <w:r>
        <w:t xml:space="preserve"> về tính hợp pháp của sản phẩm kinh doanh, giấy phép chuyên ngành, độ trung thực của các tuyên bố công dụng (claims), giá niêm yết, chương trình khuyến mại, nội dung trang đích (Landing Page) và quyền sở hữu trí tuệ đối với nhãn hiệu/logo;</w:t>
      </w:r>
    </w:p>
    <w:p>
      <w:pPr>
        <w:spacing w:after="60" w:before="20" w:line="276" w:lineRule="auto"/>
        <w:ind w:left="360"/>
        <w:jc w:val="left"/>
      </w:pPr>
      <w:r>
        <w:t xml:space="preserve">•  Có nghĩa vụ cung cấp đầy đủ hồ sơ pháp lý chứng minh điều kiện quảng cáo cho Bên B trước khi khởi tạo chiến dịch.  </w:t>
      </w:r>
    </w:p>
    <w:p>
      <w:pPr>
        <w:spacing w:after="80" w:before="0" w:line="276" w:lineRule="auto"/>
        <w:jc w:val="left"/>
      </w:pPr>
      <w:r>
        <w:t xml:space="preserve">1.2. </w:t>
      </w:r>
      <w:r>
        <w:rPr>
          <w:b/>
        </w:rPr>
        <w:t>Bên B là "Người Kinh Doanh Dịch Vụ Quảng Cáo" (Advertising Service Provider):</w:t>
      </w:r>
    </w:p>
    <w:p>
      <w:pPr>
        <w:spacing w:after="60" w:before="20" w:line="276" w:lineRule="auto"/>
        <w:ind w:left="360"/>
        <w:jc w:val="left"/>
      </w:pPr>
      <w:r>
        <w:t>•  Thực hiện các công đoạn kỹ thuật: Nghiên cứu từ khóa, thiết lập cấu trúc chiến dịch, cài đặt mã theo dõi chuyển đổi, soạn thảo thông điệp quảng cáo (Ad Copy), đấu thầu từ khóa và tối ưu hiệu suất theo hợp đồng;</w:t>
      </w:r>
    </w:p>
    <w:p>
      <w:pPr>
        <w:spacing w:after="60" w:before="20" w:line="276" w:lineRule="auto"/>
        <w:ind w:left="360"/>
        <w:jc w:val="left"/>
      </w:pPr>
      <w:r>
        <w:rPr>
          <w:b/>
        </w:rPr>
        <w:t>•  Thực hiện nghĩa vụ luật định theo Khoản 2 Điều 13 Luật Quảng cáo:</w:t>
      </w:r>
      <w:r>
        <w:t xml:space="preserve"> Kiểm tra các tài liệu liên quan đến điều kiện quảng cáo của Bên A trước khi xuất bản;</w:t>
      </w:r>
    </w:p>
    <w:p>
      <w:pPr>
        <w:spacing w:after="60" w:before="20" w:line="276" w:lineRule="auto"/>
        <w:ind w:left="360"/>
        <w:jc w:val="left"/>
      </w:pPr>
      <w:r>
        <w:rPr>
          <w:b/>
        </w:rPr>
        <w:t>•  Chịu trách nhiệm độc lập theo Khoản 3 Điều 13 Luật Quảng cáo:</w:t>
      </w:r>
      <w:r>
        <w:t xml:space="preserve"> Đối với sản phẩm quảng cáo (văn bản ad copy, hình ảnh) do nhân sự Bên B trực tiếp sáng tạo, bảo đảm không dùng từ ngữ so sánh tuyệt đối trái luật ("số 1", "tốt nhất" theo Khoản 11 Điều 8 Luật Quảng cáo).</w:t>
      </w:r>
    </w:p>
    <w:p>
      <w:pPr>
        <w:spacing w:after="120" w:before="80"/>
      </w:pPr>
      <w:r>
        <w:rPr>
          <w:color w:val="CBD5E1"/>
        </w:rPr>
        <w:t>―――――――――――――――――――――――――――――――――――――――――――――――――――――――</w:t>
      </w:r>
    </w:p>
    <w:p>
      <w:pPr>
        <w:spacing w:before="160" w:after="60"/>
      </w:pPr>
      <w:r>
        <w:rPr>
          <w:b/>
          <w:color w:val="0D7647"/>
          <w:sz w:val="23"/>
        </w:rPr>
        <w:t>ĐIỀU 2: BÓC TÁCH MINH BẠCH 3 KHOẢN TIỀN TRONG QUẢNG CÁO SỐ</w:t>
      </w:r>
    </w:p>
    <w:p>
      <w:pPr>
        <w:spacing w:after="80" w:before="0" w:line="276" w:lineRule="auto"/>
        <w:jc w:val="left"/>
      </w:pPr>
      <w:r>
        <w:t>Nhằm bảo đảm tuân thủ luật thuế và bảo vệ cả hai bên, Các Bên thỏa thuận bóc tách 3 khoản tiền hoàn toàn độc lập:</w:t>
      </w:r>
    </w:p>
    <w:p>
      <w:pPr>
        <w:spacing w:after="80" w:before="0" w:line="276" w:lineRule="auto"/>
        <w:jc w:val="left"/>
      </w:pPr>
      <w:r>
        <w:rPr>
          <w:rFonts w:ascii="Consolas" w:hAnsi="Consolas"/>
          <w:color w:val="B42828"/>
          <w:sz w:val="20"/>
        </w:rPr>
      </w:r>
      <w:r>
        <w:t>`</w:t>
      </w:r>
    </w:p>
    <w:p>
      <w:pPr>
        <w:spacing w:after="80" w:before="0" w:line="276" w:lineRule="auto"/>
        <w:jc w:val="left"/>
      </w:pPr>
      <w:r>
        <w:t>┌────────────────────────────────────────────────────────────────────────────────────────┐</w:t>
      </w:r>
    </w:p>
    <w:p>
      <w:pPr>
        <w:spacing w:after="80" w:before="0" w:line="276" w:lineRule="auto"/>
        <w:jc w:val="left"/>
      </w:pPr>
      <w:r>
        <w:t>│                        BẢNG PHÂN RÃ 3 KHOẢN TIỀN QUẢNG CÁO SỐ                          │</w:t>
      </w:r>
    </w:p>
    <w:p>
      <w:pPr>
        <w:spacing w:after="80" w:before="0" w:line="276" w:lineRule="auto"/>
        <w:jc w:val="left"/>
      </w:pPr>
      <w:r>
        <w:t>├──────────────────────────┬─────────────────────────────┬───────────────────────────────┤</w:t>
      </w:r>
    </w:p>
    <w:p>
      <w:pPr>
        <w:spacing w:after="80" w:before="0" w:line="276" w:lineRule="auto"/>
        <w:jc w:val="left"/>
      </w:pPr>
      <w:r>
        <w:t>│ KHOẢN 1: PHÍ DỊCH VỤ     │ KHOẢN 2: MEDIA SPEND        │ KHOẢN 3: PHÍ BÊN THỨ BA       │</w:t>
      </w:r>
    </w:p>
    <w:p>
      <w:pPr>
        <w:spacing w:after="80" w:before="0" w:line="276" w:lineRule="auto"/>
        <w:jc w:val="left"/>
      </w:pPr>
      <w:r>
        <w:t>│ (Management Fee - Bên B) │ (Ngân sách trả Google)      │ (Third-Party Software/Tools)  │</w:t>
      </w:r>
    </w:p>
    <w:p>
      <w:pPr>
        <w:spacing w:after="80" w:before="0" w:line="276" w:lineRule="auto"/>
        <w:jc w:val="left"/>
      </w:pPr>
      <w:r>
        <w:t>├──────────────────────────┼─────────────────────────────┼───────────────────────────────┤</w:t>
      </w:r>
    </w:p>
    <w:p>
      <w:pPr>
        <w:spacing w:after="80" w:before="0" w:line="276" w:lineRule="auto"/>
        <w:jc w:val="left"/>
      </w:pPr>
      <w:r>
        <w:t>│ • Là thù lao kỹ thuật,   │ • Là tiền mua lượt hiển thị/│ • Phí phần mềm chặn click ảo  │</w:t>
      </w:r>
    </w:p>
    <w:p>
      <w:pPr>
        <w:spacing w:after="80" w:before="0" w:line="276" w:lineRule="auto"/>
        <w:jc w:val="left"/>
      </w:pPr>
      <w:r>
        <w:t>│   tối ưu của LocalMate.  │   click của tập đoàn Google.│   (ClickCease), tổng đài ảo,  │</w:t>
      </w:r>
    </w:p>
    <w:p>
      <w:pPr>
        <w:spacing w:after="80" w:before="0" w:line="276" w:lineRule="auto"/>
        <w:jc w:val="left"/>
      </w:pPr>
      <w:r>
        <w:t>│ • Doanh thu chịu thuế của│ • Thuộc sở hữu của Bên A.   │   hosting trang đích.         │</w:t>
      </w:r>
    </w:p>
    <w:p>
      <w:pPr>
        <w:spacing w:after="80" w:before="0" w:line="276" w:lineRule="auto"/>
        <w:jc w:val="left"/>
      </w:pPr>
      <w:r>
        <w:t>│   Bên B. Bên B xuất hóa  │ • Bên A trả trực tiếp hoặc  │ • Do Bên A tự thanh toán cho  │</w:t>
      </w:r>
    </w:p>
    <w:p>
      <w:pPr>
        <w:spacing w:after="80" w:before="0" w:line="276" w:lineRule="auto"/>
        <w:jc w:val="left"/>
      </w:pPr>
      <w:r>
        <w:t>│   đơn GTGT cho Bên A.    │   ủy thác chi hộ 1:1.       │   nhà cung cấp phần mềm.      │</w:t>
      </w:r>
    </w:p>
    <w:p>
      <w:pPr>
        <w:spacing w:after="80" w:before="0" w:line="276" w:lineRule="auto"/>
        <w:jc w:val="left"/>
      </w:pPr>
      <w:r>
        <w:t>└──────────────────────────┴─────────────────────────────┴───────────────────────────────┘</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2.1. </w:t>
      </w:r>
      <w:r>
        <w:rPr>
          <w:b/>
        </w:rPr>
        <w:t>Phương Thức Thanh Toán Ngân Sách Google (Media Spend Protocol):</w:t>
      </w:r>
    </w:p>
    <w:p>
      <w:pPr>
        <w:spacing w:after="60" w:before="20" w:line="276" w:lineRule="auto"/>
        <w:ind w:left="360"/>
        <w:jc w:val="left"/>
      </w:pPr>
      <w:r>
        <w:rPr>
          <w:b/>
        </w:rPr>
        <w:t>•  Phương án Ưu tiên (Khuyến nghị 1):</w:t>
      </w:r>
      <w:r>
        <w:t xml:space="preserve"> Bên A tự nhập thẻ tín dụng/ghi nợ quốc tế (Visa/Mastercard) của Bên A vào mục Cài đặt thanh toán (Billing) của tài khoản Google Ads. Google sẽ trực tiếp trừ tiền và xuất hóa đơn điện tử hợp pháp cho Bên A (Google tự động cộng 5% thuế GTGT nhà thầu nước ngoài nộp về Tổng cục Thuế Việt Nam theo Thông tư 80/2021/TT-BTC). Tiền ngân sách không chạy qua tài khoản Bên B.</w:t>
      </w:r>
    </w:p>
    <w:p>
      <w:pPr>
        <w:spacing w:after="60" w:before="20" w:line="276" w:lineRule="auto"/>
        <w:ind w:left="360"/>
        <w:jc w:val="left"/>
      </w:pPr>
      <w:r>
        <w:rPr>
          <w:b/>
        </w:rPr>
        <w:t>•  Phương án Chi Hộ (Chỉ áp dụng khi Bên A không có thẻ quốc tế):</w:t>
      </w:r>
      <w:r>
        <w:t xml:space="preserve"> Bên A chuyển tiền tạm ứng ngân sách vào tài khoản chuyên dụng chi hộ của Bên B. Bên B thực hiện nạp đúng số tiền đó vào tài khoản quảng cáo của Bên A. Khoản tiền này tuân thủ quy chế </w:t>
      </w:r>
      <w:r>
        <w:rPr>
          <w:b/>
        </w:rPr>
        <w:t>Thu hộ - Chi hộ theo Điểm d Khoản 7 Điều 5 Thông tư 219/2013/TT-BTC</w:t>
      </w:r>
      <w:r>
        <w:t xml:space="preserve">: Bên B </w:t>
      </w:r>
      <w:r>
        <w:rPr>
          <w:b/>
        </w:rPr>
        <w:t>KHÔNG xuất hóa đơn GTGT</w:t>
      </w:r>
      <w:r>
        <w:t xml:space="preserve"> trên số tiền chi hộ này mà cung cấp Bảng đối soát kèm hóa đơn biên lai tải từ Google Ads của Bên A.  </w:t>
      </w:r>
    </w:p>
    <w:p>
      <w:pPr>
        <w:spacing w:after="80" w:before="0" w:line="276" w:lineRule="auto"/>
        <w:jc w:val="left"/>
      </w:pPr>
      <w:r>
        <w:t xml:space="preserve">2.2. </w:t>
      </w:r>
      <w:r>
        <w:rPr>
          <w:b/>
        </w:rPr>
        <w:t>Phí Ngân Hàng &amp; Tỷ Giá:</w:t>
      </w:r>
      <w:r>
        <w:t xml:space="preserve"> Mọi khoản phí giao dịch thanh toán quốc tế (từ 2% - 3.5%), chênh lệch tỷ giá ngoại tệ USD/VND và thuế nhà thầu 5% của Google do Bên A trực tiếp chịu trách nhiệm chi trả.</w:t>
      </w:r>
    </w:p>
    <w:p>
      <w:pPr>
        <w:spacing w:after="120" w:before="80"/>
      </w:pPr>
      <w:r>
        <w:rPr>
          <w:color w:val="CBD5E1"/>
        </w:rPr>
        <w:t>―――――――――――――――――――――――――――――――――――――――――――――――――――――――</w:t>
      </w:r>
    </w:p>
    <w:p>
      <w:pPr>
        <w:spacing w:before="160" w:after="60"/>
      </w:pPr>
      <w:r>
        <w:rPr>
          <w:b/>
          <w:color w:val="0D7647"/>
          <w:sz w:val="23"/>
        </w:rPr>
        <w:t>ĐIỀU 3: TUYỆT ĐỐI KHÔNG CAM KẾT KẾT QUẢ KINH DOANH &amp; THIẾT LẬP KPI VẬN HÀNH</w:t>
      </w:r>
    </w:p>
    <w:p>
      <w:pPr>
        <w:spacing w:after="80" w:before="0" w:line="276" w:lineRule="auto"/>
        <w:jc w:val="left"/>
      </w:pPr>
      <w:r>
        <w:t xml:space="preserve">3.1. </w:t>
      </w:r>
      <w:r>
        <w:rPr>
          <w:b/>
        </w:rPr>
        <w:t>Các Cam Kết Bị Cấm Tuyệt Đối:</w:t>
      </w:r>
      <w:r>
        <w:t xml:space="preserve"> Bên B </w:t>
      </w:r>
      <w:r>
        <w:rPr>
          <w:b/>
        </w:rPr>
        <w:t>TUYỆT ĐỐI KHÔNG CAM KẾT VÀ KHÔNG ĐƯA VÀO HỢP ĐỒNG CÁC NỘI DUNG SAU:</w:t>
      </w:r>
    </w:p>
    <w:p>
      <w:pPr>
        <w:spacing w:after="60" w:before="20" w:line="276" w:lineRule="auto"/>
        <w:ind w:left="360"/>
        <w:jc w:val="left"/>
      </w:pPr>
      <w:r>
        <w:t>•  Cam kết số lượng khách hàng mua hàng, số lượng cuộc gọi chốt sale hoặc doanh thu bán hàng;</w:t>
      </w:r>
    </w:p>
    <w:p>
      <w:pPr>
        <w:spacing w:after="60" w:before="20" w:line="276" w:lineRule="auto"/>
        <w:ind w:left="360"/>
        <w:jc w:val="left"/>
      </w:pPr>
      <w:r>
        <w:t>•  Cam kết tỷ suất lợi nhuận trên chi phí quảng cáo (ROAS) hoặc tỷ suất hoàn vốn (ROI);</w:t>
      </w:r>
    </w:p>
    <w:p>
      <w:pPr>
        <w:spacing w:after="60" w:before="20" w:line="276" w:lineRule="auto"/>
        <w:ind w:left="360"/>
        <w:jc w:val="left"/>
      </w:pPr>
      <w:r>
        <w:t>•  Cam kết chi phí mỗi lượt nhấp (CPC) hoặc chi phí mỗi khách hàng (CPA) cố định;</w:t>
      </w:r>
    </w:p>
    <w:p>
      <w:pPr>
        <w:spacing w:after="60" w:before="20" w:line="276" w:lineRule="auto"/>
        <w:ind w:left="360"/>
        <w:jc w:val="left"/>
      </w:pPr>
      <w:r>
        <w:t>•  Cam kết quảng cáo chắc chắn 100% luôn luôn được duyệt hoặc hiển thị ở vị trí Top 1 tìm kiếm mọi lúc;</w:t>
      </w:r>
    </w:p>
    <w:p>
      <w:pPr>
        <w:spacing w:after="60" w:before="20" w:line="276" w:lineRule="auto"/>
        <w:ind w:left="360"/>
        <w:jc w:val="left"/>
      </w:pPr>
      <w:r>
        <w:t xml:space="preserve">•  Cam kết tài khoản quảng cáo "bao sống", không bao giờ bị Google quét tạm ngưng.  </w:t>
      </w:r>
    </w:p>
    <w:p>
      <w:pPr>
        <w:spacing w:after="80" w:before="0" w:line="276" w:lineRule="auto"/>
        <w:jc w:val="left"/>
      </w:pPr>
      <w:r>
        <w:t xml:space="preserve">3.2. </w:t>
      </w:r>
      <w:r>
        <w:rPr>
          <w:b/>
        </w:rPr>
        <w:t>Hệ Thống KPI Vận Hành Kỹ Thuật Chuẩn (Operational SLAs):</w:t>
      </w:r>
    </w:p>
    <w:p>
      <w:pPr>
        <w:spacing w:after="80" w:before="0" w:line="276" w:lineRule="auto"/>
        <w:jc w:val="left"/>
      </w:pPr>
      <w:r>
        <w:t>Thay thế cho cam kết doanh số, Bên B cam kết chất lượng dịch vụ thông qua bộ chỉ số kỹ thuật có thể kiểm chứng độc lập trên Google Ads Dashboard: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Giai đoạn triển khai</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Hạng mục KPI Kỹ thuật &amp; Tần suất Vận hành Cam kết</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Giai đoạn Thiết lập (Setup)</w:t>
            </w:r>
          </w:p>
        </w:tc>
        <w:tc>
          <w:tcPr>
            <w:tcW w:type="dxa" w:w="4802"/>
            <w:vAlign w:val="center"/>
            <w:tcMar>
              <w:top w:w="120" w:type="dxa"/>
              <w:bottom w:w="120" w:type="dxa"/>
              <w:left w:w="160" w:type="dxa"/>
              <w:right w:w="160" w:type="dxa"/>
            </w:tcMar>
            <w:shd w:fill="F8FAFC"/>
          </w:tcPr>
          <w:p>
            <w:r/>
          </w:p>
          <w:p>
            <w:pPr>
              <w:spacing w:before="0" w:after="40" w:line="276" w:lineRule="auto"/>
              <w:jc w:val="left"/>
            </w:pPr>
            <w:r>
              <w:t>- Nghiên cứu danh sách từ 50 đến 150 từ khóa tìm kiếm phân tầng theo ý định mua hàng.</w:t>
            </w:r>
          </w:p>
          <w:p>
            <w:pPr>
              <w:spacing w:before="0" w:after="40" w:line="276" w:lineRule="auto"/>
              <w:jc w:val="left"/>
            </w:pPr>
            <w:r>
              <w:t>- Thiết lập danh sách từ khóa phủ định (Negative Keywords) chặn click rác ban đầu.</w:t>
            </w:r>
          </w:p>
          <w:p>
            <w:pPr>
              <w:spacing w:before="0" w:after="40" w:line="276" w:lineRule="auto"/>
              <w:jc w:val="left"/>
            </w:pPr>
            <w:r>
              <w:t>- Soạn thảo tối thiểu 02 - 03 mẫu quảng cáo Responsive Search Ads chuẩn.</w:t>
            </w:r>
          </w:p>
          <w:p>
            <w:pPr>
              <w:spacing w:before="0" w:after="40" w:line="276" w:lineRule="auto"/>
              <w:jc w:val="left"/>
            </w:pPr>
            <w:r>
              <w:t>- Cài đặt đầy đủ các tiện ích tài sản (Assets): Đoạn thông tin, liên kết trang web, nút gọi.</w:t>
            </w:r>
          </w:p>
          <w:p>
            <w:pPr>
              <w:spacing w:before="0" w:after="40" w:line="276" w:lineRule="auto"/>
              <w:jc w:val="left"/>
            </w:pPr>
            <w:r>
              <w:t>- Gắn mã đo lường chuyển đổi GA4 và Google Tag Manager chuẩn xác.</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Giai đoạn Tối ưu (Management)</w:t>
            </w:r>
          </w:p>
        </w:tc>
        <w:tc>
          <w:tcPr>
            <w:tcW w:type="dxa" w:w="4802"/>
            <w:vAlign w:val="center"/>
            <w:tcMar>
              <w:top w:w="120" w:type="dxa"/>
              <w:bottom w:w="120" w:type="dxa"/>
              <w:left w:w="160" w:type="dxa"/>
              <w:right w:w="160" w:type="dxa"/>
            </w:tcMar>
            <w:shd w:fill="FFFFFF"/>
          </w:tcPr>
          <w:p>
            <w:r/>
          </w:p>
          <w:p>
            <w:pPr>
              <w:spacing w:before="0" w:after="40" w:line="276" w:lineRule="auto"/>
              <w:jc w:val="left"/>
            </w:pPr>
            <w:r>
              <w:t>- Rà soát Báo cáo Cụm từ Tìm kiếm (Search Terms Report) định kỳ 01 - 02 lần/tuần để phủ định từ khóa rác.</w:t>
            </w:r>
          </w:p>
          <w:p>
            <w:pPr>
              <w:spacing w:before="0" w:after="40" w:line="276" w:lineRule="auto"/>
              <w:jc w:val="left"/>
            </w:pPr>
            <w:r>
              <w:t>- Tối ưu hóa điểm chất lượng (Quality Score) và phân bổ ngân sách theo khung giờ vàng.</w:t>
            </w:r>
          </w:p>
          <w:p>
            <w:pPr>
              <w:spacing w:before="0" w:after="40" w:line="276" w:lineRule="auto"/>
              <w:jc w:val="left"/>
            </w:pPr>
            <w:r>
              <w:t>- Cung cấp Báo cáo Dashboard tự động thời gian thực (Google Looker Studio).</w:t>
            </w:r>
          </w:p>
          <w:p>
            <w:pPr>
              <w:spacing w:before="0" w:after="40" w:line="276" w:lineRule="auto"/>
              <w:jc w:val="left"/>
            </w:pPr>
            <w:r>
              <w:t>- Họp đánh giá hiệu suất và đề xuất chiến lược tối ưu định kỳ hàng tháng.</w:t>
            </w:r>
          </w:p>
        </w:tc>
      </w:tr>
    </w:tbl>
    <w:p>
      <w:pPr>
        <w:spacing w:before="0" w:after="80"/>
      </w:pPr>
    </w:p>
    <w:p>
      <w:pPr>
        <w:spacing w:after="120" w:before="80"/>
      </w:pPr>
      <w:r>
        <w:rPr>
          <w:color w:val="CBD5E1"/>
        </w:rPr>
        <w:t>―――――――――――――――――――――――――――――――――――――――――――――――――――――――</w:t>
      </w:r>
    </w:p>
    <w:p>
      <w:pPr>
        <w:spacing w:before="160" w:after="60"/>
      </w:pPr>
      <w:r>
        <w:rPr>
          <w:b/>
          <w:color w:val="0D7647"/>
          <w:sz w:val="23"/>
        </w:rPr>
        <w:t>ĐIỀU 4: RỦI RO NỀN TẢNG GOOGLE ADS &amp; MIỄN TRỪ TRÁCH NHIỆM</w:t>
      </w:r>
    </w:p>
    <w:p>
      <w:pPr>
        <w:spacing w:after="80" w:before="0" w:line="276" w:lineRule="auto"/>
        <w:jc w:val="left"/>
      </w:pPr>
      <w:r>
        <w:t xml:space="preserve">4.1. </w:t>
      </w:r>
      <w:r>
        <w:rPr>
          <w:b/>
        </w:rPr>
        <w:t>Lưu Lượng Không Hợp Lệ (Invalid Clicks / Click Ảo):</w:t>
      </w:r>
      <w:r>
        <w:t xml:space="preserve"> Hai Bên thừa nhận rằng các chiến dịch tìm kiếm có thể bị đối thủ hoặc bot click ảo. Google có thuật toán tự động lọc và hoàn tiền tín dụng (Invalid Click Credits) vào tài khoản. Bên B áp dụng các kỹ thuật chặn IP nghi vấn, chặn từ khóa rác nhưng </w:t>
      </w:r>
      <w:r>
        <w:rPr>
          <w:b/>
        </w:rPr>
        <w:t>không chịu trách nhiệm tài chính đối với các lượt nhấp ảo nằm ngoài khả năng xử lý của thuật toán Google</w:t>
      </w:r>
      <w:r>
        <w:t xml:space="preserve">.  </w:t>
      </w:r>
    </w:p>
    <w:p>
      <w:pPr>
        <w:spacing w:after="80" w:before="0" w:line="276" w:lineRule="auto"/>
        <w:jc w:val="left"/>
      </w:pPr>
      <w:r>
        <w:t xml:space="preserve">4.2. </w:t>
      </w:r>
      <w:r>
        <w:rPr>
          <w:b/>
        </w:rPr>
        <w:t>Tài Khoản Bị Khóa Hoặc Bị Tạm Ngưng (Account Suspension):</w:t>
      </w:r>
    </w:p>
    <w:p>
      <w:pPr>
        <w:spacing w:after="60" w:before="20" w:line="276" w:lineRule="auto"/>
        <w:ind w:left="360"/>
        <w:jc w:val="left"/>
      </w:pPr>
      <w:r>
        <w:t xml:space="preserve">•  Google có quyền quét tự động đình chỉ tài khoản do các lỗi: </w:t>
      </w:r>
      <w:r>
        <w:rPr>
          <w:i/>
        </w:rPr>
        <w:t>Thanh toán đáng ngờ (Suspicious Payment)</w:t>
      </w:r>
      <w:r>
        <w:t xml:space="preserve">, </w:t>
      </w:r>
      <w:r>
        <w:rPr>
          <w:i/>
        </w:rPr>
        <w:t>Tránh né hệ thống (Circumventing Systems)</w:t>
      </w:r>
      <w:r>
        <w:t xml:space="preserve">, </w:t>
      </w:r>
      <w:r>
        <w:rPr>
          <w:i/>
        </w:rPr>
        <w:t>Hành vi kinh doanh không được chấp nhận</w:t>
      </w:r>
      <w:r>
        <w:t>.</w:t>
      </w:r>
    </w:p>
    <w:p>
      <w:pPr>
        <w:spacing w:after="60" w:before="20" w:line="276" w:lineRule="auto"/>
        <w:ind w:left="360"/>
        <w:jc w:val="left"/>
      </w:pPr>
      <w:r>
        <w:t xml:space="preserve">•  Bên B được </w:t>
      </w:r>
      <w:r>
        <w:rPr>
          <w:b/>
        </w:rPr>
        <w:t>miễn trừ toàn bộ trách nhiệm bồi thường</w:t>
      </w:r>
      <w:r>
        <w:t xml:space="preserve"> trong trường hợp tài khoản bị tạm ngưng nếu lỗi xuất phát từ: (i) Thẻ ngân hàng hoặc lịch sử nợ xấu của Bên A; (ii) Sản phẩm kinh doanh của Bên A bị cơ quan chức năng hoặc Google cảnh báo; (iii) Bên A tự ý sửa đổi nội dung trang đích sau khi duyệt; hoặc (iv) Thuật toán quét AI quét nhầm.</w:t>
      </w:r>
    </w:p>
    <w:p>
      <w:pPr>
        <w:spacing w:after="60" w:before="20" w:line="276" w:lineRule="auto"/>
        <w:ind w:left="360"/>
        <w:jc w:val="left"/>
      </w:pPr>
      <w:r>
        <w:t xml:space="preserve">•  Trách nhiệm duy nhất của Bên B là hỗ trợ soạn đơn khiếu nại (Appeal) theo đúng quy trình của Google tối đa 02 lần. Phí dịch vụ kỹ thuật đã thực hiện không được hoàn lại.  </w:t>
      </w:r>
    </w:p>
    <w:p>
      <w:pPr>
        <w:spacing w:after="80" w:before="0" w:line="276" w:lineRule="auto"/>
        <w:jc w:val="left"/>
      </w:pPr>
      <w:r>
        <w:t xml:space="preserve">4.3. </w:t>
      </w:r>
      <w:r>
        <w:rPr>
          <w:b/>
        </w:rPr>
        <w:t>Chính Sách Hoàn Tiền Ngân Sách Chưa Sử Dụng (Refund Policy):</w:t>
      </w:r>
    </w:p>
    <w:p>
      <w:pPr>
        <w:spacing w:after="80" w:before="0" w:line="276" w:lineRule="auto"/>
        <w:jc w:val="left"/>
      </w:pPr>
      <w:r>
        <w:t>Trường hợp chiến dịch dừng trước hạn, tiền ngân sách còn dư trên Google Ads thuộc quy trình xử lý của Google (thời gian hoàn tiền từ 30 đến 90 ngày làm việc sau khi hủy tài khoản). Bên B chỉ có trách nhiệm hỗ trợ thao tác hủy và không có nghĩa vụ ứng tiền túi của mình để thanh toán thay cho Google.</w:t>
      </w:r>
    </w:p>
    <w:p>
      <w:pPr>
        <w:spacing w:after="120" w:before="80"/>
      </w:pPr>
      <w:r>
        <w:rPr>
          <w:color w:val="CBD5E1"/>
        </w:rPr>
        <w:t>―――――――――――――――――――――――――――――――――――――――――――――――――――――――</w:t>
      </w:r>
    </w:p>
    <w:p>
      <w:pPr>
        <w:spacing w:before="160" w:after="60"/>
      </w:pPr>
      <w:r>
        <w:rPr>
          <w:b/>
          <w:color w:val="0D7647"/>
          <w:sz w:val="23"/>
        </w:rPr>
        <w:t>ĐIỀU 5: PHỤ LỤC CAM KẾT BẮT BUỘC VỀ SẢN PHẨM &amp; BỒI HOÀN (INDEMNITY)</w:t>
      </w:r>
    </w:p>
    <w:p>
      <w:pPr>
        <w:spacing w:after="80" w:before="0" w:line="276" w:lineRule="auto"/>
        <w:jc w:val="left"/>
      </w:pPr>
      <w:r>
        <w:t xml:space="preserve">5.1. </w:t>
      </w:r>
      <w:r>
        <w:rPr>
          <w:b/>
        </w:rPr>
        <w:t>Tính Bắt Buộc Của Customer Legal Declaration:</w:t>
      </w:r>
      <w:r>
        <w:t xml:space="preserve"> Trước khi khởi tạo bất kỳ chiến dịch Google Ads nào, Bên A bắt buộc phải ký kết </w:t>
      </w:r>
      <w:r>
        <w:rPr>
          <w:b/>
        </w:rPr>
        <w:t>"Phụ Lục Xác Nhận Tính Hợp Pháp Của Sản Phẩm/Dịch Vụ Quảng Cáo" (Mẫu 22)</w:t>
      </w:r>
      <w:r>
        <w:t xml:space="preserve"> và bàn giao các giấy phép chuyên ngành (Giấy phép khám chữa bệnh, Giấy tiếp nhận công bố TPCN/mỹ phẩm, Giấy xác nhận nội dung quảng cáo).  </w:t>
      </w:r>
    </w:p>
    <w:p>
      <w:pPr>
        <w:spacing w:after="80" w:before="0" w:line="276" w:lineRule="auto"/>
        <w:jc w:val="left"/>
      </w:pPr>
      <w:r>
        <w:t xml:space="preserve">5.2. </w:t>
      </w:r>
      <w:r>
        <w:rPr>
          <w:b/>
        </w:rPr>
        <w:t>Nghĩa Vụ Bồi Hoàn Vô Điều Kiện:</w:t>
      </w:r>
      <w:r>
        <w:t xml:space="preserve"> Nếu Bên A gian dối về giấy phép, bán hàng giả, hàng kém chất lượng hoặc đưa ra các tuyên bố chữa bệnh sai sự thật dẫn đến việc Bên B bị cơ quan chức năng xử phạt vi phạm hành chính, Bên A có nghĩa vụ:</w:t>
      </w:r>
    </w:p>
    <w:p>
      <w:pPr>
        <w:spacing w:after="80" w:before="0" w:line="276" w:lineRule="auto"/>
        <w:jc w:val="left"/>
      </w:pPr>
      <w:r>
        <w:t xml:space="preserve">a) Nhận toàn bộ trách nhiệm trước cơ quan thanh tra nhà nước;  </w:t>
      </w:r>
    </w:p>
    <w:p>
      <w:pPr>
        <w:spacing w:after="80" w:before="0" w:line="276" w:lineRule="auto"/>
        <w:jc w:val="left"/>
      </w:pPr>
      <w:r>
        <w:t xml:space="preserve">b) Bồi hoàn ngay lập tức 100% số tiền phạt vi phạm hành chính và chi phí pháp lý cho Bên B trong vòng </w:t>
      </w:r>
      <w:r>
        <w:rPr>
          <w:b/>
        </w:rPr>
        <w:t>05 (năm) ngày làm việc</w:t>
      </w:r>
      <w:r>
        <w:t xml:space="preserve"> kể từ ngày nhận được thông báo.</w:t>
      </w:r>
    </w:p>
    <w:p>
      <w:pPr>
        <w:spacing w:after="120" w:before="80"/>
      </w:pPr>
      <w:r>
        <w:rPr>
          <w:color w:val="CBD5E1"/>
        </w:rPr>
        <w:t>―――――――――――――――――――――――――――――――――――――――――――――――――――――――</w:t>
      </w:r>
    </w:p>
    <w:p>
      <w:pPr>
        <w:spacing w:before="160" w:after="60"/>
      </w:pPr>
      <w:r>
        <w:rPr>
          <w:b/>
          <w:color w:val="0D7647"/>
          <w:sz w:val="23"/>
        </w:rPr>
        <w:t>ĐẠI DIỆN CÁC BÊN KÝ TÊN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(Ký tên, đóng dấu hoặc Ký số điện tử)             (Ký tên, đóng dấu hoặc Ký số điện tử)</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