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6" w:lineRule="auto"/>
        <w:jc w:val="left"/>
      </w:pPr>
      <w:r>
        <w:t>﻿# THỎA THUẬN BẢO MẬT THÔNG TIN SONG PHƯƠNG</w:t>
      </w:r>
    </w:p>
    <w:p>
      <w:pPr>
        <w:spacing w:before="200" w:after="80" w:line="276" w:lineRule="auto"/>
        <w:jc w:val="center"/>
      </w:pPr>
      <w:r>
        <w:rPr>
          <w:b/>
          <w:color w:val="0D7647"/>
          <w:sz w:val="26"/>
        </w:rPr>
        <w:t>(MUTUAL NON-DISCLOSURE AGREEMENT - NDA)</w:t>
      </w:r>
    </w:p>
    <w:p>
      <w:pPr>
        <w:spacing w:after="80" w:before="0" w:line="276" w:lineRule="auto"/>
        <w:jc w:val="left"/>
      </w:pPr>
      <w:r>
        <w:rPr>
          <w:b/>
        </w:rPr>
        <w:t>Mã hiệu văn bản:</w:t>
      </w:r>
      <w:r>
        <w:t xml:space="preserve"> </w:t>
      </w:r>
      <w:r>
        <w:rPr>
          <w:rFonts w:ascii="Consolas" w:hAnsi="Consolas"/>
          <w:color w:val="B42828"/>
          <w:sz w:val="20"/>
        </w:rPr>
        <w:t>LM-SEC-NDA-01</w:t>
      </w:r>
      <w:r>
        <w:t xml:space="preserve">  </w:t>
      </w:r>
    </w:p>
    <w:p>
      <w:pPr>
        <w:spacing w:after="80" w:before="0" w:line="276" w:lineRule="auto"/>
        <w:jc w:val="left"/>
      </w:pPr>
      <w:r>
        <w:rPr>
          <w:b/>
        </w:rPr>
        <w:t>Căn cứ pháp lý:</w:t>
      </w:r>
      <w:r>
        <w:t xml:space="preserve">  </w:t>
      </w:r>
    </w:p>
    <w:p>
      <w:pPr>
        <w:spacing w:after="60" w:before="20" w:line="276" w:lineRule="auto"/>
        <w:ind w:left="360"/>
        <w:jc w:val="left"/>
      </w:pPr>
      <w:r>
        <w:rPr>
          <w:i/>
        </w:rPr>
        <w:t>•  Bộ luật Dân sự số 91/2015/QH13 (Điều 385, Điều 401, Điều 513);</w:t>
      </w:r>
      <w:r>
        <w:t xml:space="preserve">  </w:t>
      </w:r>
    </w:p>
    <w:p>
      <w:pPr>
        <w:spacing w:after="60" w:before="20" w:line="276" w:lineRule="auto"/>
        <w:ind w:left="360"/>
        <w:jc w:val="left"/>
      </w:pPr>
      <w:r>
        <w:rPr>
          <w:i/>
        </w:rPr>
        <w:t>•  Luật Thương mại số 36/2005/QH11 (Điều 74, Điều 301, Điều 302);</w:t>
      </w:r>
      <w:r>
        <w:t xml:space="preserve">  </w:t>
      </w:r>
    </w:p>
    <w:p>
      <w:pPr>
        <w:spacing w:after="60" w:before="20" w:line="276" w:lineRule="auto"/>
        <w:ind w:left="360"/>
        <w:jc w:val="left"/>
      </w:pPr>
      <w:r>
        <w:rPr>
          <w:i/>
        </w:rPr>
        <w:t>•  Luật Sở hữu trí tuệ số 50/2005/QH11, sửa đổi bổ sung năm 2009, 2019, 2022 (Điều 84, Điều 85 về bí mật kinh doanh);</w:t>
      </w:r>
      <w:r>
        <w:t xml:space="preserve">  </w:t>
      </w:r>
    </w:p>
    <w:p>
      <w:pPr>
        <w:spacing w:after="60" w:before="20" w:line="276" w:lineRule="auto"/>
        <w:ind w:left="360"/>
        <w:jc w:val="left"/>
      </w:pPr>
      <w:r>
        <w:rPr>
          <w:i/>
        </w:rPr>
        <w:t>•  Luật Bảo vệ dữ liệu cá nhân số 91/2025/QH15 &amp; Nghị định số 356/2025/NĐ-CP;</w:t>
      </w:r>
      <w:r>
        <w:t xml:space="preserve">  </w:t>
      </w:r>
    </w:p>
    <w:p>
      <w:pPr>
        <w:spacing w:after="60" w:before="20" w:line="276" w:lineRule="auto"/>
        <w:ind w:left="360"/>
        <w:jc w:val="left"/>
      </w:pPr>
      <w:r>
        <w:rPr>
          <w:i/>
        </w:rPr>
        <w:t>•  Luật An ninh mạng số 24/2018/QH14 và Nghị định số 330/2026/NĐ-CP.</w:t>
      </w:r>
    </w:p>
    <w:p>
      <w:pPr>
        <w:spacing w:after="120" w:before="80"/>
      </w:pPr>
      <w:r>
        <w:rPr>
          <w:color w:val="CBD5E1"/>
        </w:rPr>
        <w:t>―――――――――――――――――――――――――――――――――――――――――――――――――――――――</w:t>
      </w:r>
    </w:p>
    <w:p>
      <w:pPr>
        <w:spacing w:after="80" w:before="0" w:line="276" w:lineRule="auto"/>
        <w:jc w:val="left"/>
      </w:pPr>
      <w:r>
        <w:t>Hôm nay, ngày [NGAY] tháng [THANG] năm 202[X], tại [DIA_DIEM], Thỏa thuận bảo mật thông tin song phương này ("Thỏa thuận") được ký kết giữa và bởi:</w:t>
      </w:r>
    </w:p>
    <w:p>
      <w:pPr>
        <w:spacing w:before="160" w:after="60"/>
      </w:pPr>
      <w:r>
        <w:rPr>
          <w:b/>
          <w:color w:val="0D7647"/>
          <w:sz w:val="23"/>
        </w:rPr>
        <w:t>BÊN TIẾP NHẬN / BÊN TIẾT LỘ (BÊN A):</w:t>
      </w:r>
    </w:p>
    <w:p>
      <w:pPr>
        <w:spacing w:after="60" w:before="20" w:line="276" w:lineRule="auto"/>
        <w:ind w:left="360"/>
        <w:jc w:val="left"/>
      </w:pPr>
      <w:r>
        <w:rPr>
          <w:b/>
        </w:rPr>
        <w:t>•  Tên doanh nghiệp / Hộ kinh doanh:</w:t>
      </w:r>
      <w:r>
        <w:t xml:space="preserve"> CÔNG TY TNHH THỜI TRANG ĐỊA PHƯƠNG SÀI GÒN</w:t>
      </w:r>
    </w:p>
    <w:p>
      <w:pPr>
        <w:spacing w:after="60" w:before="20" w:line="276" w:lineRule="auto"/>
        <w:ind w:left="360"/>
        <w:jc w:val="left"/>
      </w:pPr>
      <w:r>
        <w:rPr>
          <w:b/>
        </w:rPr>
        <w:t>•  Mã số thuế / Mã số DN:</w:t>
      </w:r>
      <w:r>
        <w:t xml:space="preserve"> 0317888888</w:t>
      </w:r>
    </w:p>
    <w:p>
      <w:pPr>
        <w:spacing w:after="60" w:before="20" w:line="276" w:lineRule="auto"/>
        <w:ind w:left="360"/>
        <w:jc w:val="left"/>
      </w:pPr>
      <w:r>
        <w:rPr>
          <w:b/>
        </w:rPr>
        <w:t>•  Địa chỉ trụ sở:</w:t>
      </w:r>
      <w:r>
        <w:t xml:space="preserve"> 123 Đường Nguyễn Trãi, Phường Bến Thành, Quận 1, TP. Hồ Chí Minh</w:t>
      </w:r>
    </w:p>
    <w:p>
      <w:pPr>
        <w:spacing w:after="60" w:before="20" w:line="276" w:lineRule="auto"/>
        <w:ind w:left="360"/>
        <w:jc w:val="left"/>
      </w:pPr>
      <w:r>
        <w:rPr>
          <w:b/>
        </w:rPr>
        <w:t>•  Đại diện pháp luật:</w:t>
      </w:r>
      <w:r>
        <w:t xml:space="preserve"> NGUYỄN VĂN AN</w:t>
      </w:r>
    </w:p>
    <w:p>
      <w:pPr>
        <w:spacing w:after="60" w:before="20" w:line="276" w:lineRule="auto"/>
        <w:ind w:left="360"/>
        <w:jc w:val="left"/>
      </w:pPr>
      <w:r>
        <w:rPr>
          <w:b/>
        </w:rPr>
        <w:t>•  Chức vụ:</w:t>
      </w:r>
      <w:r>
        <w:t xml:space="preserve"> Tổng Giám Đốc</w:t>
      </w:r>
    </w:p>
    <w:p>
      <w:pPr>
        <w:spacing w:after="60" w:before="20" w:line="276" w:lineRule="auto"/>
        <w:ind w:left="360"/>
        <w:jc w:val="left"/>
      </w:pPr>
      <w:r>
        <w:rPr>
          <w:b/>
        </w:rPr>
        <w:t>•  Số điện thoại:</w:t>
      </w:r>
      <w:r>
        <w:t xml:space="preserve"> 0909123456</w:t>
      </w:r>
    </w:p>
    <w:p>
      <w:pPr>
        <w:spacing w:after="60" w:before="20" w:line="276" w:lineRule="auto"/>
        <w:ind w:left="360"/>
        <w:jc w:val="left"/>
      </w:pPr>
      <w:r>
        <w:rPr>
          <w:b/>
        </w:rPr>
        <w:t>•  Email nhận thông báo chính thức:</w:t>
      </w:r>
      <w:r>
        <w:t xml:space="preserve"> an.nguyen@localfashion.vn</w:t>
      </w:r>
    </w:p>
    <w:p>
      <w:pPr>
        <w:spacing w:after="80" w:before="0" w:line="276" w:lineRule="auto"/>
        <w:jc w:val="left"/>
      </w:pPr>
      <w:r>
        <w:rPr>
          <w:i/>
        </w:rPr>
        <w:t>(Sau đây gọi tắt là "Khách hàng" hoặc "Bên A")</w:t>
      </w:r>
    </w:p>
    <w:p>
      <w:pPr>
        <w:spacing w:before="160" w:after="60"/>
      </w:pPr>
      <w:r>
        <w:rPr>
          <w:b/>
          <w:color w:val="0D7647"/>
          <w:sz w:val="23"/>
        </w:rPr>
        <w:t>BÊN TIẾP NHẬN / BÊN TIẾT LỘ (BÊN B):</w:t>
      </w:r>
    </w:p>
    <w:p>
      <w:pPr>
        <w:spacing w:after="60" w:before="20" w:line="276" w:lineRule="auto"/>
        <w:ind w:left="360"/>
        <w:jc w:val="left"/>
      </w:pPr>
      <w:r>
        <w:rPr>
          <w:b/>
        </w:rPr>
        <w:t>•  Tổ chức / Đơn vị cung ứng:</w:t>
      </w:r>
      <w:r>
        <w:t xml:space="preserve"> CÔNG TY TNHH CÔNG NGHỆ VÀ TRUYỀN THÔNG LOCALMATE</w:t>
      </w:r>
    </w:p>
    <w:p>
      <w:pPr>
        <w:spacing w:after="60" w:before="20" w:line="276" w:lineRule="auto"/>
        <w:ind w:left="360"/>
        <w:jc w:val="left"/>
      </w:pPr>
      <w:r>
        <w:rPr>
          <w:b/>
        </w:rPr>
        <w:t>•  Mã số thuế:</w:t>
      </w:r>
      <w:r>
        <w:t xml:space="preserve"> 0318999999</w:t>
      </w:r>
    </w:p>
    <w:p>
      <w:pPr>
        <w:spacing w:after="60" w:before="20" w:line="276" w:lineRule="auto"/>
        <w:ind w:left="360"/>
        <w:jc w:val="left"/>
      </w:pPr>
      <w:r>
        <w:rPr>
          <w:b/>
        </w:rPr>
        <w:t>•  Địa chỉ trụ sở:</w:t>
      </w:r>
      <w:r>
        <w:t xml:space="preserve"> Tầng 5, Tòa nhà Innovation, Phường Bến Nghé, Quận 1, TP. Hồ Chí Minh</w:t>
      </w:r>
    </w:p>
    <w:p>
      <w:pPr>
        <w:spacing w:after="60" w:before="20" w:line="276" w:lineRule="auto"/>
        <w:ind w:left="360"/>
        <w:jc w:val="left"/>
      </w:pPr>
      <w:r>
        <w:rPr>
          <w:b/>
        </w:rPr>
        <w:t>•  Người đại diện:</w:t>
      </w:r>
      <w:r>
        <w:t xml:space="preserve"> PHẠM NGUYÊN VŨ</w:t>
      </w:r>
    </w:p>
    <w:p>
      <w:pPr>
        <w:spacing w:after="60" w:before="20" w:line="276" w:lineRule="auto"/>
        <w:ind w:left="360"/>
        <w:jc w:val="left"/>
      </w:pPr>
      <w:r>
        <w:rPr>
          <w:b/>
        </w:rPr>
        <w:t>•  Chức vụ:</w:t>
      </w:r>
      <w:r>
        <w:t xml:space="preserve"> Giám Đốc</w:t>
      </w:r>
    </w:p>
    <w:p>
      <w:pPr>
        <w:spacing w:after="60" w:before="20" w:line="276" w:lineRule="auto"/>
        <w:ind w:left="360"/>
        <w:jc w:val="left"/>
      </w:pPr>
      <w:r>
        <w:rPr>
          <w:b/>
        </w:rPr>
        <w:t>•  Số điện thoại:</w:t>
      </w:r>
      <w:r>
        <w:t xml:space="preserve"> 0834422439 (Hotline: 0834.422.439)</w:t>
      </w:r>
    </w:p>
    <w:p>
      <w:pPr>
        <w:spacing w:after="60" w:before="20" w:line="276" w:lineRule="auto"/>
        <w:ind w:left="360"/>
        <w:jc w:val="left"/>
      </w:pPr>
      <w:r>
        <w:rPr>
          <w:b/>
        </w:rPr>
        <w:t>•  Email chính thức:</w:t>
      </w:r>
      <w:r>
        <w:t xml:space="preserve"> contact@localmate.vn (Hỗ trợ: contact@localmate.vn)</w:t>
      </w:r>
    </w:p>
    <w:p>
      <w:pPr>
        <w:spacing w:after="60" w:before="20" w:line="276" w:lineRule="auto"/>
        <w:ind w:left="360"/>
        <w:jc w:val="left"/>
      </w:pPr>
      <w:r>
        <w:rPr>
          <w:b/>
        </w:rPr>
        <w:t>•  Tài khoản ngân hàng:</w:t>
      </w:r>
      <w:r>
        <w:t xml:space="preserve"> 10184422439 tại Ngân hàng Ngân hàng TMCP Ngoại Thương Việt Nam (Vietcombank)</w:t>
      </w:r>
    </w:p>
    <w:p>
      <w:pPr>
        <w:spacing w:after="80" w:before="0" w:line="276" w:lineRule="auto"/>
        <w:jc w:val="left"/>
      </w:pPr>
      <w:r>
        <w:rPr>
          <w:i/>
        </w:rPr>
        <w:t>(Sau đây gọi tắt là "LocalMate" hoặc "Bên B")</w:t>
      </w:r>
    </w:p>
    <w:p>
      <w:pPr>
        <w:spacing w:after="80" w:before="0" w:line="276" w:lineRule="auto"/>
        <w:jc w:val="left"/>
      </w:pPr>
      <w:r>
        <w:t>Bên A và Bên B sau đây được gọi riêng là "Bên" và gọi chung là "Hai Bên".</w:t>
      </w:r>
    </w:p>
    <w:p>
      <w:pPr>
        <w:spacing w:after="120" w:before="80"/>
      </w:pPr>
      <w:r>
        <w:rPr>
          <w:color w:val="CBD5E1"/>
        </w:rPr>
        <w:t>―――――――――――――――――――――――――――――――――――――――――――――――――――――――</w:t>
      </w:r>
    </w:p>
    <w:p>
      <w:pPr>
        <w:spacing w:before="160" w:after="60"/>
      </w:pPr>
      <w:r>
        <w:rPr>
          <w:b/>
          <w:color w:val="0D7647"/>
          <w:sz w:val="23"/>
        </w:rPr>
        <w:t>XÉT RẰNG:</w:t>
      </w:r>
    </w:p>
    <w:p>
      <w:pPr>
        <w:spacing w:after="60" w:before="20" w:line="276" w:lineRule="auto"/>
        <w:ind w:left="288"/>
        <w:jc w:val="left"/>
      </w:pPr>
      <w:r>
        <w:t>1. Hai Bên đang xem xét, đàm phán hoặc thực hiện quan hệ hợp tác cung ứng dịch vụ kỹ thuật số (bao gồm nhưng không giới hạn: Thiết kế website, Quản trị Google Business Profile &amp; Local SEO, Quảng cáo trực tuyến Google/Meta, Sản xuất nội dung số và Tích hợp CRM/Automation) theo Hợp đồng Dịch vụ Khung (MSA) hoặc Đơn đặt hàng tương ứng.</w:t>
      </w:r>
    </w:p>
    <w:p>
      <w:pPr>
        <w:spacing w:after="60" w:before="20" w:line="276" w:lineRule="auto"/>
        <w:ind w:left="288"/>
        <w:jc w:val="left"/>
      </w:pPr>
      <w:r>
        <w:t>2. Trong quá trình trao đổi và thực hiện dịch vụ, mỗi Bên có thể cần tiết lộ cho Bên kia các thông tin có giá trị thương mại, kỹ thuật, bí mật kinh doanh, mã nguồn, danh sách khách hàng và dữ liệu cá nhân ("Thông tin bảo mật").</w:t>
      </w:r>
    </w:p>
    <w:p>
      <w:pPr>
        <w:spacing w:after="60" w:before="20" w:line="276" w:lineRule="auto"/>
        <w:ind w:left="288"/>
        <w:jc w:val="left"/>
      </w:pPr>
      <w:r>
        <w:t>3. Hai Bên mong muốn xác lập các quyền, nghĩa vụ và trách nhiệm pháp lý ràng buộc nhằm bảo vệ an toàn tuyệt đối cho Thông tin bảo mật theo quy định pháp luật Việt Nam.</w:t>
      </w:r>
    </w:p>
    <w:p>
      <w:pPr>
        <w:spacing w:after="80" w:before="0" w:line="276" w:lineRule="auto"/>
        <w:jc w:val="left"/>
      </w:pPr>
      <w:r>
        <w:rPr>
          <w:b/>
        </w:rPr>
        <w:t>DO ĐÓ, HAI BÊN THỐNG NHẤT THỎA THUẬN CÁC ĐIỀU KHOẢN SAU:</w:t>
      </w:r>
    </w:p>
    <w:p>
      <w:pPr>
        <w:spacing w:after="120" w:before="80"/>
      </w:pPr>
      <w:r>
        <w:rPr>
          <w:color w:val="CBD5E1"/>
        </w:rPr>
        <w:t>―――――――――――――――――――――――――――――――――――――――――――――――――――――――</w:t>
      </w:r>
    </w:p>
    <w:p>
      <w:pPr>
        <w:spacing w:before="160" w:after="60"/>
      </w:pPr>
      <w:r>
        <w:rPr>
          <w:b/>
          <w:color w:val="0D7647"/>
          <w:sz w:val="23"/>
        </w:rPr>
        <w:t>ĐIỀU 1. ĐỊNH NGHĨA "THÔNG TIN BẢO MẬT" (CONFIDENTIAL INFORMATION)</w:t>
      </w:r>
    </w:p>
    <w:p>
      <w:pPr>
        <w:spacing w:after="80" w:before="0" w:line="276" w:lineRule="auto"/>
        <w:jc w:val="left"/>
      </w:pPr>
      <w:r>
        <w:t xml:space="preserve">1.1. </w:t>
      </w:r>
      <w:r>
        <w:rPr>
          <w:b/>
        </w:rPr>
        <w:t>"Thông tin bảo mật"</w:t>
      </w:r>
      <w:r>
        <w:t xml:space="preserve"> theo Thỏa thuận này bao gồm tất cả các thông tin, dữ liệu phi công khai dưới bất kỳ hình thức nào (bằng văn bản, lời nói, dữ liệu điện tử, mã nguồn, hình ảnh, tài liệu vật lý hoặc dữ liệu lưu trên đám mây) do một Bên ("Bên Tiết Lộ") bàn giao, truyền đạt hoặc cho phép Bên kia ("Bên Tiếp Nhận") tiếp cận, bao gồm:</w:t>
      </w:r>
    </w:p>
    <w:p>
      <w:pPr>
        <w:spacing w:after="60" w:before="20" w:line="276" w:lineRule="auto"/>
        <w:ind w:left="360"/>
        <w:jc w:val="left"/>
      </w:pPr>
      <w:r>
        <w:rPr>
          <w:b/>
        </w:rPr>
        <w:t>•  Thông tin kỹ thuật &amp; Công nghệ:</w:t>
      </w:r>
      <w:r>
        <w:t xml:space="preserve"> Kiến trúc mã nguồn (source code), cơ sở dữ liệu (schema, migration scripts), thuật toán, API keys, webhook URLs, tokens xác thực, cấu hình mạng máy chủ, sơ đồ logic tự động hóa (CRM automation flows), tài liệu đặc tả kỹ thuật, mã truy cập hệ thống.</w:t>
      </w:r>
    </w:p>
    <w:p>
      <w:pPr>
        <w:spacing w:after="60" w:before="20" w:line="276" w:lineRule="auto"/>
        <w:ind w:left="360"/>
        <w:jc w:val="left"/>
      </w:pPr>
      <w:r>
        <w:rPr>
          <w:b/>
        </w:rPr>
        <w:t>•  Bí mật kinh doanh &amp; Thương mại:</w:t>
      </w:r>
      <w:r>
        <w:t xml:space="preserve"> Chiến lược giá, bảng báo giá nội bộ, danh sách nhà cung ứng, danh mục khách hàng (leads, contacts), số liệu doanh thu, tỷ lệ chuyển đổi (CR, ROAS, CPA), kế hoạch tiếp thị, kịch bản bán hàng (sales scripts) và báo cáo phân tích thị trường.</w:t>
      </w:r>
    </w:p>
    <w:p>
      <w:pPr>
        <w:spacing w:after="60" w:before="20" w:line="276" w:lineRule="auto"/>
        <w:ind w:left="360"/>
        <w:jc w:val="left"/>
      </w:pPr>
      <w:r>
        <w:rPr>
          <w:b/>
        </w:rPr>
        <w:t>•  Dữ liệu cá nhân:</w:t>
      </w:r>
      <w:r>
        <w:t xml:space="preserve"> Mọi thông tin gắn liền hoặc giúp định danh cá nhân cụ thể theo quy định của Luật Bảo vệ dữ liệu cá nhân 2025 (họ tên, số điện thoại, email cá nhân, CCCD/hộ chiếu, địa chỉ cư trú, dữ liệu định vị).</w:t>
      </w:r>
    </w:p>
    <w:p>
      <w:pPr>
        <w:spacing w:after="60" w:before="20" w:line="276" w:lineRule="auto"/>
        <w:ind w:left="360"/>
        <w:jc w:val="left"/>
      </w:pPr>
      <w:r>
        <w:rPr>
          <w:b/>
        </w:rPr>
        <w:t>•  Nội dung đàm phán:</w:t>
      </w:r>
      <w:r>
        <w:t xml:space="preserve"> Bất kỳ trao đổi, ghi chú cuộc họp, bản nháp hợp đồng hoặc điều khoản thương mại riêng biệt nào giữa Hai Bên.</w:t>
      </w:r>
    </w:p>
    <w:p>
      <w:pPr>
        <w:spacing w:after="80" w:before="0" w:line="276" w:lineRule="auto"/>
        <w:jc w:val="left"/>
      </w:pPr>
      <w:r>
        <w:t xml:space="preserve">1.2. </w:t>
      </w:r>
      <w:r>
        <w:rPr>
          <w:b/>
        </w:rPr>
        <w:t>Dấu hiệu nhận biết:</w:t>
      </w:r>
      <w:r>
        <w:t xml:space="preserve"> Mọi thông tin được chuyển giao được coi là Thông tin bảo mật nếu:</w:t>
      </w:r>
    </w:p>
    <w:p>
      <w:pPr>
        <w:spacing w:after="60" w:before="20" w:line="276" w:lineRule="auto"/>
        <w:ind w:left="360"/>
        <w:jc w:val="left"/>
      </w:pPr>
      <w:r>
        <w:t>•  Được đóng dấu hoặc ghi chú "BẢO MẬT", "TỐI MẬT", "CONFIDENTIAL" hoặc từ ngữ tương đương; HOẶC</w:t>
      </w:r>
    </w:p>
    <w:p>
      <w:pPr>
        <w:spacing w:after="60" w:before="20" w:line="276" w:lineRule="auto"/>
        <w:ind w:left="360"/>
        <w:jc w:val="left"/>
      </w:pPr>
      <w:r>
        <w:t>•  Được truyền đạt bằng lời nói nhưng được tóm tắt và xác nhận tính bảo mật bằng văn bản/email trong vòng 05 (năm) ngày làm việc kể từ ngày trao đổi; HOẶC</w:t>
      </w:r>
    </w:p>
    <w:p>
      <w:pPr>
        <w:spacing w:after="60" w:before="20" w:line="276" w:lineRule="auto"/>
        <w:ind w:left="360"/>
        <w:jc w:val="left"/>
      </w:pPr>
      <w:r>
        <w:t>•  Bản chất của thông tin hoặc bối cảnh tiết lộ khiến một người bình thường có nhận thức hợp lý phải hiểu rằng thông tin đó mang tính chất bí mật thương mại hoặc riêng tư.</w:t>
      </w:r>
    </w:p>
    <w:p>
      <w:pPr>
        <w:spacing w:after="80" w:before="0" w:line="276" w:lineRule="auto"/>
        <w:jc w:val="left"/>
      </w:pPr>
      <w:r>
        <w:t xml:space="preserve">1.3. </w:t>
      </w:r>
      <w:r>
        <w:rPr>
          <w:b/>
        </w:rPr>
        <w:t>Ngoại lệ không thuộc Thông tin bảo mật:</w:t>
      </w:r>
      <w:r>
        <w:t xml:space="preserve"> Thông tin bảo mật không bao gồm các thông tin mà Bên Tiếp Nhận có thể chứng minh bằng tài liệu bằng chứng hợp pháp rằng:</w:t>
      </w:r>
    </w:p>
    <w:p>
      <w:pPr>
        <w:spacing w:after="60" w:before="20" w:line="276" w:lineRule="auto"/>
        <w:ind w:left="360"/>
        <w:jc w:val="left"/>
      </w:pPr>
      <w:r>
        <w:t>•  (a) Đã được công chúng biết đến rộng rãi tại thời điểm tiết lộ hoặc trở nên công khai sau đó mà không do hành vi vi phạm Thỏa thuận này của Bên Tiếp Nhận;</w:t>
      </w:r>
    </w:p>
    <w:p>
      <w:pPr>
        <w:spacing w:after="60" w:before="20" w:line="276" w:lineRule="auto"/>
        <w:ind w:left="360"/>
        <w:jc w:val="left"/>
      </w:pPr>
      <w:r>
        <w:t>•  (b) Đã được Bên Tiếp Nhận sở hữu hợp pháp trước ngày tiếp nhận từ Bên Tiết Lộ mà không chịu bất kỳ nghĩa vụ bảo mật nào;</w:t>
      </w:r>
    </w:p>
    <w:p>
      <w:pPr>
        <w:spacing w:after="60" w:before="20" w:line="276" w:lineRule="auto"/>
        <w:ind w:left="360"/>
        <w:jc w:val="left"/>
      </w:pPr>
      <w:r>
        <w:t>•  (c) Do Bên Tiếp Nhận tự nghiên cứu, phát triển độc lập hoàn toàn mà không sử dụng hoặc tham chiếu đến Thông tin bảo mật của Bên Tiết Lộ;</w:t>
      </w:r>
    </w:p>
    <w:p>
      <w:pPr>
        <w:spacing w:after="60" w:before="20" w:line="276" w:lineRule="auto"/>
        <w:ind w:left="360"/>
        <w:jc w:val="left"/>
      </w:pPr>
      <w:r>
        <w:t>•  (d) Được tiếp nhận hợp pháp từ một bên thứ ba có toàn quyền tiết lộ thông tin đó mà không vi phạm nghĩa vụ bảo mật với Bên Tiết Lộ.</w:t>
      </w:r>
    </w:p>
    <w:p>
      <w:pPr>
        <w:spacing w:after="120" w:before="80"/>
      </w:pPr>
      <w:r>
        <w:rPr>
          <w:color w:val="CBD5E1"/>
        </w:rPr>
        <w:t>―――――――――――――――――――――――――――――――――――――――――――――――――――――――</w:t>
      </w:r>
    </w:p>
    <w:p>
      <w:pPr>
        <w:spacing w:before="160" w:after="60"/>
      </w:pPr>
      <w:r>
        <w:rPr>
          <w:b/>
          <w:color w:val="0D7647"/>
          <w:sz w:val="23"/>
        </w:rPr>
        <w:t>ĐIỀU 2. NGHĨA VỤ CỦA BÊN TIẾP NHẬN</w:t>
      </w:r>
    </w:p>
    <w:p>
      <w:pPr>
        <w:spacing w:after="80" w:before="0" w:line="276" w:lineRule="auto"/>
        <w:jc w:val="left"/>
      </w:pPr>
      <w:r>
        <w:t xml:space="preserve">2.1. </w:t>
      </w:r>
      <w:r>
        <w:rPr>
          <w:b/>
        </w:rPr>
        <w:t>Mục đích sử dụng:</w:t>
      </w:r>
      <w:r>
        <w:t xml:space="preserve"> Bên Tiếp Nhận chỉ được phép sử dụng Thông tin bảo mật duy nhất cho mục đích đánh giá cơ hội hợp tác hoặc thực hiện đúng phạm vi công việc trong Hợp đồng dịch vụ đã ký kết ("Mục Đích Cho Phép"). Tuyệt đối không được sử dụng cho bất kỳ mục đích cá nhân, thương mại riêng hoặc làm lợi cho bất kỳ bên thứ ba nào khác ngoài thỏa thuận.</w:t>
      </w:r>
    </w:p>
    <w:p>
      <w:pPr>
        <w:spacing w:after="80" w:before="0" w:line="276" w:lineRule="auto"/>
        <w:jc w:val="left"/>
      </w:pPr>
      <w:r>
        <w:t xml:space="preserve">2.2. </w:t>
      </w:r>
      <w:r>
        <w:rPr>
          <w:b/>
        </w:rPr>
        <w:t>Mức độ cẩn trọng &amp; Biện pháp bảo vệ:</w:t>
      </w:r>
      <w:r>
        <w:t xml:space="preserve"> Bên Tiếp Nhận cam kết bảo vệ Thông tin bảo mật với mức độ cẩn trọng hợp lý tối thiểu tương đương với mức độ bảo vệ bí mật kinh doanh của chính mình, nhưng trong mọi trường hợp không thấp hơn mức độ cẩn trọng hợp lý theo tiêu chuẩn an toàn thông tin chuyên nghiệp (bao gồm bật xác thực 2 bước MFA, mã hóa đường truyền dữ liệu HTTPS/TLS, lưu trữ mật khẩu qua trình quản lý Bitwarden/1Password, không lưu API secret thô trên public repo).</w:t>
      </w:r>
    </w:p>
    <w:p>
      <w:pPr>
        <w:spacing w:after="80" w:before="0" w:line="276" w:lineRule="auto"/>
        <w:jc w:val="left"/>
      </w:pPr>
      <w:r>
        <w:t xml:space="preserve">2.3. </w:t>
      </w:r>
      <w:r>
        <w:rPr>
          <w:b/>
        </w:rPr>
        <w:t>Giới hạn phạm vi tiếp cận nội bộ:</w:t>
      </w:r>
      <w:r>
        <w:t xml:space="preserve"> Bên Tiếp Nhận chỉ được phép phổ biến Thông tin bảo mật cho các nhân sự, cộng tác viên, luật sư, chuyên gia tài chính hoặc nhà thầu phụ (Sub-processors) trực tiếp tham gia thực hiện dự án theo nguyên tắc "Cần biết" (Need-to-know basis). Bên Tiếp Nhận phải đảm bảo các đối tượng này đã ký thỏa thuận bảo mật có giá trị pháp lý tương đương và Bên Tiếp Nhận chịu trách nhiệm liên đới về bất kỳ hành vi vi phạm nào của các đối tượng này.</w:t>
      </w:r>
    </w:p>
    <w:p>
      <w:pPr>
        <w:spacing w:after="80" w:before="0" w:line="276" w:lineRule="auto"/>
        <w:jc w:val="left"/>
      </w:pPr>
      <w:r>
        <w:t xml:space="preserve">2.4. </w:t>
      </w:r>
      <w:r>
        <w:rPr>
          <w:b/>
        </w:rPr>
        <w:t>Cấm sao chép, dịch ngược và can thiệp:</w:t>
      </w:r>
      <w:r>
        <w:t xml:space="preserve"> </w:t>
      </w:r>
    </w:p>
    <w:p>
      <w:pPr>
        <w:spacing w:after="60" w:before="20" w:line="276" w:lineRule="auto"/>
        <w:ind w:left="360"/>
        <w:jc w:val="left"/>
      </w:pPr>
      <w:r>
        <w:t>•  Bên Tiếp Nhận không được sao chép, trích xuất, phân phối lại bất kỳ phần nào của Thông tin bảo mật trừ khi cần thiết phục vụ Mục Đích Cho Phép.</w:t>
      </w:r>
    </w:p>
    <w:p>
      <w:pPr>
        <w:spacing w:after="60" w:before="20" w:line="276" w:lineRule="auto"/>
        <w:ind w:left="360"/>
        <w:jc w:val="left"/>
      </w:pPr>
      <w:r>
        <w:t>•  Đối với các tài sản nền tảng, framework lõi của LocalMate: Bên A cam kết không thực hiện hoặc hỗ trợ bên thứ ba đảo ngược kỹ thuật (reverse engineer), decompile, disassemble mã nguồn hoặc tách riêng các module độc quyền để kinh doanh thương mại.</w:t>
      </w:r>
    </w:p>
    <w:p>
      <w:pPr>
        <w:spacing w:after="120" w:before="80"/>
      </w:pPr>
      <w:r>
        <w:rPr>
          <w:color w:val="CBD5E1"/>
        </w:rPr>
        <w:t>―――――――――――――――――――――――――――――――――――――――――――――――――――――――</w:t>
      </w:r>
    </w:p>
    <w:p>
      <w:pPr>
        <w:spacing w:before="160" w:after="60"/>
      </w:pPr>
      <w:r>
        <w:rPr>
          <w:b/>
          <w:color w:val="0D7647"/>
          <w:sz w:val="23"/>
        </w:rPr>
        <w:t>ĐIỀU 3. TIẾT LỘ THEO YÊU CẦU CỦA CƠ QUAN NHÀ NƯỚC CÓ THẨM QUYỀN</w:t>
      </w:r>
    </w:p>
    <w:p>
      <w:pPr>
        <w:spacing w:after="80" w:before="0" w:line="276" w:lineRule="auto"/>
        <w:jc w:val="left"/>
      </w:pPr>
      <w:r>
        <w:t>3.1. Bên Tiếp Nhận được quyền tiết lộ Thông tin bảo mật nếu việc tiết lộ đó là bắt buộc theo quy định của pháp luật hoặc lệnh triệu tập, quyết định của Tòa án, Viện kiểm sát, Cơ quan Công an hoặc cơ quan quản lý nhà nước có thẩm quyền của Việt Nam.</w:t>
      </w:r>
    </w:p>
    <w:p>
      <w:pPr>
        <w:spacing w:after="80" w:before="0" w:line="276" w:lineRule="auto"/>
        <w:jc w:val="left"/>
      </w:pPr>
      <w:r>
        <w:t xml:space="preserve">3.2. </w:t>
      </w:r>
      <w:r>
        <w:rPr>
          <w:b/>
        </w:rPr>
        <w:t>Quy trình bắt buộc trước khi tiết lộ:</w:t>
      </w:r>
    </w:p>
    <w:p>
      <w:pPr>
        <w:spacing w:after="60" w:before="20" w:line="276" w:lineRule="auto"/>
        <w:ind w:left="360"/>
        <w:jc w:val="left"/>
      </w:pPr>
      <w:r>
        <w:t>•  Bên Tiếp Nhận phải thông báo ngay lập tức bằng văn bản/email cho Bên Tiết Lộ (trong vòng 24 giờ kể từ khi nhận được yêu cầu hợp pháp và trong chừng mực pháp luật cho phép) để Bên Tiết Lộ có cơ hội kịp thời thực hiện các biện pháp ngăn chặn hoặc xin lệnh bảo vệ;</w:t>
      </w:r>
    </w:p>
    <w:p>
      <w:pPr>
        <w:spacing w:after="60" w:before="20" w:line="276" w:lineRule="auto"/>
        <w:ind w:left="360"/>
        <w:jc w:val="left"/>
      </w:pPr>
      <w:r>
        <w:t>•  Bên Tiếp Nhận phải nỗ lực tối đa để yêu cầu cơ quan nhà nước giữ bí mật cao nhất đối với các tài liệu được cung cấp;</w:t>
      </w:r>
    </w:p>
    <w:p>
      <w:pPr>
        <w:spacing w:after="60" w:before="20" w:line="276" w:lineRule="auto"/>
        <w:ind w:left="360"/>
        <w:jc w:val="left"/>
      </w:pPr>
      <w:r>
        <w:t>•  Chỉ cung cấp đúng phần Thông tin bảo mật bắt buộc phải cung cấp theo văn bản yêu cầu.</w:t>
      </w:r>
    </w:p>
    <w:p>
      <w:pPr>
        <w:spacing w:after="120" w:before="80"/>
      </w:pPr>
      <w:r>
        <w:rPr>
          <w:color w:val="CBD5E1"/>
        </w:rPr>
        <w:t>―――――――――――――――――――――――――――――――――――――――――――――――――――――――</w:t>
      </w:r>
    </w:p>
    <w:p>
      <w:pPr>
        <w:spacing w:before="160" w:after="60"/>
      </w:pPr>
      <w:r>
        <w:rPr>
          <w:b/>
          <w:color w:val="0D7647"/>
          <w:sz w:val="23"/>
        </w:rPr>
        <w:t>ĐIỀU 4. TRẢ LẠI VÀ TIÊU HỦY THÔNG TIN BẢO MẬT</w:t>
      </w:r>
    </w:p>
    <w:p>
      <w:pPr>
        <w:spacing w:after="80" w:before="0" w:line="276" w:lineRule="auto"/>
        <w:jc w:val="left"/>
      </w:pPr>
      <w:r>
        <w:t>4.1. Trong vòng 07 (bảy) ngày làm việc kể từ khi nhận được yêu cầu bằng văn bản của Bên Tiết Lộ hoặc khi quan hệ hợp đồng dịch vụ chấm dứt, Bên Tiếp Nhận phải:</w:t>
      </w:r>
    </w:p>
    <w:p>
      <w:pPr>
        <w:spacing w:after="60" w:before="20" w:line="276" w:lineRule="auto"/>
        <w:ind w:left="360"/>
        <w:jc w:val="left"/>
      </w:pPr>
      <w:r>
        <w:t>•  Ngừng ngay việc sử dụng Thông tin bảo mật;</w:t>
      </w:r>
    </w:p>
    <w:p>
      <w:pPr>
        <w:spacing w:after="60" w:before="20" w:line="276" w:lineRule="auto"/>
        <w:ind w:left="360"/>
        <w:jc w:val="left"/>
      </w:pPr>
      <w:r>
        <w:t>•  Thu hồi, bàn giao lại toàn bộ bản gốc, bản sao, tài liệu, sơ đồ, ổ cứng lưu trữ tài liệu bảo mật cho Bên Tiết Lộ;</w:t>
      </w:r>
    </w:p>
    <w:p>
      <w:pPr>
        <w:spacing w:after="60" w:before="20" w:line="276" w:lineRule="auto"/>
        <w:ind w:left="360"/>
        <w:jc w:val="left"/>
      </w:pPr>
      <w:r>
        <w:t>•  Xóa bỏ vĩnh viễn và không thể phục hồi toàn bộ Thông tin bảo mật dạng kỹ thuật số lưu trên máy tính nội bộ, đám mây lưu trữ, hòm thư điện tử, tin nhắn Zalo/Telegram theo tiêu chuẩn an toàn dữ liệu;</w:t>
      </w:r>
    </w:p>
    <w:p>
      <w:pPr>
        <w:spacing w:after="60" w:before="20" w:line="276" w:lineRule="auto"/>
        <w:ind w:left="360"/>
        <w:jc w:val="left"/>
      </w:pPr>
      <w:r>
        <w:t>•  Lập và ký "Biên bản xác nhận hoàn tất xóa/bàn giao Thông tin bảo mật" gửi cho Bên Tiết Lộ.</w:t>
      </w:r>
    </w:p>
    <w:p>
      <w:pPr>
        <w:spacing w:after="80" w:before="0" w:line="276" w:lineRule="auto"/>
        <w:jc w:val="left"/>
      </w:pPr>
      <w:r>
        <w:t xml:space="preserve">4.2. </w:t>
      </w:r>
      <w:r>
        <w:rPr>
          <w:b/>
        </w:rPr>
        <w:t>Ngoại lệ lưu trữ lưu trữ tối thiểu:</w:t>
      </w:r>
      <w:r>
        <w:t xml:space="preserve"> Bên Tiếp Nhận được quyền giữ lại duy nhất 01 (một) bản sao lưu trữ kỹ thuật số trong hồ sơ pháp lý nội bộ nhằm mục đích chứng minh tuân thủ nghĩa vụ theo luật định, nghĩa vụ thuế, kiểm toán hoặc các bản backup tự động định kỳ theo chính sách khôi phục thảm họa (disaster recovery), với điều kiện các bản sao này tiếp tục được áp dụng cơ chế bảo mật nghiêm ngặt theo Thỏa thuận này cho đến khi bị ghi đè hoàn toàn.</w:t>
      </w:r>
    </w:p>
    <w:p>
      <w:pPr>
        <w:spacing w:after="120" w:before="80"/>
      </w:pPr>
      <w:r>
        <w:rPr>
          <w:color w:val="CBD5E1"/>
        </w:rPr>
        <w:t>―――――――――――――――――――――――――――――――――――――――――――――――――――――――</w:t>
      </w:r>
    </w:p>
    <w:p>
      <w:pPr>
        <w:spacing w:before="160" w:after="60"/>
      </w:pPr>
      <w:r>
        <w:rPr>
          <w:b/>
          <w:color w:val="0D7647"/>
          <w:sz w:val="23"/>
        </w:rPr>
        <w:t>ĐIỀU 5. BẢO VỆ DỮ LIỆU CÁ NHÂN VÀ AN NINH MẠNG</w:t>
      </w:r>
    </w:p>
    <w:p>
      <w:pPr>
        <w:spacing w:after="80" w:before="0" w:line="276" w:lineRule="auto"/>
        <w:jc w:val="left"/>
      </w:pPr>
      <w:r>
        <w:t>5.1. Hai Bên cam kết tuân thủ nghiêm ngặt Luật Bảo vệ dữ liệu cá nhân 2025, Nghị định 356/2025/NĐ-CP và Luật An ninh mạng 2018.</w:t>
      </w:r>
    </w:p>
    <w:p>
      <w:pPr>
        <w:spacing w:after="80" w:before="0" w:line="276" w:lineRule="auto"/>
        <w:jc w:val="left"/>
      </w:pPr>
      <w:r>
        <w:t>5.2. Trong trường hợp Thông tin bảo mật có chứa dữ liệu cá nhân của khách hàng Bên A:</w:t>
      </w:r>
    </w:p>
    <w:p>
      <w:pPr>
        <w:spacing w:after="60" w:before="20" w:line="276" w:lineRule="auto"/>
        <w:ind w:left="360"/>
        <w:jc w:val="left"/>
      </w:pPr>
      <w:r>
        <w:t>•  Bên A bảo đảm đã thu thập sự đồng ý hợp pháp (valid consent) của chủ thể dữ liệu cho phép LocalMate xử lý dữ liệu phục vụ mục đích thiết lập chiến dịch, website hoặc hệ thống CRM;</w:t>
      </w:r>
    </w:p>
    <w:p>
      <w:pPr>
        <w:spacing w:after="60" w:before="20" w:line="276" w:lineRule="auto"/>
        <w:ind w:left="360"/>
        <w:jc w:val="left"/>
      </w:pPr>
      <w:r>
        <w:t xml:space="preserve">•  LocalMate chỉ thực hiện xử lý dữ liệu với tư cách Bên Xử Lý Dữ Liệu (Data Processor) theo chỉ đạo bằng văn bản của Bên A và Thỏa thuận xử lý dữ liệu (DPA - Biểu mẫu </w:t>
      </w:r>
      <w:r>
        <w:rPr>
          <w:rFonts w:ascii="Consolas" w:hAnsi="Consolas"/>
          <w:color w:val="B42828"/>
          <w:sz w:val="20"/>
        </w:rPr>
        <w:t>LM-PDP-DPA-10</w:t>
      </w:r>
      <w:r>
        <w:t>) đính kèm;</w:t>
      </w:r>
    </w:p>
    <w:p>
      <w:pPr>
        <w:spacing w:after="60" w:before="20" w:line="276" w:lineRule="auto"/>
        <w:ind w:left="360"/>
        <w:jc w:val="left"/>
      </w:pPr>
      <w:r>
        <w:t>•  Khi phát hiện bất kỳ sự cố mất an toàn dữ liệu, rò rỉ hoặc tấn công mạng nào ảnh hưởng đến Thông tin bảo mật, Bên phát hiện phải thông báo cho Bên kia trong vòng 24 giờ để phối hợp khoanh vùng và báo cáo cơ quan chức năng (Cục An ninh mạng và phòng, chống tội phạm sử dụng công nghệ cao - A05) theo thời hạn 72 giờ luật định.</w:t>
      </w:r>
    </w:p>
    <w:p>
      <w:pPr>
        <w:spacing w:after="120" w:before="80"/>
      </w:pPr>
      <w:r>
        <w:rPr>
          <w:color w:val="CBD5E1"/>
        </w:rPr>
        <w:t>―――――――――――――――――――――――――――――――――――――――――――――――――――――――</w:t>
      </w:r>
    </w:p>
    <w:p>
      <w:pPr>
        <w:spacing w:before="160" w:after="60"/>
      </w:pPr>
      <w:r>
        <w:rPr>
          <w:b/>
          <w:color w:val="0D7647"/>
          <w:sz w:val="23"/>
        </w:rPr>
        <w:t>ĐIỀU 6. THỜI HẠN VÀ HIỆU LỰC CỦA NGHĨA VỤ BẢO MẬT</w:t>
      </w:r>
    </w:p>
    <w:p>
      <w:pPr>
        <w:spacing w:after="80" w:before="0" w:line="276" w:lineRule="auto"/>
        <w:jc w:val="left"/>
      </w:pPr>
      <w:r>
        <w:t>6.1. Thỏa thuận này có hiệu lực kể từ ngày ký và kéo dài trong suốt thời gian Hai Bên đàm phán hoặc thực hiện Hợp đồng dịch vụ.</w:t>
      </w:r>
    </w:p>
    <w:p>
      <w:pPr>
        <w:spacing w:after="80" w:before="0" w:line="276" w:lineRule="auto"/>
        <w:jc w:val="left"/>
      </w:pPr>
      <w:r>
        <w:t xml:space="preserve">6.2. </w:t>
      </w:r>
      <w:r>
        <w:rPr>
          <w:b/>
        </w:rPr>
        <w:t>Thời hạn tồn tại của nghĩa vụ bảo mật (Survival of Obligations):</w:t>
      </w:r>
    </w:p>
    <w:p>
      <w:pPr>
        <w:spacing w:after="60" w:before="20" w:line="276" w:lineRule="auto"/>
        <w:ind w:left="360"/>
        <w:jc w:val="left"/>
      </w:pPr>
      <w:r>
        <w:t xml:space="preserve">•  Đối với </w:t>
      </w:r>
      <w:r>
        <w:rPr>
          <w:b/>
        </w:rPr>
        <w:t>Thông tin bảo mật kinh doanh thông thường:</w:t>
      </w:r>
      <w:r>
        <w:t xml:space="preserve"> Nghĩa vụ bảo mật tiếp tục có hiệu lực ràng buộc trong thời hạn </w:t>
      </w:r>
      <w:r>
        <w:rPr>
          <w:b/>
        </w:rPr>
        <w:t>03 (ba) năm</w:t>
      </w:r>
      <w:r>
        <w:t xml:space="preserve"> kể từ ngày Thỏa thuận này hoặc Hợp đồng dịch vụ tương ứng chấm dứt;</w:t>
      </w:r>
    </w:p>
    <w:p>
      <w:pPr>
        <w:spacing w:after="60" w:before="20" w:line="276" w:lineRule="auto"/>
        <w:ind w:left="360"/>
        <w:jc w:val="left"/>
      </w:pPr>
      <w:r>
        <w:t xml:space="preserve">•  Đối với </w:t>
      </w:r>
      <w:r>
        <w:rPr>
          <w:b/>
        </w:rPr>
        <w:t>Bí mật kinh doanh (Trade Secrets), Kiến trúc mã nguồn cốt lõi (Core Framework), Thông tin xác thực hệ thống (Credentials/Master Keys):</w:t>
      </w:r>
      <w:r>
        <w:t xml:space="preserve"> Nghĩa vụ bảo mật có hiệu lực </w:t>
      </w:r>
      <w:r>
        <w:rPr>
          <w:b/>
        </w:rPr>
        <w:t>vô thời hạn</w:t>
      </w:r>
      <w:r>
        <w:t xml:space="preserve"> cho đến khi các thông tin này trở thành tài sản công cộng hợp pháp mà không có lỗi của Bên Tiếp Nhận;</w:t>
      </w:r>
    </w:p>
    <w:p>
      <w:pPr>
        <w:spacing w:after="60" w:before="20" w:line="276" w:lineRule="auto"/>
        <w:ind w:left="360"/>
        <w:jc w:val="left"/>
      </w:pPr>
      <w:r>
        <w:t xml:space="preserve">•  Đối với </w:t>
      </w:r>
      <w:r>
        <w:rPr>
          <w:b/>
        </w:rPr>
        <w:t>Dữ liệu cá nhân:</w:t>
      </w:r>
      <w:r>
        <w:t xml:space="preserve"> Tuân thủ theo thời hạn lưu trữ quy định tại Luật Bảo vệ dữ liệu cá nhân 2025 và chính sách lưu trữ của Bên Kiểm soát dữ liệu.</w:t>
      </w:r>
    </w:p>
    <w:p>
      <w:pPr>
        <w:spacing w:after="120" w:before="80"/>
      </w:pPr>
      <w:r>
        <w:rPr>
          <w:color w:val="CBD5E1"/>
        </w:rPr>
        <w:t>―――――――――――――――――――――――――――――――――――――――――――――――――――――――</w:t>
      </w:r>
    </w:p>
    <w:p>
      <w:pPr>
        <w:spacing w:before="160" w:after="60"/>
      </w:pPr>
      <w:r>
        <w:rPr>
          <w:b/>
          <w:color w:val="0D7647"/>
          <w:sz w:val="23"/>
        </w:rPr>
        <w:t>ĐIỀU 7. XỬ LÝ VI PHẠM VÀ BỒI THƯỜNG THIỆT HẠI</w:t>
      </w:r>
    </w:p>
    <w:p>
      <w:pPr>
        <w:spacing w:after="80" w:before="0" w:line="276" w:lineRule="auto"/>
        <w:jc w:val="left"/>
      </w:pPr>
      <w:r>
        <w:t xml:space="preserve">7.1. </w:t>
      </w:r>
      <w:r>
        <w:rPr>
          <w:b/>
        </w:rPr>
        <w:t>Thừa nhận tính chất không thể bù đắp:</w:t>
      </w:r>
      <w:r>
        <w:t xml:space="preserve"> Hai Bên thừa nhận và đồng ý rằng Thông tin bảo mật là tài sản độc quyền có giá trị kinh tế đặc biệt lớn. Mọi hành vi vi phạm nghĩa vụ bảo mật hoặc tiết lộ trái phép có thể gây ra những thiệt hại nghiêm trọng, tức thì và không thể khắc phục được bằng tiền cho Bên Tiết Lộ.</w:t>
      </w:r>
    </w:p>
    <w:p>
      <w:pPr>
        <w:spacing w:after="80" w:before="0" w:line="276" w:lineRule="auto"/>
        <w:jc w:val="left"/>
      </w:pPr>
      <w:r>
        <w:t xml:space="preserve">7.2. </w:t>
      </w:r>
      <w:r>
        <w:rPr>
          <w:b/>
        </w:rPr>
        <w:t>Biện pháp khẩn cấp tạm thời:</w:t>
      </w:r>
      <w:r>
        <w:t xml:space="preserve"> Khi có căn cứ xác thực về hành vi vi phạm hoặc nguy cơ vi phạm sắp xảy ra, Bên Tiết Lộ có quyền ngay lập tức yêu cầu Tòa án hoặc Trọng tài áp dụng các biện pháp khẩn cấp tạm thời (như lệnh cấm tiếp xúc, lệnh cấm phổ biến, niêm phong chứng cứ kỹ thuật số) mà không cần chờ giải quyết toàn bộ vụ án.</w:t>
      </w:r>
    </w:p>
    <w:p>
      <w:pPr>
        <w:spacing w:after="80" w:before="0" w:line="276" w:lineRule="auto"/>
        <w:jc w:val="left"/>
      </w:pPr>
      <w:r>
        <w:t xml:space="preserve">7.3. </w:t>
      </w:r>
      <w:r>
        <w:rPr>
          <w:b/>
        </w:rPr>
        <w:t>Phạt vi phạm và Bồi thường thiệt hại:</w:t>
      </w:r>
    </w:p>
    <w:p>
      <w:pPr>
        <w:spacing w:after="60" w:before="20" w:line="276" w:lineRule="auto"/>
        <w:ind w:left="360"/>
        <w:jc w:val="left"/>
      </w:pPr>
      <w:r>
        <w:t xml:space="preserve">•  Bên vi phạm phải chịu mức phạt vi phạm hợp đồng bằng </w:t>
      </w:r>
      <w:r>
        <w:rPr>
          <w:b/>
        </w:rPr>
        <w:t>08% (tám phần trăm)</w:t>
      </w:r>
      <w:r>
        <w:t xml:space="preserve"> giá trị hợp đồng dịch vụ liên quan theo quy định tại Điều 301 Luật Thương mại 2005;</w:t>
      </w:r>
    </w:p>
    <w:p>
      <w:pPr>
        <w:spacing w:after="60" w:before="20" w:line="276" w:lineRule="auto"/>
        <w:ind w:left="360"/>
        <w:jc w:val="left"/>
      </w:pPr>
      <w:r>
        <w:t>•  Ngoài khoản phạt vi phạm, Bên vi phạm phải bồi thường 100% toàn bộ thiệt hại thực tế, trực tiếp phát sinh cho Bên Tiết Lộ (bao gồm cả các khoản tiền phạt vi phạm hành chính từ cơ quan nhà nước theo Nghị định 330/2026/NĐ-CP hoặc chi phí thuê luật sư, chuyên gia giám định chứng cứ kỹ thuật số hợp lý) theo Điều 302 Luật Thương mại 2005 và Điều 360 Bộ luật Dân sự 2015.</w:t>
      </w:r>
    </w:p>
    <w:p>
      <w:pPr>
        <w:spacing w:after="120" w:before="80"/>
      </w:pPr>
      <w:r>
        <w:rPr>
          <w:color w:val="CBD5E1"/>
        </w:rPr>
        <w:t>―――――――――――――――――――――――――――――――――――――――――――――――――――――――</w:t>
      </w:r>
    </w:p>
    <w:p>
      <w:pPr>
        <w:spacing w:before="160" w:after="60"/>
      </w:pPr>
      <w:r>
        <w:rPr>
          <w:b/>
          <w:color w:val="0D7647"/>
          <w:sz w:val="23"/>
        </w:rPr>
        <w:t>ĐIỀU 8. LUẬT ÁP DỤNG VÀ GIẢI QUYẾT TRANH CHẤP</w:t>
      </w:r>
    </w:p>
    <w:p>
      <w:pPr>
        <w:spacing w:after="80" w:before="0" w:line="276" w:lineRule="auto"/>
        <w:jc w:val="left"/>
      </w:pPr>
      <w:r>
        <w:t>8.1. Thỏa thuận này được giải thích, điều chỉnh và thực thi hoàn toàn theo pháp luật của nước Cộng hòa Xã hội Chủ nghĩa Việt Nam.</w:t>
      </w:r>
    </w:p>
    <w:p>
      <w:pPr>
        <w:spacing w:after="80" w:before="0" w:line="276" w:lineRule="auto"/>
        <w:jc w:val="left"/>
      </w:pPr>
      <w:r>
        <w:t>8.2. Mọi tranh chấp phát sinh từ hoặc liên quan đến Thỏa thuận này trước hết phải được giải quyết thông qua thương lượng, hòa giải trên tinh thần thiện chí trong vòng 30 (ba mươi) ngày. Nếu không thể thương lượng được, tranh chấp sẽ được đưa ra giải quyết tại Tòa án nhân dân có thẩm quyền nơi Bên B (LocalMate) đặt trụ sở chính. Phán quyết của Tòa án là chung thẩm và có hiệu lực ràng buộc đối với Hai Bên.</w:t>
      </w:r>
    </w:p>
    <w:p>
      <w:pPr>
        <w:spacing w:after="120" w:before="80"/>
      </w:pPr>
      <w:r>
        <w:rPr>
          <w:color w:val="CBD5E1"/>
        </w:rPr>
        <w:t>―――――――――――――――――――――――――――――――――――――――――――――――――――――――</w:t>
      </w:r>
    </w:p>
    <w:p>
      <w:pPr>
        <w:spacing w:before="160" w:after="60"/>
      </w:pPr>
      <w:r>
        <w:rPr>
          <w:b/>
          <w:color w:val="0D7647"/>
          <w:sz w:val="23"/>
        </w:rPr>
        <w:t>ĐIỀU 9. ĐIỀU KHOẢN CHUNG</w:t>
      </w:r>
    </w:p>
    <w:p>
      <w:pPr>
        <w:spacing w:after="80" w:before="0" w:line="276" w:lineRule="auto"/>
        <w:jc w:val="left"/>
      </w:pPr>
      <w:r>
        <w:t xml:space="preserve">9.1. </w:t>
      </w:r>
      <w:r>
        <w:rPr>
          <w:b/>
        </w:rPr>
        <w:t>Không cấp quyền sở hữu:</w:t>
      </w:r>
      <w:r>
        <w:t xml:space="preserve"> Việc tiết lộ Thông tin bảo mật theo Thỏa thuận này không cấu thành hành vi chuyển nhượng quyền sở hữu, cấp phép (license) bản quyền hay sáng chế đối với bất kỳ tài sản trí tuệ nào của Bên Tiết Lộ cho Bên Tiếp Nhận, trừ quyền sử dụng hạn chế phục vụ Mục Đích Cho Phép.</w:t>
      </w:r>
    </w:p>
    <w:p>
      <w:pPr>
        <w:spacing w:after="80" w:before="0" w:line="276" w:lineRule="auto"/>
        <w:jc w:val="left"/>
      </w:pPr>
      <w:r>
        <w:t xml:space="preserve">9.2. </w:t>
      </w:r>
      <w:r>
        <w:rPr>
          <w:b/>
        </w:rPr>
        <w:t>Toàn bộ thỏa thuận &amp; Sửa đổi:</w:t>
      </w:r>
      <w:r>
        <w:t xml:space="preserve"> Thỏa thuận này cùng các Phụ lục đính kèm cấu thành toàn bộ thỏa thuận giữa Hai Bên về vấn đề bảo mật thông tin. Mọi sửa đổi, bổ sung chỉ có giá trị pháp lý khi được lập thành văn bản và có chữ ký xác nhận của đại diện có thẩm quyền của Hai Bên (bao gồm chữ ký số hoặc chữ ký điện tử hợp pháp theo Luật Giao dịch điện tử 2023).</w:t>
      </w:r>
    </w:p>
    <w:p>
      <w:pPr>
        <w:spacing w:after="80" w:before="0" w:line="276" w:lineRule="auto"/>
        <w:jc w:val="left"/>
      </w:pPr>
      <w:r>
        <w:t xml:space="preserve">9.3. </w:t>
      </w:r>
      <w:r>
        <w:rPr>
          <w:b/>
        </w:rPr>
        <w:t>Tính độc lập của điều khoản:</w:t>
      </w:r>
      <w:r>
        <w:t xml:space="preserve"> Trường hợp bất kỳ điều khoản nào của Thỏa thuận bị Tòa án tuyên bố vô hiệu hoặc không thể thi hành, tính hợp pháp và hiệu lực của các điều khoản còn lại sẽ không bị ảnh hưởng.</w:t>
      </w:r>
    </w:p>
    <w:p>
      <w:pPr>
        <w:spacing w:after="80" w:before="0" w:line="276" w:lineRule="auto"/>
        <w:jc w:val="left"/>
      </w:pPr>
      <w:r>
        <w:t>Thỏa thuận này được lập thành 02 (hai) bản gốc bằng tiếng Việt có giá trị pháp lý như nhau, mỗi Bên giữ 01 (một) bản để thực hiện. Trường hợp ký bằng phương thức điện tử, văn bản điện tử có gắn chữ ký số/audit trail hợp pháp lưu tại hệ thống của Hai Bên có giá trị pháp lý tương đương bản giấy gốc.</w:t>
      </w:r>
    </w:p>
    <w:p>
      <w:pPr>
        <w:spacing w:after="120" w:before="80"/>
      </w:pPr>
      <w:r>
        <w:rPr>
          <w:color w:val="CBD5E1"/>
        </w:rPr>
        <w:t>―――――――――――――――――――――――――――――――――――――――――――――――――――――――</w:t>
      </w:r>
    </w:p>
    <w:p>
      <w:pPr>
        <w:spacing w:before="160" w:after="60"/>
      </w:pPr>
      <w:r>
        <w:rPr>
          <w:b/>
          <w:color w:val="0D7647"/>
          <w:sz w:val="23"/>
        </w:rPr>
        <w:t>ĐẠI DIỆN HỢP PHÁP CỦA CÁC BÊN: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02"/>
        <w:gridCol w:w="4802"/>
      </w:tblGrid>
      <w:tr>
        <w:tc>
          <w:tcPr>
            <w:tcW w:type="dxa" w:w="4802"/>
            <w:vAlign w:val="center"/>
            <w:tcMar>
              <w:top w:w="120" w:type="dxa"/>
              <w:bottom w:w="120" w:type="dxa"/>
              <w:left w:w="160" w:type="dxa"/>
              <w:right w:w="160" w:type="dxa"/>
            </w:tcMar>
            <w:shd w:fill="EDF7F1"/>
          </w:tcPr>
          <w:p>
            <w:r/>
          </w:p>
          <w:p>
            <w:pPr>
              <w:spacing w:before="0" w:after="40" w:line="276" w:lineRule="auto"/>
              <w:jc w:val="center"/>
            </w:pPr>
            <w:r>
              <w:rPr>
                <w:b/>
                <w:color w:val="0D7647"/>
              </w:rPr>
              <w:t>ĐẠI DIỆN BÊN A (KHÁCH HÀNG)</w:t>
            </w:r>
          </w:p>
        </w:tc>
        <w:tc>
          <w:tcPr>
            <w:tcW w:type="dxa" w:w="4802"/>
            <w:vAlign w:val="center"/>
            <w:tcMar>
              <w:top w:w="120" w:type="dxa"/>
              <w:bottom w:w="120" w:type="dxa"/>
              <w:left w:w="160" w:type="dxa"/>
              <w:right w:w="160" w:type="dxa"/>
            </w:tcMar>
            <w:shd w:fill="EDF7F1"/>
          </w:tcPr>
          <w:p>
            <w:r/>
          </w:p>
          <w:p>
            <w:pPr>
              <w:spacing w:before="0" w:after="40" w:line="276" w:lineRule="auto"/>
              <w:jc w:val="center"/>
            </w:pPr>
            <w:r>
              <w:rPr>
                <w:b/>
                <w:color w:val="0D7647"/>
              </w:rPr>
              <w:t>ĐẠI DIỆN BÊN B (LOCALMATE)</w:t>
            </w:r>
          </w:p>
        </w:tc>
      </w:tr>
      <w:tr>
        <w:tc>
          <w:tcPr>
            <w:tcW w:type="dxa" w:w="4802"/>
            <w:vAlign w:val="center"/>
            <w:tcMar>
              <w:top w:w="120" w:type="dxa"/>
              <w:bottom w:w="120" w:type="dxa"/>
              <w:left w:w="160" w:type="dxa"/>
              <w:right w:w="160" w:type="dxa"/>
            </w:tcMar>
            <w:shd w:fill="F8FAFC"/>
          </w:tcPr>
          <w:p>
            <w:r/>
          </w:p>
          <w:p>
            <w:pPr>
              <w:spacing w:before="0" w:after="40" w:line="276" w:lineRule="auto"/>
              <w:jc w:val="left"/>
            </w:pPr>
            <w:r>
              <w:rPr>
                <w:i/>
              </w:rPr>
              <w:t>(Ký tên, ghi rõ họ tên và đóng dấu)</w:t>
            </w:r>
          </w:p>
        </w:tc>
        <w:tc>
          <w:tcPr>
            <w:tcW w:type="dxa" w:w="4802"/>
            <w:vAlign w:val="center"/>
            <w:tcMar>
              <w:top w:w="120" w:type="dxa"/>
              <w:bottom w:w="120" w:type="dxa"/>
              <w:left w:w="160" w:type="dxa"/>
              <w:right w:w="160" w:type="dxa"/>
            </w:tcMar>
            <w:shd w:fill="F8FAFC"/>
          </w:tcPr>
          <w:p>
            <w:r/>
          </w:p>
          <w:p>
            <w:pPr>
              <w:spacing w:before="0" w:after="40" w:line="276" w:lineRule="auto"/>
              <w:jc w:val="left"/>
            </w:pPr>
            <w:r>
              <w:rPr>
                <w:i/>
              </w:rPr>
              <w:t>(Ký tên, ghi rõ họ tên và đóng dấu)</w:t>
            </w:r>
          </w:p>
        </w:tc>
      </w:tr>
      <w:tr>
        <w:tc>
          <w:tcPr>
            <w:tcW w:type="dxa" w:w="4802"/>
            <w:vAlign w:val="center"/>
            <w:tcMar>
              <w:top w:w="120" w:type="dxa"/>
              <w:bottom w:w="120" w:type="dxa"/>
              <w:left w:w="160" w:type="dxa"/>
              <w:right w:w="160" w:type="dxa"/>
            </w:tcMar>
            <w:shd w:fill="FFFFFF"/>
          </w:tcPr>
          <w:p>
            <w:r/>
          </w:p>
          <w:p>
            <w:pPr>
              <w:spacing w:before="0" w:after="40" w:line="276" w:lineRule="auto"/>
              <w:jc w:val="left"/>
            </w:pPr>
          </w:p>
          <w:p>
            <w:pPr>
              <w:spacing w:before="0" w:after="40" w:line="276" w:lineRule="auto"/>
              <w:jc w:val="left"/>
            </w:pPr>
          </w:p>
          <w:p>
            <w:pPr>
              <w:spacing w:before="0" w:after="40" w:line="276" w:lineRule="auto"/>
              <w:jc w:val="left"/>
            </w:pPr>
          </w:p>
          <w:p>
            <w:pPr>
              <w:spacing w:before="0" w:after="40" w:line="276" w:lineRule="auto"/>
              <w:jc w:val="left"/>
            </w:pPr>
          </w:p>
        </w:tc>
        <w:tc>
          <w:tcPr>
            <w:tcW w:type="dxa" w:w="4802"/>
            <w:vAlign w:val="center"/>
            <w:tcMar>
              <w:top w:w="120" w:type="dxa"/>
              <w:bottom w:w="120" w:type="dxa"/>
              <w:left w:w="160" w:type="dxa"/>
              <w:right w:w="160" w:type="dxa"/>
            </w:tcMar>
            <w:shd w:fill="FFFFFF"/>
          </w:tcPr>
          <w:p>
            <w:r/>
          </w:p>
          <w:p>
            <w:pPr>
              <w:spacing w:before="0" w:after="40" w:line="276" w:lineRule="auto"/>
              <w:jc w:val="left"/>
            </w:pPr>
          </w:p>
          <w:p>
            <w:pPr>
              <w:spacing w:before="0" w:after="40" w:line="276" w:lineRule="auto"/>
              <w:jc w:val="left"/>
            </w:pPr>
          </w:p>
          <w:p>
            <w:pPr>
              <w:spacing w:before="0" w:after="40" w:line="276" w:lineRule="auto"/>
              <w:jc w:val="left"/>
            </w:pPr>
          </w:p>
          <w:p>
            <w:pPr>
              <w:spacing w:before="0" w:after="40" w:line="276" w:lineRule="auto"/>
              <w:jc w:val="left"/>
            </w:pPr>
          </w:p>
        </w:tc>
      </w:tr>
      <w:tr>
        <w:tc>
          <w:tcPr>
            <w:tcW w:type="dxa" w:w="4802"/>
            <w:vAlign w:val="center"/>
            <w:tcMar>
              <w:top w:w="120" w:type="dxa"/>
              <w:bottom w:w="120" w:type="dxa"/>
              <w:left w:w="160" w:type="dxa"/>
              <w:right w:w="160" w:type="dxa"/>
            </w:tcMar>
            <w:shd w:fill="F8FAFC"/>
          </w:tcPr>
          <w:p>
            <w:r/>
          </w:p>
          <w:p>
            <w:pPr>
              <w:spacing w:before="0" w:after="40" w:line="276" w:lineRule="auto"/>
              <w:jc w:val="left"/>
            </w:pPr>
            <w:r>
              <w:rPr>
                <w:b/>
              </w:rPr>
              <w:t>Họ và tên:</w:t>
            </w:r>
            <w:r>
              <w:t xml:space="preserve"> NGUYỄN VĂN AN</w:t>
            </w:r>
          </w:p>
        </w:tc>
        <w:tc>
          <w:tcPr>
            <w:tcW w:type="dxa" w:w="4802"/>
            <w:vAlign w:val="center"/>
            <w:tcMar>
              <w:top w:w="120" w:type="dxa"/>
              <w:bottom w:w="120" w:type="dxa"/>
              <w:left w:w="160" w:type="dxa"/>
              <w:right w:w="160" w:type="dxa"/>
            </w:tcMar>
            <w:shd w:fill="F8FAFC"/>
          </w:tcPr>
          <w:p>
            <w:r/>
          </w:p>
          <w:p>
            <w:pPr>
              <w:spacing w:before="0" w:after="40" w:line="276" w:lineRule="auto"/>
              <w:jc w:val="left"/>
            </w:pPr>
            <w:r>
              <w:rPr>
                <w:b/>
              </w:rPr>
              <w:t>Họ và tên:</w:t>
            </w:r>
            <w:r>
              <w:t xml:space="preserve"> PHẠM NGUYÊN VŨ</w:t>
            </w:r>
          </w:p>
        </w:tc>
      </w:tr>
      <w:tr>
        <w:tc>
          <w:tcPr>
            <w:tcW w:type="dxa" w:w="4802"/>
            <w:vAlign w:val="center"/>
            <w:tcMar>
              <w:top w:w="120" w:type="dxa"/>
              <w:bottom w:w="120" w:type="dxa"/>
              <w:left w:w="160" w:type="dxa"/>
              <w:right w:w="160" w:type="dxa"/>
            </w:tcMar>
            <w:shd w:fill="FFFFFF"/>
          </w:tcPr>
          <w:p>
            <w:r/>
          </w:p>
          <w:p>
            <w:pPr>
              <w:spacing w:before="0" w:after="40" w:line="276" w:lineRule="auto"/>
              <w:jc w:val="left"/>
            </w:pPr>
            <w:r>
              <w:rPr>
                <w:b/>
              </w:rPr>
              <w:t>Chức vụ:</w:t>
            </w:r>
            <w:r>
              <w:t xml:space="preserve"> Tổng Giám Đốc</w:t>
            </w:r>
          </w:p>
        </w:tc>
        <w:tc>
          <w:tcPr>
            <w:tcW w:type="dxa" w:w="4802"/>
            <w:vAlign w:val="center"/>
            <w:tcMar>
              <w:top w:w="120" w:type="dxa"/>
              <w:bottom w:w="120" w:type="dxa"/>
              <w:left w:w="160" w:type="dxa"/>
              <w:right w:w="160" w:type="dxa"/>
            </w:tcMar>
            <w:shd w:fill="FFFFFF"/>
          </w:tcPr>
          <w:p>
            <w:r/>
          </w:p>
          <w:p>
            <w:pPr>
              <w:spacing w:before="0" w:after="40" w:line="276" w:lineRule="auto"/>
              <w:jc w:val="left"/>
            </w:pPr>
            <w:r>
              <w:rPr>
                <w:b/>
              </w:rPr>
              <w:t>Chức vụ:</w:t>
            </w:r>
            <w:r>
              <w:t xml:space="preserve"> Giám Đốc</w:t>
            </w:r>
          </w:p>
        </w:tc>
      </w:tr>
      <w:tr>
        <w:tc>
          <w:tcPr>
            <w:tcW w:type="dxa" w:w="4802"/>
            <w:vAlign w:val="center"/>
            <w:tcMar>
              <w:top w:w="120" w:type="dxa"/>
              <w:bottom w:w="120" w:type="dxa"/>
              <w:left w:w="160" w:type="dxa"/>
              <w:right w:w="160" w:type="dxa"/>
            </w:tcMar>
            <w:shd w:fill="F8FAFC"/>
          </w:tcPr>
          <w:p>
            <w:r/>
          </w:p>
          <w:p>
            <w:pPr>
              <w:spacing w:before="0" w:after="40" w:line="276" w:lineRule="auto"/>
              <w:jc w:val="left"/>
            </w:pPr>
            <w:r>
              <w:rPr>
                <w:b/>
              </w:rPr>
              <w:t>Ngày ký:</w:t>
            </w:r>
            <w:r>
              <w:t xml:space="preserve"> ____/____/202[X]</w:t>
            </w:r>
          </w:p>
        </w:tc>
        <w:tc>
          <w:tcPr>
            <w:tcW w:type="dxa" w:w="4802"/>
            <w:vAlign w:val="center"/>
            <w:tcMar>
              <w:top w:w="120" w:type="dxa"/>
              <w:bottom w:w="120" w:type="dxa"/>
              <w:left w:w="160" w:type="dxa"/>
              <w:right w:w="160" w:type="dxa"/>
            </w:tcMar>
            <w:shd w:fill="F8FAFC"/>
          </w:tcPr>
          <w:p>
            <w:r/>
          </w:p>
          <w:p>
            <w:pPr>
              <w:spacing w:before="0" w:after="40" w:line="276" w:lineRule="auto"/>
              <w:jc w:val="left"/>
            </w:pPr>
            <w:r>
              <w:rPr>
                <w:b/>
              </w:rPr>
              <w:t>Ngày ký:</w:t>
            </w:r>
            <w:r>
              <w:t xml:space="preserve"> ____/____/202[X]</w:t>
            </w:r>
          </w:p>
        </w:tc>
      </w:tr>
    </w:tbl>
    <w:p>
      <w:pPr>
        <w:spacing w:before="0" w:after="80"/>
      </w:pP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