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settings.xml" ContentType="application/vnd.openxmlformats-officedocument.wordprocessingml.setting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2.png" ContentType="image/png"/>
  <Override PartName="/word/media/rId59.png" ContentType="image/png"/>
  <Override PartName="/word/media/rId56.png" ContentType="image/png"/>
  <Override PartName="/word/media/rId32.png" ContentType="image/png"/>
  <Override PartName="/word/media/rId44.png" ContentType="image/png"/>
  <Override PartName="/word/media/rId53.png" ContentType="image/png"/>
  <Override PartName="/word/media/rId35.png" ContentType="image/png"/>
  <Override PartName="/word/media/rId29.png" ContentType="image/png"/>
  <Override PartName="/word/media/rId47.png" ContentType="image/png"/>
  <Override PartName="/word/media/rId50.png" ContentType="image/png"/>
  <Override PartName="/word/media/rId41.png" ContentType="image/png"/>
  <Override PartName="/word/media/rId38.png" ContentType="image/png"/>
  <Override PartName="/word/media/rId101.png" ContentType="image/png"/>
  <Override PartName="/word/media/rId95.png" ContentType="image/png"/>
  <Override PartName="/word/media/rId98.png" ContentType="image/png"/>
  <Override PartName="/word/media/rId74.png" ContentType="image/png"/>
  <Override PartName="/word/media/rId83.png" ContentType="image/png"/>
  <Override PartName="/word/media/rId92.png" ContentType="image/png"/>
  <Override PartName="/word/media/rId68.png" ContentType="image/png"/>
  <Override PartName="/word/media/rId86.png" ContentType="image/png"/>
  <Override PartName="/word/media/rId65.png" ContentType="image/png"/>
  <Override PartName="/word/media/rId77.png" ContentType="image/png"/>
  <Override PartName="/word/media/rId89.png" ContentType="image/png"/>
  <Override PartName="/word/media/rId71.png" ContentType="image/png"/>
  <Override PartName="/word/media/rId80.png" ContentType="image/png"/>
  <Override PartName="/word/media/rId140.png" ContentType="image/png"/>
  <Override PartName="/word/media/rId134.png" ContentType="image/png"/>
  <Override PartName="/word/media/rId137.png" ContentType="image/png"/>
  <Override PartName="/word/media/rId113.png" ContentType="image/png"/>
  <Override PartName="/word/media/rId122.png" ContentType="image/png"/>
  <Override PartName="/word/media/rId107.png" ContentType="image/png"/>
  <Override PartName="/word/media/rId131.png" ContentType="image/png"/>
  <Override PartName="/word/media/rId104.png" ContentType="image/png"/>
  <Override PartName="/word/media/rId116.png" ContentType="image/png"/>
  <Override PartName="/word/media/rId128.png" ContentType="image/png"/>
  <Override PartName="/word/media/rId125.png" ContentType="image/png"/>
  <Override PartName="/word/media/rId110.png" ContentType="image/png"/>
  <Override PartName="/word/media/rId119.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automm_template/word/header1.xml" ContentType="application/vnd.openxmlformats-officedocument.wordprocessingml.header+xml"/>
  <Override PartName="/word/automm_template/word/header4.xml" ContentType="application/vnd.openxmlformats-officedocument.wordprocessingml.header+xml"/>
  <Override PartName="/word/automm_template/word/header3.xml" ContentType="application/vnd.openxmlformats-officedocument.wordprocessingml.header+xml"/>
  <Override PartName="/word/automm_template/word/footer1.xml" ContentType="application/vnd.openxmlformats-officedocument.wordprocessingml.footer+xml"/>
  <Override PartName="/word/automm_template/word/footer4.xml" ContentType="application/vnd.openxmlformats-officedocument.wordprocessingml.footer+xml"/>
  <Override PartName="/word/automm_template/word/footer3.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f5"/>
      </w:pPr>
      <w:r>
        <w:rPr/>
        <w:t xml:space="preserve">基于色散相位与变量投影的外延层厚度反演及多光束影响分析</w:t>
      </w:r>
    </w:p>
    <w:p>
      <w:pPr>
        <w:pStyle w:val="1"/>
        <w:numPr>
          <w:ilvl w:val="0"/>
          <w:numId w:val="0"/>
        </w:numPr>
      </w:pPr>
      <w:r>
        <w:rPr/>
        <w:t xml:space="preserve">摘要</w:t>
      </w:r>
    </w:p>
    <w:p>
      <w:pPr>
        <w:pStyle w:val="a4"/>
      </w:pPr>
      <w:r>
        <w:rPr/>
        <w:t xml:space="preserve">红外反射谱中的干涉周期携带外延层厚度信息，但折射率色散、慢变背景与高阶反射会影响直接读峰测厚。本文以“相位决定厚度、幅度用于诊断”为主线，建立两光束物理模型，再将实测反演化为带线性子问题的一维厚度搜索。</w:t>
      </w:r>
    </w:p>
    <w:p>
      <w:pPr>
        <w:pStyle w:val="a4"/>
      </w:pPr>
      <w:r>
        <w:rPr/>
        <w:t xml:space="preserve">针对问题1，依据Snell定律与Fresnel关系推导斜入射光程差，引入</w:t>
      </w:r>
      <w:r>
        <w:rPr>
          <w:b/>
          <w:bCs/>
        </w:rPr>
        <w:t xml:space="preserve">色散相位函数</w:t>
      </w:r>
      <w:r>
        <w:rPr/>
        <w:t xml:space="preserve">校正极值间隔。厚度真值为10</w:t>
      </w:r>
      <w:r>
        <w:t xml:space="preserve"> </w:t>
      </w:r>
      <w:r>
        <w:rPr/>
        <w:t xml:space="preserve">μm的合成实验中，相位法与全谱拟合分别得到约</w:t>
      </w:r>
      <w:r>
        <w:t xml:space="preserve"> </w:t>
      </w:r>
      <w:r>
        <w:rPr>
          <w:b/>
          <w:bCs/>
        </w:rPr>
        <w:t xml:space="preserve">10.002 μm</w:t>
      </w:r>
      <w:r>
        <w:t xml:space="preserve"> </w:t>
      </w:r>
      <w:r>
        <w:rPr/>
        <w:t xml:space="preserve">和</w:t>
      </w:r>
      <w:r>
        <w:t xml:space="preserve"> </w:t>
      </w:r>
      <w:r>
        <w:rPr>
          <w:b/>
          <w:bCs/>
        </w:rPr>
        <w:t xml:space="preserve">10.000 μm</w:t>
      </w:r>
      <w:r>
        <w:rPr/>
        <w:t xml:space="preserve">；常数折射率近似存在约4%的系统偏差，只作为对照。针对问题2，以</w:t>
      </w:r>
      <w:r>
        <w:rPr>
          <w:b/>
          <w:bCs/>
        </w:rPr>
        <w:t xml:space="preserve">变量投影</w:t>
      </w:r>
      <w:r>
        <w:rPr/>
        <w:t xml:space="preserve">分离慢变基线和干涉项，碳化硅两角共享厚度为</w:t>
      </w:r>
      <w:r>
        <w:t xml:space="preserve"> </w:t>
      </w:r>
      <w:r>
        <w:rPr>
          <w:b/>
          <w:bCs/>
        </w:rPr>
        <w:t xml:space="preserve">7.2158 μm</w:t>
      </w:r>
      <w:r>
        <w:rPr/>
        <w:t xml:space="preserve">，独立估计的相对差为</w:t>
      </w:r>
      <w:r>
        <w:t xml:space="preserve"> </w:t>
      </w:r>
      <w:r>
        <w:rPr>
          <w:b/>
          <w:bCs/>
        </w:rPr>
        <w:t xml:space="preserve">0.165%</w:t>
      </w:r>
      <w:r>
        <w:rPr/>
        <w:t xml:space="preserve">。F检验给出</w:t>
      </w:r>
      <w:r>
        <w:t xml:space="preserve"> </w:t>
      </w:r>
      <m:oMath>
        <m:r>
          <m:t>p</m:t>
        </m:r>
        <m:r>
          <m:rPr>
            <m:sty m:val="p"/>
          </m:rPr>
          <m:t>=</m:t>
        </m:r>
        <m:r>
          <m:t>0.022</m:t>
        </m:r>
      </m:oMath>
      <w:r>
        <w:rPr/>
        <w:t xml:space="preserve">，说明统计显著差异与工程容差内的一致性必须分别报告。针对问题3，利用Airy多光束模型分析高阶反射的形成条件，硅共享厚度为</w:t>
      </w:r>
      <w:r>
        <w:t xml:space="preserve"> </w:t>
      </w:r>
      <w:r>
        <w:rPr>
          <w:b/>
          <w:bCs/>
        </w:rPr>
        <w:t xml:space="preserve">3.4477 μm</w:t>
      </w:r>
      <w:r>
        <w:rPr/>
        <w:t xml:space="preserve">，两角相对差为</w:t>
      </w:r>
      <w:r>
        <w:t xml:space="preserve"> </w:t>
      </w:r>
      <w:r>
        <w:rPr>
          <w:b/>
          <w:bCs/>
        </w:rPr>
        <w:t xml:space="preserve">0.130%</w:t>
      </w:r>
      <w:r>
        <w:rPr/>
        <w:t xml:space="preserve">；物理基线下多光束残差最大改善约0.11%，当前谱段无需增加显著多光束修正。</w:t>
      </w:r>
    </w:p>
    <w:p>
      <w:pPr>
        <w:pStyle w:val="a4"/>
      </w:pPr>
      <w:r>
        <w:rPr/>
        <w:t xml:space="preserve">扰动与消融结果支持采用相位信息测厚，但结果仍受材料色散依据、背景建模和周期候选接近程度约束。本文明确区分合成恢复精度、实测一致性和条件置信区间，不把内部一致性当作外部真值验证。</w:t>
      </w:r>
    </w:p>
    <w:p>
      <w:pPr>
        <w:pStyle w:val="1"/>
        <w:numPr>
          <w:ilvl w:val="0"/>
          <w:numId w:val="0"/>
        </w:numPr>
      </w:pPr>
      <w:r>
        <w:rPr/>
        <w:t xml:space="preserve">关键词</w:t>
      </w:r>
    </w:p>
    <w:p>
      <w:pPr>
        <w:pStyle w:val="a4"/>
      </w:pPr>
      <w:r>
        <w:rPr/>
        <w:t xml:space="preserve">外延层厚度；红外干涉；折射率色散；变量投影；多光束干涉</w:t>
      </w:r>
    </w:p>
    <w:p>
      <w:pPr>
        <w:pStyle w:val="1"/>
        <w:numPr>
          <w:ilvl w:val="0"/>
          <w:numId w:val="12"/>
        </w:numPr>
      </w:pPr>
      <w:r>
        <w:rPr/>
        <w:t xml:space="preserve">问题重述</w:t>
      </w:r>
    </w:p>
    <w:p>
      <w:pPr>
        <w:pStyle w:val="a4"/>
      </w:pPr>
      <w:r>
        <w:rPr/>
        <w:t xml:space="preserve">题目要求根据晶圆红外反射谱确定外延层厚度。问题1在界面仅发生一次反射、透射的条件下建立两光束模型；问题2利用同一碳化硅晶圆在10°和15°入射角下的测量谱，设计反演算法并评价可靠性；问题3进一步分析多次反射形成的多光束干涉，用硅晶圆的两角数据判断是否需要修正，并返回检验碳化硅结论。四份附件均以波数为第一列、反射率百分数为第二列。</w:t>
      </w:r>
    </w:p>
    <w:p>
      <w:pPr>
        <w:pStyle w:val="a4"/>
      </w:pPr>
      <w:r>
        <w:rPr/>
        <w:t xml:space="preserve">测量对象不是一个独立的频率常数：折射率随波长变化，衬底与外延层的掺杂差异影响界面反射，而背景与噪声可能制造并非真实干涉周期的极值。因此，本文不仅给出厚度数值，还说明这些数值依赖哪些观测信息、适用哪些物理条件，以及有哪些不能消除的不确定性。</w:t>
      </w:r>
    </w:p>
    <w:p>
      <w:pPr>
        <w:pStyle w:val="1"/>
        <w:numPr>
          <w:ilvl w:val="0"/>
          <w:numId w:val="12"/>
        </w:numPr>
      </w:pPr>
      <w:r>
        <w:rPr/>
        <w:t xml:space="preserve">问题分析与总体流程</w:t>
      </w:r>
    </w:p>
    <w:p>
      <w:pPr>
        <w:pStyle w:val="a4"/>
      </w:pPr>
      <w:r>
        <w:rPr/>
        <w:t xml:space="preserve">红外干涉测厚、材料光学常数和多层反射构成本文的方法背景。早期测厚研究与相关测试方法说明该问题具有明确的光学基础</w:t>
      </w:r>
      <w:r>
        <w:t xml:space="preserve"> </w:t>
      </w:r>
      <w:r>
        <w:rPr/>
        <w:t xml:space="preserve">[1]、[2]、[3]、[4]、[5]；反射、折射与干涉公式沿用光学教材的约定</w:t>
      </w:r>
      <w:r>
        <w:t xml:space="preserve"> </w:t>
      </w:r>
      <w:r>
        <w:rPr/>
        <w:t xml:space="preserve">[6]、[7]。本文的具体参数和数值仍以已完成的实验记录为准，不把文献题名中的性能结论移用于本数据。</w:t>
      </w:r>
    </w:p>
    <w:p>
      <w:pPr>
        <w:pStyle w:val="a4"/>
      </w:pPr>
      <w:r>
        <w:rPr/>
        <w:t xml:space="preserve">总体流程为：统一单位和有效谱段，建立斜入射相位函数，用合成场景验证公式与求解的一致性，再将实测谱分解为慢变背景和振荡项；固定候选厚度时解线性最小二乘，扫描厚度得到共同估计和独立角度估计；最后比较扰动、消融与Airy修正，形成附条件结论。</w:t>
      </w:r>
    </w:p>
    <w:p>
      <w:pPr>
        <w:pStyle w:val="a4"/>
      </w:pPr>
      <w:r>
        <w:rPr/>
        <w:t xml:space="preserve">两光束模型提供可解释的相位结构；变量投影承担实测背景不确定性；Airy模型用于检验高阶反射是否重要。三者不是互相替代的“更复杂算法”，而是回答不同层次的问题。</w:t>
      </w:r>
    </w:p>
    <w:p>
      <w:pPr>
        <w:pStyle w:val="1"/>
        <w:numPr>
          <w:ilvl w:val="0"/>
          <w:numId w:val="12"/>
        </w:numPr>
      </w:pPr>
      <w:r>
        <w:rPr/>
        <w:t xml:space="preserve">模型假设</w:t>
      </w:r>
    </w:p>
    <w:p>
      <w:pPr>
        <w:pStyle w:val="a3"/>
        <w:numPr>
          <w:ilvl w:val="0"/>
          <w:numId w:val="13"/>
        </w:numPr>
      </w:pPr>
      <w:r>
        <w:rPr/>
        <w:t xml:space="preserve">在选定透明谱段内，外延层及衬底折射率可按实数近似处理；强吸收区不纳入同一无吸收模型。</w:t>
      </w:r>
    </w:p>
    <w:p>
      <w:pPr>
        <w:pStyle w:val="a3"/>
        <w:numPr>
          <w:ilvl w:val="0"/>
          <w:numId w:val="13"/>
        </w:numPr>
      </w:pPr>
      <w:r>
        <w:rPr/>
        <w:t xml:space="preserve">两界面在照射区域近似平行，入射角已知；共享厚度表示两次测量对应同一晶圆的近似共同厚度，角度间差异另作诊断。</w:t>
      </w:r>
    </w:p>
    <w:p>
      <w:pPr>
        <w:pStyle w:val="a3"/>
        <w:numPr>
          <w:ilvl w:val="0"/>
          <w:numId w:val="13"/>
        </w:numPr>
      </w:pPr>
      <w:r>
        <w:rPr/>
        <w:t xml:space="preserve">同型相邻极值相差一个完整干涉周期。反射相位跃变影响峰谷标签，但在一致的同型间隔中抵消。</w:t>
      </w:r>
    </w:p>
    <w:p>
      <w:pPr>
        <w:pStyle w:val="a3"/>
        <w:numPr>
          <w:ilvl w:val="0"/>
          <w:numId w:val="13"/>
        </w:numPr>
      </w:pPr>
      <w:r>
        <w:rPr/>
        <w:t xml:space="preserve">色散模型只在有材料依据的谱段内使用。慢变基线和包络可由预先固定的低阶多项式近似，不允许任意高阶趋势吸收干涉周期。</w:t>
      </w:r>
    </w:p>
    <w:p>
      <w:pPr>
        <w:pStyle w:val="a3"/>
        <w:numPr>
          <w:ilvl w:val="0"/>
          <w:numId w:val="13"/>
        </w:numPr>
      </w:pPr>
      <w:r>
        <w:rPr/>
        <w:t xml:space="preserve">主反演厚度由相位积累率确定；从幅度辨识的衬底折射率只作弱辨识诊断，不作为已精确标定的材料常数。</w:t>
      </w:r>
    </w:p>
    <w:p>
      <w:pPr>
        <w:pStyle w:val="a4"/>
      </w:pPr>
      <w:r>
        <w:rPr/>
        <w:t xml:space="preserve">这些假设并非对整个红外谱无条件成立。其有效性由谱段选择、两角对照和扰动实验限定；SiC和硅使用各自的材料色散关系。</w:t>
      </w:r>
    </w:p>
    <w:p>
      <w:pPr>
        <w:pStyle w:val="1"/>
        <w:numPr>
          <w:ilvl w:val="0"/>
          <w:numId w:val="12"/>
        </w:numPr>
      </w:pPr>
      <w:r>
        <w:rPr/>
        <w:t xml:space="preserve">符号说明</w:t>
      </w:r>
    </w:p>
    <w:p>
      <w:pPr>
        <w:pStyle w:val="a0"/>
        <w:numPr>
          <w:ilvl w:val="7"/>
          <w:numId w:val="14"/>
        </w:numPr>
      </w:pPr>
      <w:r>
        <w:rPr/>
        <w:t xml:space="preserve">主要符号与单位约定</w:t>
      </w:r>
    </w:p>
    <w:tbl>
      <w:tblPr>
        <w:tblStyle w:val="afb"/>
        <w:tblW w:type="auto" w:w="0"/>
        <w:tblLook w:val="0620" w:firstRow="1" w:lastRow="0" w:firstColumn="0" w:lastColumn="0" w:noHBand="1" w:noVBand="1"/>
      </w:tblPr>
      <w:tblGrid>
        <w:gridCol w:w="2640"/>
        <w:gridCol w:w="2640"/>
        <w:gridCol w:w="2640"/>
      </w:tblGrid>
      <w:tr>
        <w:trPr>
          <w:tblHeader w:val="on"/>
        </w:trPr>
        <w:tc>
          <w:tcPr/>
          <w:p>
            <w:pPr>
              <w:pStyle w:val="a9"/>
            </w:pPr>
            <w:r>
              <w:rPr/>
              <w:t xml:space="preserve">符号</w:t>
            </w:r>
          </w:p>
        </w:tc>
        <w:tc>
          <w:tcPr/>
          <w:p>
            <w:pPr>
              <w:pStyle w:val="a9"/>
            </w:pPr>
            <w:r>
              <w:rPr/>
              <w:t xml:space="preserve">含义</w:t>
            </w:r>
          </w:p>
        </w:tc>
        <w:tc>
          <w:tcPr/>
          <w:p>
            <w:pPr>
              <w:pStyle w:val="a9"/>
            </w:pPr>
            <w:r>
              <w:rPr/>
              <w:t xml:space="preserve">单位</w:t>
            </w:r>
          </w:p>
        </w:tc>
      </w:tr>
      <w:tr>
        <w:tc>
          <w:tcPr/>
          <w:p>
            <w:pPr>
              <w:pStyle w:val="a9"/>
            </w:pPr>
            <m:oMath>
              <m:r>
                <m:t>t</m:t>
              </m:r>
            </m:oMath>
          </w:p>
        </w:tc>
        <w:tc>
          <w:tcPr/>
          <w:p>
            <w:pPr>
              <w:pStyle w:val="a9"/>
            </w:pPr>
            <w:r>
              <w:rPr/>
              <w:t xml:space="preserve">外延层厚度</w:t>
            </w:r>
          </w:p>
        </w:tc>
        <w:tc>
          <w:tcPr/>
          <w:p>
            <w:pPr>
              <w:pStyle w:val="a9"/>
            </w:pPr>
            <w:r>
              <w:t xml:space="preserve">μm</w:t>
            </w:r>
          </w:p>
        </w:tc>
      </w:tr>
      <w:tr>
        <w:tc>
          <w:tcPr/>
          <w:p>
            <w:pPr>
              <w:pStyle w:val="a9"/>
            </w:pPr>
            <m:oMath>
              <m:r>
                <m:t>ν</m:t>
              </m:r>
            </m:oMath>
          </w:p>
        </w:tc>
        <w:tc>
          <w:tcPr/>
          <w:p>
            <w:pPr>
              <w:pStyle w:val="a9"/>
            </w:pPr>
            <w:r>
              <w:rPr/>
              <w:t xml:space="preserve">真空波数</w:t>
            </w:r>
          </w:p>
        </w:tc>
        <w:tc>
          <w:tcPr/>
          <w:p>
            <w:pPr>
              <w:pStyle w:val="a9"/>
            </w:pPr>
            <w:r>
              <w:t xml:space="preserve">cm⁻¹</w:t>
            </w:r>
          </w:p>
        </w:tc>
      </w:tr>
      <w:tr>
        <w:tc>
          <w:tcPr/>
          <w:p>
            <w:pPr>
              <w:pStyle w:val="a9"/>
            </w:pPr>
            <m:oMath>
              <m:r>
                <m:t>λ</m:t>
              </m:r>
            </m:oMath>
          </w:p>
        </w:tc>
        <w:tc>
          <w:tcPr/>
          <w:p>
            <w:pPr>
              <w:pStyle w:val="a9"/>
            </w:pPr>
            <w:r>
              <w:rPr/>
              <w:t xml:space="preserve">真空波长，</w:t>
            </w:r>
            <m:oMath>
              <m:r>
                <m:t>λ</m:t>
              </m:r>
              <m:r>
                <m:rPr>
                  <m:sty m:val="p"/>
                </m:rPr>
                <m:t>=</m:t>
              </m:r>
              <m:sSup>
                <m:e>
                  <m:r>
                    <m:t>10</m:t>
                  </m:r>
                </m:e>
                <m:sup>
                  <m:r>
                    <m:t>4</m:t>
                  </m:r>
                </m:sup>
              </m:sSup>
              <m:r>
                <m:rPr>
                  <m:sty m:val="p"/>
                </m:rPr>
                <m:t>/</m:t>
              </m:r>
              <m:r>
                <m:t>ν</m:t>
              </m:r>
            </m:oMath>
          </w:p>
        </w:tc>
        <w:tc>
          <w:tcPr/>
          <w:p>
            <w:pPr>
              <w:pStyle w:val="a9"/>
            </w:pPr>
            <w:r>
              <w:t xml:space="preserve">μm</w:t>
            </w:r>
          </w:p>
        </w:tc>
      </w:tr>
      <w:tr>
        <w:tc>
          <w:tcPr/>
          <w:p>
            <w:pPr>
              <w:pStyle w:val="a9"/>
            </w:pPr>
            <m:oMath>
              <m:r>
                <m:t>θ</m:t>
              </m:r>
              <m:r>
                <m:rPr>
                  <m:sty m:val="p"/>
                </m:rPr>
                <m:t>,</m:t>
              </m:r>
              <m:sSup>
                <m:e>
                  <m:r>
                    <m:t>θ</m:t>
                  </m:r>
                </m:e>
                <m:sup>
                  <m:r>
                    <m:rPr>
                      <m:sty m:val="p"/>
                    </m:rPr>
                    <m:t>′</m:t>
                  </m:r>
                </m:sup>
              </m:sSup>
            </m:oMath>
          </w:p>
        </w:tc>
        <w:tc>
          <w:tcPr/>
          <w:p>
            <w:pPr>
              <w:pStyle w:val="a9"/>
            </w:pPr>
            <w:r>
              <w:rPr/>
              <w:t xml:space="preserve">空气侧入射角、层内折射角</w:t>
            </w:r>
          </w:p>
        </w:tc>
        <w:tc>
          <w:tcPr/>
          <w:p>
            <w:pPr>
              <w:pStyle w:val="a9"/>
            </w:pPr>
            <w:r>
              <w:rPr/>
              <w:t xml:space="preserve">°，计算时转弧度</w:t>
            </w:r>
          </w:p>
        </w:tc>
      </w:tr>
      <w:tr>
        <w:tc>
          <w:tcPr/>
          <w:p>
            <w:pPr>
              <w:pStyle w:val="a9"/>
            </w:pPr>
            <m:oMath>
              <m:r>
                <m:t>n</m:t>
              </m:r>
              <m:r>
                <m:rPr>
                  <m:sty m:val="p"/>
                </m:rPr>
                <m:t>,</m:t>
              </m:r>
              <m:sSub>
                <m:e>
                  <m:r>
                    <m:t>n</m:t>
                  </m:r>
                </m:e>
                <m:sub>
                  <m:r>
                    <m:rPr>
                      <m:sty m:val="p"/>
                    </m:rPr>
                    <m:t>s</m:t>
                  </m:r>
                  <m:r>
                    <m:rPr>
                      <m:sty m:val="p"/>
                    </m:rPr>
                    <m:t>u</m:t>
                  </m:r>
                  <m:r>
                    <m:rPr>
                      <m:sty m:val="p"/>
                    </m:rPr>
                    <m:t>b</m:t>
                  </m:r>
                </m:sub>
              </m:sSub>
            </m:oMath>
          </w:p>
        </w:tc>
        <w:tc>
          <w:tcPr/>
          <w:p>
            <w:pPr>
              <w:pStyle w:val="a9"/>
            </w:pPr>
            <w:r>
              <w:rPr/>
              <w:t xml:space="preserve">外延层、衬底折射率</w:t>
            </w:r>
          </w:p>
        </w:tc>
        <w:tc>
          <w:tcPr/>
          <w:p>
            <w:pPr>
              <w:pStyle w:val="a9"/>
            </w:pPr>
            <w:r>
              <w:rPr/>
              <w:t xml:space="preserve">无量纲</w:t>
            </w:r>
          </w:p>
        </w:tc>
      </w:tr>
      <w:tr>
        <w:tc>
          <w:tcPr/>
          <w:p>
            <w:pPr>
              <w:pStyle w:val="a9"/>
            </w:pPr>
            <m:oMath>
              <m:r>
                <m:t>δ</m:t>
              </m:r>
              <m:r>
                <m:rPr>
                  <m:sty m:val="p"/>
                </m:rPr>
                <m:t>,</m:t>
              </m:r>
              <m:r>
                <m:t>g</m:t>
              </m:r>
            </m:oMath>
          </w:p>
        </w:tc>
        <w:tc>
          <w:tcPr/>
          <w:p>
            <w:pPr>
              <w:pStyle w:val="a9"/>
            </w:pPr>
            <w:r>
              <w:rPr/>
              <w:t xml:space="preserve">往返相位差、色散相位函数</w:t>
            </w:r>
          </w:p>
        </w:tc>
        <w:tc>
          <w:tcPr/>
          <w:p>
            <w:pPr>
              <w:pStyle w:val="a9"/>
            </w:pPr>
            <w:r>
              <w:t xml:space="preserve">rad、cm⁻¹</w:t>
            </w:r>
          </w:p>
        </w:tc>
      </w:tr>
      <w:tr>
        <w:tc>
          <w:tcPr/>
          <w:p>
            <w:pPr>
              <w:pStyle w:val="a9"/>
            </w:pPr>
            <m:oMath>
              <m:sSub>
                <m:e>
                  <m:r>
                    <m:t>R</m:t>
                  </m:r>
                </m:e>
                <m:sub>
                  <m:r>
                    <m:t>01</m:t>
                  </m:r>
                </m:sub>
              </m:sSub>
              <m:r>
                <m:rPr>
                  <m:sty m:val="p"/>
                </m:rPr>
                <m:t>,</m:t>
              </m:r>
              <m:sSub>
                <m:e>
                  <m:r>
                    <m:t>R</m:t>
                  </m:r>
                </m:e>
                <m:sub>
                  <m:r>
                    <m:t>12</m:t>
                  </m:r>
                </m:sub>
              </m:sSub>
            </m:oMath>
          </w:p>
        </w:tc>
        <w:tc>
          <w:tcPr/>
          <w:p>
            <w:pPr>
              <w:pStyle w:val="a9"/>
            </w:pPr>
            <w:r>
              <w:rPr/>
              <w:t xml:space="preserve">两界面强度反射率</w:t>
            </w:r>
          </w:p>
        </w:tc>
        <w:tc>
          <w:tcPr/>
          <w:p>
            <w:pPr>
              <w:pStyle w:val="a9"/>
            </w:pPr>
            <w:r>
              <w:rPr/>
              <w:t xml:space="preserve">无量纲</w:t>
            </w:r>
          </w:p>
        </w:tc>
      </w:tr>
      <w:tr>
        <w:tc>
          <w:tcPr/>
          <w:p>
            <w:pPr>
              <w:pStyle w:val="a9"/>
            </w:pPr>
            <m:oMath>
              <m:r>
                <m:t>B</m:t>
              </m:r>
              <m:r>
                <m:rPr>
                  <m:sty m:val="p"/>
                </m:rPr>
                <m:t>,</m:t>
              </m:r>
              <m:r>
                <m:t>C</m:t>
              </m:r>
              <m:r>
                <m:rPr>
                  <m:sty m:val="p"/>
                </m:rPr>
                <m:t>,</m:t>
              </m:r>
              <m:r>
                <m:t>S</m:t>
              </m:r>
            </m:oMath>
          </w:p>
        </w:tc>
        <w:tc>
          <w:tcPr/>
          <w:p>
            <w:pPr>
              <w:pStyle w:val="a9"/>
            </w:pPr>
            <w:r>
              <w:rPr/>
              <w:t xml:space="preserve">慢变基线、余弦和正弦包络</w:t>
            </w:r>
          </w:p>
        </w:tc>
        <w:tc>
          <w:tcPr/>
          <w:p>
            <w:pPr>
              <w:pStyle w:val="a9"/>
            </w:pPr>
            <w:r>
              <w:rPr/>
              <w:t xml:space="preserve">无量纲</w:t>
            </w:r>
          </w:p>
        </w:tc>
      </w:tr>
      <w:tr>
        <w:tc>
          <w:tcPr/>
          <w:p>
            <w:pPr>
              <w:pStyle w:val="a9"/>
            </w:pPr>
            <m:oMath>
              <m:r>
                <m:t>J</m:t>
              </m:r>
              <m:r>
                <m:rPr>
                  <m:sty m:val="p"/>
                </m:rPr>
                <m:t>(</m:t>
              </m:r>
              <m:r>
                <m:t>t</m:t>
              </m:r>
              <m:r>
                <m:rPr>
                  <m:sty m:val="p"/>
                </m:rPr>
                <m:t>)</m:t>
              </m:r>
            </m:oMath>
          </w:p>
        </w:tc>
        <w:tc>
          <w:tcPr/>
          <w:p>
            <w:pPr>
              <w:pStyle w:val="a9"/>
            </w:pPr>
            <w:r>
              <w:rPr/>
              <w:t xml:space="preserve">两角加权残差平方和</w:t>
            </w:r>
          </w:p>
        </w:tc>
        <w:tc>
          <w:tcPr/>
          <w:p>
            <w:pPr>
              <w:pStyle w:val="a9"/>
            </w:pPr>
            <w:r>
              <w:rPr/>
              <w:t xml:space="preserve">无量纲</w:t>
            </w:r>
          </w:p>
        </w:tc>
      </w:tr>
      <w:tr>
        <w:tc>
          <w:tcPr/>
          <w:p>
            <w:pPr>
              <w:pStyle w:val="a9"/>
            </w:pPr>
            <m:oMath>
              <m:acc>
                <m:accPr>
                  <m:chr m:val="‾"/>
                </m:accPr>
                <m:e>
                  <m:r>
                    <m:t>R</m:t>
                  </m:r>
                </m:e>
              </m:acc>
              <m:r>
                <m:rPr>
                  <m:sty m:val="p"/>
                </m:rPr>
                <m:t>,</m:t>
              </m:r>
              <m:r>
                <m:rPr>
                  <m:scr m:val="script"/>
                  <m:sty m:val="p"/>
                </m:rPr>
                <m:t>F</m:t>
              </m:r>
            </m:oMath>
          </w:p>
        </w:tc>
        <w:tc>
          <w:tcPr/>
          <w:p>
            <w:pPr>
              <w:pStyle w:val="a9"/>
            </w:pPr>
            <w:r>
              <w:rPr/>
              <w:t xml:space="preserve">界面反射率几何平均、精细度参数</w:t>
            </w:r>
          </w:p>
        </w:tc>
        <w:tc>
          <w:tcPr/>
          <w:p>
            <w:pPr>
              <w:pStyle w:val="a9"/>
            </w:pPr>
            <w:r>
              <w:rPr/>
              <w:t xml:space="preserve">无量纲</w:t>
            </w:r>
          </w:p>
        </w:tc>
      </w:tr>
    </w:tbl>
    <w:p>
      <w:pPr>
        <w:pStyle w:val="1"/>
        <w:numPr>
          <w:ilvl w:val="0"/>
          <w:numId w:val="12"/>
        </w:numPr>
      </w:pPr>
      <w:r>
        <w:rPr/>
        <w:t xml:space="preserve">数据说明与预处理</w:t>
      </w:r>
    </w:p>
    <w:p>
      <w:pPr>
        <w:pStyle w:val="a0"/>
        <w:numPr>
          <w:ilvl w:val="7"/>
          <w:numId w:val="14"/>
        </w:numPr>
      </w:pPr>
      <w:r>
        <w:rPr/>
        <w:t xml:space="preserve">输入数据的材料与测量条件</w:t>
      </w:r>
    </w:p>
    <w:tbl>
      <w:tblPr>
        <w:tblStyle w:val="afb"/>
        <w:tblW w:type="auto" w:w="0"/>
        <w:tblLook w:val="0620" w:firstRow="1" w:lastRow="0" w:firstColumn="0" w:lastColumn="0" w:noHBand="1" w:noVBand="1"/>
      </w:tblPr>
      <w:tblGrid>
        <w:gridCol w:w="1980"/>
        <w:gridCol w:w="1980"/>
        <w:gridCol w:w="1980"/>
        <w:gridCol w:w="1980"/>
      </w:tblGrid>
      <w:tr>
        <w:trPr>
          <w:tblHeader w:val="on"/>
        </w:trPr>
        <w:tc>
          <w:tcPr/>
          <w:p>
            <w:pPr>
              <w:pStyle w:val="a9"/>
            </w:pPr>
            <w:r>
              <w:rPr/>
              <w:t xml:space="preserve">附件</w:t>
            </w:r>
          </w:p>
        </w:tc>
        <w:tc>
          <w:tcPr/>
          <w:p>
            <w:pPr>
              <w:pStyle w:val="a9"/>
            </w:pPr>
            <w:r>
              <w:rPr/>
              <w:t xml:space="preserve">材料</w:t>
            </w:r>
          </w:p>
        </w:tc>
        <w:tc>
          <w:tcPr/>
          <w:p>
            <w:pPr>
              <w:pStyle w:val="a9"/>
            </w:pPr>
            <w:r>
              <w:rPr/>
              <w:t xml:space="preserve">入射角</w:t>
            </w:r>
          </w:p>
        </w:tc>
        <w:tc>
          <w:tcPr/>
          <w:p>
            <w:pPr>
              <w:pStyle w:val="a9"/>
            </w:pPr>
            <w:r>
              <w:rPr/>
              <w:t xml:space="preserve">本文用途</w:t>
            </w:r>
          </w:p>
        </w:tc>
      </w:tr>
      <w:tr>
        <w:tc>
          <w:tcPr/>
          <w:p>
            <w:pPr>
              <w:pStyle w:val="a9"/>
            </w:pPr>
            <w:r>
              <w:t xml:space="preserve">1</w:t>
            </w:r>
          </w:p>
        </w:tc>
        <w:tc>
          <w:tcPr/>
          <w:p>
            <w:pPr>
              <w:pStyle w:val="a9"/>
            </w:pPr>
            <w:r>
              <w:rPr/>
              <w:t xml:space="preserve">碳化硅</w:t>
            </w:r>
          </w:p>
        </w:tc>
        <w:tc>
          <w:tcPr/>
          <w:p>
            <w:pPr>
              <w:pStyle w:val="a9"/>
            </w:pPr>
            <w:r>
              <w:t xml:space="preserve">10°</w:t>
            </w:r>
          </w:p>
        </w:tc>
        <w:tc>
          <w:tcPr/>
          <w:p>
            <w:pPr>
              <w:pStyle w:val="a9"/>
            </w:pPr>
            <w:r>
              <w:rPr/>
              <w:t xml:space="preserve">厚度联合反演与角度对照</w:t>
            </w:r>
          </w:p>
        </w:tc>
      </w:tr>
      <w:tr>
        <w:tc>
          <w:tcPr/>
          <w:p>
            <w:pPr>
              <w:pStyle w:val="a9"/>
            </w:pPr>
            <w:r>
              <w:t xml:space="preserve">2</w:t>
            </w:r>
          </w:p>
        </w:tc>
        <w:tc>
          <w:tcPr/>
          <w:p>
            <w:pPr>
              <w:pStyle w:val="a9"/>
            </w:pPr>
            <w:r>
              <w:rPr/>
              <w:t xml:space="preserve">碳化硅</w:t>
            </w:r>
          </w:p>
        </w:tc>
        <w:tc>
          <w:tcPr/>
          <w:p>
            <w:pPr>
              <w:pStyle w:val="a9"/>
            </w:pPr>
            <w:r>
              <w:t xml:space="preserve">15°</w:t>
            </w:r>
          </w:p>
        </w:tc>
        <w:tc>
          <w:tcPr/>
          <w:p>
            <w:pPr>
              <w:pStyle w:val="a9"/>
            </w:pPr>
            <w:r>
              <w:rPr/>
              <w:t xml:space="preserve">厚度联合反演与异常点诊断</w:t>
            </w:r>
          </w:p>
        </w:tc>
      </w:tr>
      <w:tr>
        <w:tc>
          <w:tcPr/>
          <w:p>
            <w:pPr>
              <w:pStyle w:val="a9"/>
            </w:pPr>
            <w:r>
              <w:t xml:space="preserve">3</w:t>
            </w:r>
          </w:p>
        </w:tc>
        <w:tc>
          <w:tcPr/>
          <w:p>
            <w:pPr>
              <w:pStyle w:val="a9"/>
            </w:pPr>
            <w:r>
              <w:rPr/>
              <w:t xml:space="preserve">硅</w:t>
            </w:r>
          </w:p>
        </w:tc>
        <w:tc>
          <w:tcPr/>
          <w:p>
            <w:pPr>
              <w:pStyle w:val="a9"/>
            </w:pPr>
            <w:r>
              <w:t xml:space="preserve">10°</w:t>
            </w:r>
          </w:p>
        </w:tc>
        <w:tc>
          <w:tcPr/>
          <w:p>
            <w:pPr>
              <w:pStyle w:val="a9"/>
            </w:pPr>
            <w:r>
              <w:rPr/>
              <w:t xml:space="preserve">厚度反演与多光束判定</w:t>
            </w:r>
          </w:p>
        </w:tc>
      </w:tr>
      <w:tr>
        <w:tc>
          <w:tcPr/>
          <w:p>
            <w:pPr>
              <w:pStyle w:val="a9"/>
            </w:pPr>
            <w:r>
              <w:t xml:space="preserve">4</w:t>
            </w:r>
          </w:p>
        </w:tc>
        <w:tc>
          <w:tcPr/>
          <w:p>
            <w:pPr>
              <w:pStyle w:val="a9"/>
            </w:pPr>
            <w:r>
              <w:rPr/>
              <w:t xml:space="preserve">硅</w:t>
            </w:r>
          </w:p>
        </w:tc>
        <w:tc>
          <w:tcPr/>
          <w:p>
            <w:pPr>
              <w:pStyle w:val="a9"/>
            </w:pPr>
            <w:r>
              <w:t xml:space="preserve">15°</w:t>
            </w:r>
          </w:p>
        </w:tc>
        <w:tc>
          <w:tcPr/>
          <w:p>
            <w:pPr>
              <w:pStyle w:val="a9"/>
            </w:pPr>
            <w:r>
              <w:rPr/>
              <w:t xml:space="preserve">共享厚度与独立角度对照</w:t>
            </w:r>
          </w:p>
        </w:tc>
      </w:tr>
    </w:tbl>
    <w:p>
      <w:pPr>
        <w:pStyle w:val="a4"/>
      </w:pPr>
      <w:r>
        <w:rPr/>
        <w:t xml:space="preserve">反射率百分数除以100转换为无量纲量；按波数统一排列，再执行既定有效谱段筛选。两种材料的主反演均采用</w:t>
      </w:r>
      <w:r>
        <w:t xml:space="preserve"> </w:t>
      </w:r>
      <m:oMath>
        <m:r>
          <m:rPr>
            <m:sty m:val="p"/>
          </m:rPr>
          <m:t>[</m:t>
        </m:r>
        <m:r>
          <m:t>2000</m:t>
        </m:r>
        <m:r>
          <m:rPr>
            <m:sty m:val="p"/>
          </m:rPr>
          <m:t>,</m:t>
        </m:r>
        <m:r>
          <m:t>4000</m:t>
        </m:r>
        <m:r>
          <m:rPr>
            <m:sty m:val="p"/>
          </m:rPr>
          <m:t>]</m:t>
        </m:r>
        <m:r>
          <m:t> </m:t>
        </m:r>
        <m:sSup>
          <m:e>
            <m:r>
              <m:rPr>
                <m:sty m:val="p"/>
              </m:rPr>
              <m:t>c</m:t>
            </m:r>
            <m:r>
              <m:rPr>
                <m:sty m:val="p"/>
              </m:rPr>
              <m:t>m</m:t>
            </m:r>
          </m:e>
          <m:sup>
            <m:r>
              <m:rPr>
                <m:sty m:val="p"/>
              </m:rPr>
              <m:t>−</m:t>
            </m:r>
            <m:r>
              <m:t>1</m:t>
            </m:r>
          </m:sup>
        </m:sSup>
      </m:oMath>
      <w:r>
        <w:rPr/>
        <w:t xml:space="preserve">。SiC近Reststrahlen区的强吸收不能沿用实折射率模型，且</w:t>
      </w:r>
      <w:r>
        <w:t xml:space="preserve"> </w:t>
      </w:r>
      <m:oMath>
        <m:r>
          <m:t>λ</m:t>
        </m:r>
        <m:r>
          <m:rPr>
            <m:sty m:val="p"/>
          </m:rPr>
          <m:t>&gt;</m:t>
        </m:r>
        <m:r>
          <m:t>5</m:t>
        </m:r>
        <m:r>
          <m:t> </m:t>
        </m:r>
        <m:r>
          <m:t>μ</m:t>
        </m:r>
        <m:r>
          <m:rPr>
            <m:sty m:val="p"/>
          </m:rPr>
          <m:t>m</m:t>
        </m:r>
      </m:oMath>
      <w:r>
        <w:t xml:space="preserve"> </w:t>
      </w:r>
      <w:r>
        <w:rPr/>
        <w:t xml:space="preserve">的色散依据不足；硅则避开多声子吸收显著的低波数区域。</w:t>
      </w:r>
    </w:p>
    <w:p>
      <w:pPr>
        <w:pStyle w:val="a4"/>
      </w:pPr>
      <w:r>
        <w:rPr/>
        <w:t xml:space="preserve">反射率大于100%的记录不被改成物理范围内的假数据；原分析采用降权、剔除与保留策略作比较，异常点降权权重为0.05。附件2的当前文件与最初输入清单存在字节一致性差异，现有结果只能对应其计算时记录的输入与条件，不能宣称已经完成跨副本复现。本文不替换附件、不重新生成计算结果。</w:t>
      </w:r>
    </w:p>
    <w:p>
      <w:pPr>
        <w:pStyle w:val="1"/>
        <w:numPr>
          <w:ilvl w:val="0"/>
          <w:numId w:val="12"/>
        </w:numPr>
      </w:pPr>
      <w:r>
        <w:rPr/>
        <w:t xml:space="preserve">问题1</w:t>
      </w:r>
      <w:r>
        <w:t xml:space="preserve"> </w:t>
      </w:r>
      <w:r>
        <w:rPr/>
        <w:t xml:space="preserve">两光束测厚模型与合成验证</w:t>
      </w:r>
    </w:p>
    <w:p>
      <w:pPr>
        <w:pStyle w:val="2"/>
        <w:numPr>
          <w:ilvl w:val="1"/>
          <w:numId w:val="12"/>
        </w:numPr>
      </w:pPr>
      <w:r>
        <w:rPr/>
        <w:t xml:space="preserve">问题1</w:t>
      </w:r>
      <w:r>
        <w:t xml:space="preserve"> </w:t>
      </w:r>
      <w:r>
        <w:rPr/>
        <w:t xml:space="preserve">问题分析与几何光程差</w:t>
      </w:r>
    </w:p>
    <w:p>
      <w:pPr>
        <w:pStyle w:val="a4"/>
      </w:pPr>
      <w:r>
        <w:rPr/>
        <w:t xml:space="preserve">一束光在空气—外延层界面直接反射，另一束光进入外延层，在衬底界面反射后返回空气。利用Snell定律消去折射角，往返相位写成</w:t>
      </w:r>
    </w:p>
    <w:p>
      <w:pPr>
        <w:pStyle w:val="aff7"/>
      </w:pPr>
      <m:oMathPara>
        <m:oMathParaPr>
          <m:jc m:val="center"/>
        </m:oMathParaPr>
        <m:oMath>
          <m:sSub>
            <m:e>
              <m:r>
                <m:t>n</m:t>
              </m:r>
            </m:e>
            <m:sub>
              <m:r>
                <m:rPr>
                  <m:sty m:val="p"/>
                </m:rPr>
                <m:t>a</m:t>
              </m:r>
              <m:r>
                <m:rPr>
                  <m:sty m:val="p"/>
                </m:rPr>
                <m:t>i</m:t>
              </m:r>
              <m:r>
                <m:rPr>
                  <m:sty m:val="p"/>
                </m:rPr>
                <m:t>r</m:t>
              </m:r>
            </m:sub>
          </m:sSub>
          <m:r>
            <m:rPr>
              <m:sty m:val="p"/>
            </m:rPr>
            <m:t>sin</m:t>
          </m:r>
          <m:r>
            <m:t>θ</m:t>
          </m:r>
          <m:r>
            <m:rPr>
              <m:sty m:val="p"/>
            </m:rPr>
            <m:t>=</m:t>
          </m:r>
          <m:r>
            <m:t>n</m:t>
          </m:r>
          <m:r>
            <m:rPr>
              <m:sty m:val="p"/>
            </m:rPr>
            <m:t>(</m:t>
          </m:r>
          <m:r>
            <m:t>ν</m:t>
          </m:r>
          <m:r>
            <m:rPr>
              <m:sty m:val="p"/>
            </m:rPr>
            <m:t>)</m:t>
          </m:r>
          <m:r>
            <m:rPr>
              <m:sty m:val="p"/>
            </m:rPr>
            <m:t>sin</m:t>
          </m:r>
          <m:sSup>
            <m:e>
              <m:r>
                <m:t>θ</m:t>
              </m:r>
            </m:e>
            <m:sup>
              <m:r>
                <m:rPr>
                  <m:sty m:val="p"/>
                </m:rPr>
                <m:t>′</m:t>
              </m:r>
            </m:sup>
          </m:sSup>
          <m:r>
            <m:rPr>
              <m:sty m:val="p"/>
            </m:rPr>
            <m:t>,</m:t>
          </m:r>
          <m:r>
            <m:t>  </m:t>
          </m:r>
          <m:r>
            <m:rPr>
              <m:sty m:val="p"/>
            </m:rPr>
            <m:t>Δ</m:t>
          </m:r>
          <m:r>
            <m:rPr>
              <m:sty m:val="p"/>
            </m:rPr>
            <m:t>=</m:t>
          </m:r>
          <m:r>
            <m:t>2</m:t>
          </m:r>
          <m:r>
            <m:t>n</m:t>
          </m:r>
          <m:r>
            <m:t>t</m:t>
          </m:r>
          <m:r>
            <m:rPr>
              <m:sty m:val="p"/>
            </m:rPr>
            <m:t>cos</m:t>
          </m:r>
          <m:sSup>
            <m:e>
              <m:r>
                <m:t>θ</m:t>
              </m:r>
            </m:e>
            <m:sup>
              <m:r>
                <m:rPr>
                  <m:sty m:val="p"/>
                </m:rPr>
                <m:t>′</m:t>
              </m:r>
            </m:sup>
          </m:sSup>
          <m:r>
            <m:rPr>
              <m:sty m:val="p"/>
            </m:rPr>
            <m:t>=</m:t>
          </m:r>
          <m:r>
            <m:t>2</m:t>
          </m:r>
          <m:r>
            <m:t>t</m:t>
          </m:r>
          <m:rad>
            <m:radPr>
              <m:degHide m:val="on"/>
            </m:radPr>
            <m:deg/>
            <m:e>
              <m:r>
                <m:t>n</m:t>
              </m:r>
              <m:r>
                <m:rPr>
                  <m:sty m:val="p"/>
                </m:rPr>
                <m:t>(</m:t>
              </m:r>
              <m:r>
                <m:t>ν</m:t>
              </m:r>
              <m:sSup>
                <m:e>
                  <m:r>
                    <m:rPr>
                      <m:sty m:val="p"/>
                    </m:rPr>
                    <m:t>)</m:t>
                  </m:r>
                </m:e>
                <m:sup>
                  <m:r>
                    <m:t>2</m:t>
                  </m:r>
                </m:sup>
              </m:sSup>
              <m:r>
                <m:rPr>
                  <m:sty m:val="p"/>
                </m:rPr>
                <m:t>−</m:t>
              </m:r>
              <m:sSup>
                <m:e>
                  <m:r>
                    <m:rPr>
                      <m:sty m:val="p"/>
                    </m:rPr>
                    <m:t>sin</m:t>
                  </m:r>
                </m:e>
                <m:sup>
                  <m:r>
                    <m:t>2</m:t>
                  </m:r>
                </m:sup>
              </m:sSup>
              <m:r>
                <m:t>θ</m:t>
              </m:r>
            </m:e>
          </m:rad>
          <m:r>
            <m:rPr>
              <m:sty m:val="p"/>
            </m:rPr>
            <m:t>,</m:t>
          </m:r>
        </m:oMath>
      </m:oMathPara>
    </w:p>
    <w:p>
      <w:pPr>
        <w:pStyle w:val="a4"/>
      </w:pPr>
      <w:r>
        <w:rPr/>
        <w:t xml:space="preserve">其中取</w:t>
      </w:r>
      <w:r>
        <w:t xml:space="preserve"> </w:t>
      </w:r>
      <m:oMath>
        <m:sSub>
          <m:e>
            <m:r>
              <m:t>n</m:t>
            </m:r>
          </m:e>
          <m:sub>
            <m:r>
              <m:rPr>
                <m:sty m:val="p"/>
              </m:rPr>
              <m:t>a</m:t>
            </m:r>
            <m:r>
              <m:rPr>
                <m:sty m:val="p"/>
              </m:rPr>
              <m:t>i</m:t>
            </m:r>
            <m:r>
              <m:rPr>
                <m:sty m:val="p"/>
              </m:rPr>
              <m:t>r</m:t>
            </m:r>
          </m:sub>
        </m:sSub>
        <m:r>
          <m:rPr>
            <m:sty m:val="p"/>
          </m:rPr>
          <m:t>=</m:t>
        </m:r>
        <m:r>
          <m:t>1</m:t>
        </m:r>
      </m:oMath>
      <w:r>
        <w:rPr/>
        <w:t xml:space="preserve">。厚度以μm、波数以cm⁻¹计时，必须保留单位换算因子：</w:t>
      </w:r>
    </w:p>
    <w:p>
      <w:pPr>
        <w:pStyle w:val="aff7"/>
      </w:pPr>
      <m:oMathPara>
        <m:oMathParaPr>
          <m:jc m:val="center"/>
        </m:oMathParaPr>
        <m:oMath>
          <m:r>
            <m:t>δ</m:t>
          </m:r>
          <m:r>
            <m:rPr>
              <m:sty m:val="p"/>
            </m:rPr>
            <m:t>(</m:t>
          </m:r>
          <m:r>
            <m:t>ν</m:t>
          </m:r>
          <m:r>
            <m:rPr>
              <m:sty m:val="p"/>
            </m:rPr>
            <m:t>)</m:t>
          </m:r>
          <m:r>
            <m:rPr>
              <m:sty m:val="p"/>
            </m:rPr>
            <m:t>=</m:t>
          </m:r>
          <m:r>
            <m:t>4</m:t>
          </m:r>
          <m:r>
            <m:t>π</m:t>
          </m:r>
          <m:r>
            <m:rPr>
              <m:sty m:val="p"/>
            </m:rPr>
            <m:t>×</m:t>
          </m:r>
          <m:sSup>
            <m:e>
              <m:r>
                <m:t>10</m:t>
              </m:r>
            </m:e>
            <m:sup>
              <m:r>
                <m:rPr>
                  <m:sty m:val="p"/>
                </m:rPr>
                <m:t>−</m:t>
              </m:r>
              <m:r>
                <m:t>4</m:t>
              </m:r>
            </m:sup>
          </m:sSup>
          <m:r>
            <m:t> </m:t>
          </m:r>
          <m:r>
            <m:t>t</m:t>
          </m:r>
          <m:r>
            <m:t> </m:t>
          </m:r>
          <m:r>
            <m:t>n</m:t>
          </m:r>
          <m:r>
            <m:rPr>
              <m:sty m:val="p"/>
            </m:rPr>
            <m:t>(</m:t>
          </m:r>
          <m:r>
            <m:t>ν</m:t>
          </m:r>
          <m:r>
            <m:rPr>
              <m:sty m:val="p"/>
            </m:rPr>
            <m:t>)</m:t>
          </m:r>
          <m:r>
            <m:t>ν</m:t>
          </m:r>
          <m:r>
            <m:rPr>
              <m:sty m:val="p"/>
            </m:rPr>
            <m:t>cos</m:t>
          </m:r>
          <m:sSup>
            <m:e>
              <m:r>
                <m:t>θ</m:t>
              </m:r>
            </m:e>
            <m:sup>
              <m:r>
                <m:rPr>
                  <m:sty m:val="p"/>
                </m:rPr>
                <m:t>′</m:t>
              </m:r>
            </m:sup>
          </m:sSup>
          <m:r>
            <m:rPr>
              <m:sty m:val="p"/>
            </m:rPr>
            <m:t>.</m:t>
          </m:r>
        </m:oMath>
      </m:oMathPara>
    </w:p>
    <w:p>
      <w:pPr>
        <w:pStyle w:val="a4"/>
      </w:pPr>
      <w:r>
        <w:rPr/>
        <w:t xml:space="preserve">若遗漏</w:t>
      </w:r>
      <w:r>
        <w:t xml:space="preserve"> </w:t>
      </w:r>
      <m:oMath>
        <m:sSup>
          <m:e>
            <m:r>
              <m:t>10</m:t>
            </m:r>
          </m:e>
          <m:sup>
            <m:r>
              <m:rPr>
                <m:sty m:val="p"/>
              </m:rPr>
              <m:t>−</m:t>
            </m:r>
            <m:r>
              <m:t>4</m:t>
            </m:r>
          </m:sup>
        </m:sSup>
      </m:oMath>
      <w:r>
        <w:rPr/>
        <w:t xml:space="preserve">，即使数值程序收敛，也不具有正确的物理量纲。</w:t>
      </w:r>
    </w:p>
    <w:p>
      <w:pPr>
        <w:pStyle w:val="2"/>
        <w:numPr>
          <w:ilvl w:val="1"/>
          <w:numId w:val="12"/>
        </w:numPr>
      </w:pPr>
      <w:r>
        <w:rPr/>
        <w:t xml:space="preserve">问题1</w:t>
      </w:r>
      <w:r>
        <w:t xml:space="preserve"> </w:t>
      </w:r>
      <w:r>
        <w:rPr/>
        <w:t xml:space="preserve">反射率与色散修正</w:t>
      </w:r>
    </w:p>
    <w:p>
      <w:pPr>
        <w:pStyle w:val="a4"/>
      </w:pPr>
      <w:r>
        <w:rPr/>
        <w:t xml:space="preserve">以</w:t>
      </w:r>
      <w:r>
        <w:t xml:space="preserve"> </w:t>
      </w:r>
      <m:oMath>
        <m:sSub>
          <m:e>
            <m:r>
              <m:t>R</m:t>
            </m:r>
          </m:e>
          <m:sub>
            <m:r>
              <m:t>01</m:t>
            </m:r>
          </m:sub>
        </m:sSub>
      </m:oMath>
      <w:r>
        <w:t xml:space="preserve">、</w:t>
      </w:r>
      <m:oMath>
        <m:sSub>
          <m:e>
            <m:r>
              <m:t>R</m:t>
            </m:r>
          </m:e>
          <m:sub>
            <m:r>
              <m:t>12</m:t>
            </m:r>
          </m:sub>
        </m:sSub>
      </m:oMath>
      <w:r>
        <w:t xml:space="preserve"> </w:t>
      </w:r>
      <w:r>
        <w:rPr/>
        <w:t xml:space="preserve">表示由Fresnel关系得到的界面强度反射率，两光束近似为</w:t>
      </w:r>
    </w:p>
    <w:p>
      <w:pPr>
        <w:pStyle w:val="aff7"/>
      </w:pPr>
      <m:oMathPara>
        <m:oMathParaPr>
          <m:jc m:val="center"/>
        </m:oMathParaPr>
        <m:oMath>
          <m:sSub>
            <m:e>
              <m:r>
                <m:t>R</m:t>
              </m:r>
            </m:e>
            <m:sub>
              <m:r>
                <m:t>2</m:t>
              </m:r>
              <m:r>
                <m:t>b</m:t>
              </m:r>
            </m:sub>
          </m:sSub>
          <m:r>
            <m:rPr>
              <m:sty m:val="p"/>
            </m:rPr>
            <m:t>=</m:t>
          </m:r>
          <m:sSub>
            <m:e>
              <m:r>
                <m:t>R</m:t>
              </m:r>
            </m:e>
            <m:sub>
              <m:r>
                <m:t>01</m:t>
              </m:r>
            </m:sub>
          </m:sSub>
          <m:r>
            <m:rPr>
              <m:sty m:val="p"/>
            </m:rPr>
            <m:t>+</m:t>
          </m:r>
          <m:r>
            <m:rPr>
              <m:sty m:val="p"/>
            </m:rPr>
            <m:t>(</m:t>
          </m:r>
          <m:r>
            <m:t>1</m:t>
          </m:r>
          <m:r>
            <m:rPr>
              <m:sty m:val="p"/>
            </m:rPr>
            <m:t>−</m:t>
          </m:r>
          <m:sSub>
            <m:e>
              <m:r>
                <m:t>R</m:t>
              </m:r>
            </m:e>
            <m:sub>
              <m:r>
                <m:t>01</m:t>
              </m:r>
            </m:sub>
          </m:sSub>
          <m:sSup>
            <m:e>
              <m:r>
                <m:rPr>
                  <m:sty m:val="p"/>
                </m:rPr>
                <m:t>)</m:t>
              </m:r>
            </m:e>
            <m:sup>
              <m:r>
                <m:t>2</m:t>
              </m:r>
            </m:sup>
          </m:sSup>
          <m:sSub>
            <m:e>
              <m:r>
                <m:t>R</m:t>
              </m:r>
            </m:e>
            <m:sub>
              <m:r>
                <m:t>12</m:t>
              </m:r>
            </m:sub>
          </m:sSub>
          <m:r>
            <m:rPr>
              <m:sty m:val="p"/>
            </m:rPr>
            <m:t>+</m:t>
          </m:r>
          <m:r>
            <m:t>2</m:t>
          </m:r>
          <m:r>
            <m:rPr>
              <m:sty m:val="p"/>
            </m:rPr>
            <m:t>(</m:t>
          </m:r>
          <m:r>
            <m:t>1</m:t>
          </m:r>
          <m:r>
            <m:rPr>
              <m:sty m:val="p"/>
            </m:rPr>
            <m:t>−</m:t>
          </m:r>
          <m:sSub>
            <m:e>
              <m:r>
                <m:t>R</m:t>
              </m:r>
            </m:e>
            <m:sub>
              <m:r>
                <m:t>01</m:t>
              </m:r>
            </m:sub>
          </m:sSub>
          <m:r>
            <m:rPr>
              <m:sty m:val="p"/>
            </m:rPr>
            <m:t>)</m:t>
          </m:r>
          <m:rad>
            <m:radPr>
              <m:degHide m:val="on"/>
            </m:radPr>
            <m:deg/>
            <m:e>
              <m:sSub>
                <m:e>
                  <m:r>
                    <m:t>R</m:t>
                  </m:r>
                </m:e>
                <m:sub>
                  <m:r>
                    <m:t>01</m:t>
                  </m:r>
                </m:sub>
              </m:sSub>
              <m:sSub>
                <m:e>
                  <m:r>
                    <m:t>R</m:t>
                  </m:r>
                </m:e>
                <m:sub>
                  <m:r>
                    <m:t>12</m:t>
                  </m:r>
                </m:sub>
              </m:sSub>
            </m:e>
          </m:rad>
          <m:r>
            <m:rPr>
              <m:sty m:val="p"/>
            </m:rPr>
            <m:t>cos</m:t>
          </m:r>
          <m:r>
            <m:t>δ</m:t>
          </m:r>
          <m:r>
            <m:rPr>
              <m:sty m:val="p"/>
            </m:rPr>
            <m:t>.</m:t>
          </m:r>
        </m:oMath>
      </m:oMathPara>
    </w:p>
    <w:p>
      <w:pPr>
        <w:pStyle w:val="a4"/>
      </w:pPr>
      <w:r>
        <w:rPr/>
        <w:t xml:space="preserve">反射相位的常数跃变按界面约定处理；未指定偏振时使用两种偏振结果的平均。界面反射率不能替代材料色散，后者会直接影响相位积累</w:t>
      </w:r>
      <w:r>
        <w:t xml:space="preserve"> [8]、[9]、[10]、[11]。</w:t>
      </w:r>
    </w:p>
    <w:p>
      <w:pPr>
        <w:pStyle w:val="a4"/>
      </w:pPr>
      <w:r>
        <w:rPr/>
        <w:t xml:space="preserve">定义</w:t>
      </w:r>
      <w:r>
        <w:t xml:space="preserve"> </w:t>
      </w:r>
      <m:oMath>
        <m:r>
          <m:t>g</m:t>
        </m:r>
        <m:r>
          <m:rPr>
            <m:sty m:val="p"/>
          </m:rPr>
          <m:t>(</m:t>
        </m:r>
        <m:r>
          <m:t>ν</m:t>
        </m:r>
        <m:r>
          <m:rPr>
            <m:sty m:val="p"/>
          </m:rPr>
          <m:t>)</m:t>
        </m:r>
        <m:r>
          <m:rPr>
            <m:sty m:val="p"/>
          </m:rPr>
          <m:t>=</m:t>
        </m:r>
        <m:r>
          <m:t>n</m:t>
        </m:r>
        <m:r>
          <m:rPr>
            <m:sty m:val="p"/>
          </m:rPr>
          <m:t>(</m:t>
        </m:r>
        <m:r>
          <m:t>ν</m:t>
        </m:r>
        <m:r>
          <m:rPr>
            <m:sty m:val="p"/>
          </m:rPr>
          <m:t>)</m:t>
        </m:r>
        <m:r>
          <m:t>ν</m:t>
        </m:r>
        <m:r>
          <m:rPr>
            <m:sty m:val="p"/>
          </m:rPr>
          <m:t>cos</m:t>
        </m:r>
        <m:sSup>
          <m:e>
            <m:r>
              <m:t>θ</m:t>
            </m:r>
          </m:e>
          <m:sup>
            <m:r>
              <m:rPr>
                <m:sty m:val="p"/>
              </m:rPr>
              <m:t>′</m:t>
            </m:r>
          </m:sup>
        </m:sSup>
        <m:r>
          <m:rPr>
            <m:sty m:val="p"/>
          </m:rPr>
          <m:t>(</m:t>
        </m:r>
        <m:r>
          <m:t>ν</m:t>
        </m:r>
        <m:r>
          <m:rPr>
            <m:sty m:val="p"/>
          </m:rPr>
          <m:t>)</m:t>
        </m:r>
      </m:oMath>
      <w:r>
        <w:rPr/>
        <w:t xml:space="preserve">。在振幅缓变且峰谷可可靠定位的条件下，同型相邻极值满足</w:t>
      </w:r>
    </w:p>
    <w:p>
      <w:pPr>
        <w:pStyle w:val="aff7"/>
      </w:pPr>
      <m:oMathPara>
        <m:oMathParaPr>
          <m:jc m:val="center"/>
        </m:oMathParaPr>
        <m:oMath>
          <m:r>
            <m:rPr>
              <m:sty m:val="p"/>
            </m:rPr>
            <m:t>Δ</m:t>
          </m:r>
          <m:r>
            <m:t>δ</m:t>
          </m:r>
          <m:r>
            <m:rPr>
              <m:sty m:val="p"/>
            </m:rPr>
            <m:t>=</m:t>
          </m:r>
          <m:r>
            <m:t>2</m:t>
          </m:r>
          <m:r>
            <m:t>π</m:t>
          </m:r>
          <m:r>
            <m:rPr>
              <m:sty m:val="p"/>
            </m:rPr>
            <m:t>,</m:t>
          </m:r>
          <m:r>
            <m:t>  </m:t>
          </m:r>
          <m:r>
            <m:t>t</m:t>
          </m:r>
          <m:r>
            <m:rPr>
              <m:sty m:val="p"/>
            </m:rPr>
            <m:t>=</m:t>
          </m:r>
          <m:f>
            <m:fPr>
              <m:type m:val="bar"/>
            </m:fPr>
            <m:num>
              <m:sSup>
                <m:e>
                  <m:r>
                    <m:t>10</m:t>
                  </m:r>
                </m:e>
                <m:sup>
                  <m:r>
                    <m:t>4</m:t>
                  </m:r>
                </m:sup>
              </m:sSup>
            </m:num>
            <m:den>
              <m:r>
                <m:t>2</m:t>
              </m:r>
              <m:r>
                <m:t> </m:t>
              </m:r>
              <m:r>
                <m:rPr>
                  <m:sty m:val="p"/>
                </m:rPr>
                <m:t>[</m:t>
              </m:r>
              <m:r>
                <m:t>g</m:t>
              </m:r>
              <m:r>
                <m:rPr>
                  <m:sty m:val="p"/>
                </m:rPr>
                <m:t>(</m:t>
              </m:r>
              <m:sSub>
                <m:e>
                  <m:r>
                    <m:t>ν</m:t>
                  </m:r>
                </m:e>
                <m:sub>
                  <m:r>
                    <m:t>m</m:t>
                  </m:r>
                  <m:r>
                    <m:rPr>
                      <m:sty m:val="p"/>
                    </m:rPr>
                    <m:t>+</m:t>
                  </m:r>
                  <m:r>
                    <m:t>2</m:t>
                  </m:r>
                </m:sub>
              </m:sSub>
              <m:r>
                <m:rPr>
                  <m:sty m:val="p"/>
                </m:rPr>
                <m:t>)</m:t>
              </m:r>
              <m:r>
                <m:rPr>
                  <m:sty m:val="p"/>
                </m:rPr>
                <m:t>−</m:t>
              </m:r>
              <m:r>
                <m:t>g</m:t>
              </m:r>
              <m:r>
                <m:rPr>
                  <m:sty m:val="p"/>
                </m:rPr>
                <m:t>(</m:t>
              </m:r>
              <m:sSub>
                <m:e>
                  <m:r>
                    <m:t>ν</m:t>
                  </m:r>
                </m:e>
                <m:sub>
                  <m:r>
                    <m:t>m</m:t>
                  </m:r>
                </m:sub>
              </m:sSub>
              <m:r>
                <m:rPr>
                  <m:sty m:val="p"/>
                </m:rPr>
                <m:t>)</m:t>
              </m:r>
              <m:r>
                <m:rPr>
                  <m:sty m:val="p"/>
                </m:rPr>
                <m:t>]</m:t>
              </m:r>
            </m:den>
          </m:f>
          <m:r>
            <m:rPr>
              <m:sty m:val="p"/>
            </m:rPr>
            <m:t>.</m:t>
          </m:r>
        </m:oMath>
      </m:oMathPara>
    </w:p>
    <w:p>
      <w:pPr>
        <w:pStyle w:val="a4"/>
      </w:pPr>
      <w:r>
        <w:rPr/>
        <w:t xml:space="preserve">当折射率近似常数时，该式退化为</w:t>
      </w:r>
    </w:p>
    <w:p>
      <w:pPr>
        <w:pStyle w:val="aff7"/>
      </w:pPr>
      <m:oMathPara>
        <m:oMathParaPr>
          <m:jc m:val="center"/>
        </m:oMathParaPr>
        <m:oMath>
          <m:r>
            <m:t>t</m:t>
          </m:r>
          <m:r>
            <m:rPr>
              <m:sty m:val="p"/>
            </m:rPr>
            <m:t>≈</m:t>
          </m:r>
          <m:f>
            <m:fPr>
              <m:type m:val="bar"/>
            </m:fPr>
            <m:num>
              <m:sSup>
                <m:e>
                  <m:r>
                    <m:t>10</m:t>
                  </m:r>
                </m:e>
                <m:sup>
                  <m:r>
                    <m:t>4</m:t>
                  </m:r>
                </m:sup>
              </m:sSup>
            </m:num>
            <m:den>
              <m:r>
                <m:t>2</m:t>
              </m:r>
              <m:r>
                <m:t>n</m:t>
              </m:r>
              <m:r>
                <m:rPr>
                  <m:sty m:val="p"/>
                </m:rPr>
                <m:t>cos</m:t>
              </m:r>
              <m:sSup>
                <m:e>
                  <m:r>
                    <m:t>θ</m:t>
                  </m:r>
                </m:e>
                <m:sup>
                  <m:r>
                    <m:rPr>
                      <m:sty m:val="p"/>
                    </m:rPr>
                    <m:t>′</m:t>
                  </m:r>
                </m:sup>
              </m:sSup>
              <m:r>
                <m:t> </m:t>
              </m:r>
              <m:r>
                <m:rPr>
                  <m:sty m:val="p"/>
                </m:rPr>
                <m:t>Δ</m:t>
              </m:r>
              <m:r>
                <m:t>ν</m:t>
              </m:r>
            </m:den>
          </m:f>
          <m:r>
            <m:rPr>
              <m:sty m:val="p"/>
            </m:rPr>
            <m:t>.</m:t>
          </m:r>
        </m:oMath>
      </m:oMathPara>
    </w:p>
    <w:p>
      <w:pPr>
        <w:pStyle w:val="a4"/>
      </w:pPr>
      <w:r>
        <w:rPr/>
        <w:t xml:space="preserve">这里的间隔是峰—峰或谷—谷间隔，不是相邻峰谷之间的半周期。涉及厚度与折射率共同估计的干涉条纹方法可作为背景参考</w:t>
      </w:r>
      <w:r>
        <w:t xml:space="preserve"> </w:t>
      </w:r>
      <w:r>
        <w:rPr/>
        <w:t xml:space="preserve">[18]，但本文不据此忽略实测峰检出的噪声问题。</w:t>
      </w:r>
    </w:p>
    <w:p>
      <w:pPr>
        <w:pStyle w:val="2"/>
        <w:numPr>
          <w:ilvl w:val="1"/>
          <w:numId w:val="12"/>
        </w:numPr>
      </w:pPr>
      <w:r>
        <w:rPr/>
        <w:t xml:space="preserve">问题1</w:t>
      </w:r>
      <w:r>
        <w:t xml:space="preserve"> </w:t>
      </w:r>
      <w:r>
        <w:rPr/>
        <w:t xml:space="preserve">求解与结果解释</w:t>
      </w:r>
    </w:p>
    <w:p>
      <w:pPr>
        <w:pStyle w:val="a4"/>
      </w:pPr>
      <w:r>
        <w:rPr/>
        <w:t xml:space="preserve">合成场景设置</w:t>
      </w:r>
      <w:r>
        <w:t xml:space="preserve"> </w:t>
      </w:r>
      <m:oMath>
        <m:sSub>
          <m:e>
            <m:r>
              <m:t>t</m:t>
            </m:r>
          </m:e>
          <m:sub>
            <m:r>
              <m:rPr>
                <m:sty m:val="p"/>
              </m:rPr>
              <m:t>t</m:t>
            </m:r>
            <m:r>
              <m:rPr>
                <m:sty m:val="p"/>
              </m:rPr>
              <m:t>r</m:t>
            </m:r>
            <m:r>
              <m:rPr>
                <m:sty m:val="p"/>
              </m:rPr>
              <m:t>u</m:t>
            </m:r>
            <m:r>
              <m:rPr>
                <m:sty m:val="p"/>
              </m:rPr>
              <m:t>e</m:t>
            </m:r>
          </m:sub>
        </m:sSub>
        <m:r>
          <m:rPr>
            <m:sty m:val="p"/>
          </m:rPr>
          <m:t>=</m:t>
        </m:r>
        <m:r>
          <m:t>10</m:t>
        </m:r>
        <m:r>
          <m:t> </m:t>
        </m:r>
        <m:r>
          <m:t>μ</m:t>
        </m:r>
        <m:r>
          <m:rPr>
            <m:sty m:val="p"/>
          </m:rPr>
          <m:t>m</m:t>
        </m:r>
      </m:oMath>
      <w:r>
        <w:t xml:space="preserve">、</w:t>
      </w:r>
      <m:oMath>
        <m:sSub>
          <m:e>
            <m:r>
              <m:t>n</m:t>
            </m:r>
          </m:e>
          <m:sub>
            <m:r>
              <m:rPr>
                <m:sty m:val="p"/>
              </m:rPr>
              <m:t>s</m:t>
            </m:r>
            <m:r>
              <m:rPr>
                <m:sty m:val="p"/>
              </m:rPr>
              <m:t>u</m:t>
            </m:r>
            <m:r>
              <m:rPr>
                <m:sty m:val="p"/>
              </m:rPr>
              <m:t>b</m:t>
            </m:r>
          </m:sub>
        </m:sSub>
        <m:r>
          <m:rPr>
            <m:sty m:val="p"/>
          </m:rPr>
          <m:t>=</m:t>
        </m:r>
        <m:r>
          <m:t>3.0</m:t>
        </m:r>
      </m:oMath>
      <w:r>
        <w:rPr/>
        <w:t xml:space="preserve">，分别比较常数折射率间隔法、色散化相位法和全谱非线性最小二乘。相位法约10.002</w:t>
      </w:r>
      <w:r>
        <w:t xml:space="preserve"> </w:t>
      </w:r>
      <w:r>
        <w:rPr/>
        <w:t xml:space="preserve">μm，全谱拟合约10.000</w:t>
      </w:r>
      <w:r>
        <w:t xml:space="preserve"> </w:t>
      </w:r>
      <w:r>
        <w:rPr/>
        <w:t xml:space="preserve">μm；常数折射率方案产生约4%的系统偏差。合成真值已知，所以这些结果可以用来检验反演一致性；实测晶圆没有独立真值，不能照搬这一精度措辞。</w:t>
      </w:r>
    </w:p>
    <w:p>
      <w:pPr>
        <w:pStyle w:val="aff1"/>
      </w:pPr>
      <w:r>
        <w:drawing>
          <wp:inline>
            <wp:extent cx="5753100" cy="3649381"/>
            <wp:effectExtent b="0" l="0" r="0" t="0"/>
            <wp:docPr descr="图1 合成两光束反射率谱与极值位置" title="图1 合成两光束反射率谱与极值位置" id="30" name="图1"/>
            <a:graphic>
              <a:graphicData uri="http://schemas.openxmlformats.org/drawingml/2006/picture">
                <pic:pic>
                  <pic:nvPicPr>
                    <pic:cNvPr descr="图1 合成两光束反射率谱与极值位置" id="31" name="图1"/>
                    <pic:cNvPicPr>
                      <a:picLocks noChangeArrowheads="1" noChangeAspect="1"/>
                    </pic:cNvPicPr>
                  </pic:nvPicPr>
                  <pic:blipFill>
                    <a:blip r:embed="rId29"/>
                    <a:stretch>
                      <a:fillRect/>
                    </a:stretch>
                  </pic:blipFill>
                  <pic:spPr bwMode="auto">
                    <a:xfrm>
                      <a:off x="0" y="0"/>
                      <a:ext cx="5753100" cy="3649381"/>
                    </a:xfrm>
                    <a:prstGeom prst="rect">
                      <a:avLst/>
                    </a:prstGeom>
                    <a:noFill/>
                    <a:ln w="9525">
                      <a:noFill/>
                      <a:headEnd/>
                      <a:tailEnd/>
                    </a:ln>
                  </pic:spPr>
                </pic:pic>
              </a:graphicData>
            </a:graphic>
          </wp:inline>
        </w:drawing>
      </w:r>
    </w:p>
    <w:p>
      <w:pPr>
        <w:pStyle w:val="a1"/>
        <w:numPr>
          <w:ilvl w:val="8"/>
          <w:numId w:val="15"/>
        </w:numPr>
      </w:pPr>
      <w:r>
        <w:rPr/>
        <w:t xml:space="preserve">合成两光束反射率谱与极值位置</w:t>
      </w:r>
    </w:p>
    <w:p>
      <w:pPr>
        <w:pStyle w:val="a4"/>
      </w:pPr>
      <w:r>
        <w:rPr/>
        <w:t xml:space="preserve">图1</w:t>
      </w:r>
      <w:r>
        <w:t xml:space="preserve"> </w:t>
      </w:r>
      <w:r>
        <w:rPr/>
        <w:t xml:space="preserve">给出厚度真值为10</w:t>
      </w:r>
      <w:r>
        <w:t xml:space="preserve"> </w:t>
      </w:r>
      <w:r>
        <w:rPr/>
        <w:t xml:space="preserve">μm的合成光谱。两种角度的条纹位置随折射角发生系统变化；合成数据用于检验公式与求解程序，不能视为实际晶圆测量。</w:t>
      </w:r>
    </w:p>
    <w:p>
      <w:pPr>
        <w:pStyle w:val="aff1"/>
      </w:pPr>
      <w:r>
        <w:drawing>
          <wp:inline>
            <wp:extent cx="5753100" cy="3923570"/>
            <wp:effectExtent b="0" l="0" r="0" t="0"/>
            <wp:docPr descr="图2 碳化硅折射率的波数依赖与适用谱段" title="图2 碳化硅折射率的波数依赖与适用谱段" id="33" name="图2"/>
            <a:graphic>
              <a:graphicData uri="http://schemas.openxmlformats.org/drawingml/2006/picture">
                <pic:pic>
                  <pic:nvPicPr>
                    <pic:cNvPr descr="图2 碳化硅折射率的波数依赖与适用谱段" id="34" name="图2"/>
                    <pic:cNvPicPr>
                      <a:picLocks noChangeArrowheads="1" noChangeAspect="1"/>
                    </pic:cNvPicPr>
                  </pic:nvPicPr>
                  <pic:blipFill>
                    <a:blip r:embed="rId32"/>
                    <a:stretch>
                      <a:fillRect/>
                    </a:stretch>
                  </pic:blipFill>
                  <pic:spPr bwMode="auto">
                    <a:xfrm>
                      <a:off x="0" y="0"/>
                      <a:ext cx="5753100" cy="3923570"/>
                    </a:xfrm>
                    <a:prstGeom prst="rect">
                      <a:avLst/>
                    </a:prstGeom>
                    <a:noFill/>
                    <a:ln w="9525">
                      <a:noFill/>
                      <a:headEnd/>
                      <a:tailEnd/>
                    </a:ln>
                  </pic:spPr>
                </pic:pic>
              </a:graphicData>
            </a:graphic>
          </wp:inline>
        </w:drawing>
      </w:r>
    </w:p>
    <w:p>
      <w:pPr>
        <w:pStyle w:val="a1"/>
        <w:numPr>
          <w:ilvl w:val="8"/>
          <w:numId w:val="15"/>
        </w:numPr>
      </w:pPr>
      <w:r>
        <w:rPr/>
        <w:t xml:space="preserve">碳化硅折射率的波数依赖与适用谱段</w:t>
      </w:r>
    </w:p>
    <w:p>
      <w:pPr>
        <w:pStyle w:val="a4"/>
      </w:pPr>
      <w:r>
        <w:rPr/>
        <w:t xml:space="preserve">图2</w:t>
      </w:r>
      <w:r>
        <w:t xml:space="preserve"> </w:t>
      </w:r>
      <w:r>
        <w:rPr/>
        <w:t xml:space="preserve">显示色散曲线及其适用边界。不能把谱段外的常数延伸当作文献已证实的材料规律；实测反演因此限于色散信息有依据的波段。</w:t>
      </w:r>
    </w:p>
    <w:p>
      <w:pPr>
        <w:pStyle w:val="aff1"/>
      </w:pPr>
      <w:r>
        <w:drawing>
          <wp:inline>
            <wp:extent cx="5753100" cy="2944925"/>
            <wp:effectExtent b="0" l="0" r="0" t="0"/>
            <wp:docPr descr="图3 相位函数与同型极值间隔" title="图3 相位函数与同型极值间隔" id="36" name="图3"/>
            <a:graphic>
              <a:graphicData uri="http://schemas.openxmlformats.org/drawingml/2006/picture">
                <pic:pic>
                  <pic:nvPicPr>
                    <pic:cNvPr descr="图3 相位函数与同型极值间隔" id="37" name="图3"/>
                    <pic:cNvPicPr>
                      <a:picLocks noChangeArrowheads="1" noChangeAspect="1"/>
                    </pic:cNvPicPr>
                  </pic:nvPicPr>
                  <pic:blipFill>
                    <a:blip r:embed="rId35"/>
                    <a:stretch>
                      <a:fillRect/>
                    </a:stretch>
                  </pic:blipFill>
                  <pic:spPr bwMode="auto">
                    <a:xfrm>
                      <a:off x="0" y="0"/>
                      <a:ext cx="5753100" cy="2944925"/>
                    </a:xfrm>
                    <a:prstGeom prst="rect">
                      <a:avLst/>
                    </a:prstGeom>
                    <a:noFill/>
                    <a:ln w="9525">
                      <a:noFill/>
                      <a:headEnd/>
                      <a:tailEnd/>
                    </a:ln>
                  </pic:spPr>
                </pic:pic>
              </a:graphicData>
            </a:graphic>
          </wp:inline>
        </w:drawing>
      </w:r>
    </w:p>
    <w:p>
      <w:pPr>
        <w:pStyle w:val="a1"/>
        <w:numPr>
          <w:ilvl w:val="8"/>
          <w:numId w:val="15"/>
        </w:numPr>
      </w:pPr>
      <w:r>
        <w:rPr/>
        <w:t xml:space="preserve">相位函数与同型极值间隔</w:t>
      </w:r>
    </w:p>
    <w:p>
      <w:pPr>
        <w:pStyle w:val="a4"/>
      </w:pPr>
      <w:r>
        <w:rPr/>
        <w:t xml:space="preserve">图3</w:t>
      </w:r>
      <w:r>
        <w:t xml:space="preserve"> </w:t>
      </w:r>
      <w:r>
        <w:rPr/>
        <w:t xml:space="preserve">展示从波数到相位函数坐标的变换。同型峰之间近似恒定的相位函数间隔对应固定厚度，比忽略色散的波数间隔更接近模型前提。</w:t>
      </w:r>
    </w:p>
    <w:p>
      <w:pPr>
        <w:pStyle w:val="aff1"/>
      </w:pPr>
      <w:r>
        <w:drawing>
          <wp:inline>
            <wp:extent cx="5753100" cy="3684527"/>
            <wp:effectExtent b="0" l="0" r="0" t="0"/>
            <wp:docPr descr="图4 三种方法的合成厚度估计" title="图4 三种方法的合成厚度估计" id="39" name="图4"/>
            <a:graphic>
              <a:graphicData uri="http://schemas.openxmlformats.org/drawingml/2006/picture">
                <pic:pic>
                  <pic:nvPicPr>
                    <pic:cNvPr descr="图4 三种方法的合成厚度估计" id="40" name="图4"/>
                    <pic:cNvPicPr>
                      <a:picLocks noChangeArrowheads="1" noChangeAspect="1"/>
                    </pic:cNvPicPr>
                  </pic:nvPicPr>
                  <pic:blipFill>
                    <a:blip r:embed="rId38"/>
                    <a:stretch>
                      <a:fillRect/>
                    </a:stretch>
                  </pic:blipFill>
                  <pic:spPr bwMode="auto">
                    <a:xfrm>
                      <a:off x="0" y="0"/>
                      <a:ext cx="5753100" cy="3684527"/>
                    </a:xfrm>
                    <a:prstGeom prst="rect">
                      <a:avLst/>
                    </a:prstGeom>
                    <a:noFill/>
                    <a:ln w="9525">
                      <a:noFill/>
                      <a:headEnd/>
                      <a:tailEnd/>
                    </a:ln>
                  </pic:spPr>
                </pic:pic>
              </a:graphicData>
            </a:graphic>
          </wp:inline>
        </w:drawing>
      </w:r>
    </w:p>
    <w:p>
      <w:pPr>
        <w:pStyle w:val="a1"/>
        <w:numPr>
          <w:ilvl w:val="8"/>
          <w:numId w:val="15"/>
        </w:numPr>
      </w:pPr>
      <w:r>
        <w:rPr/>
        <w:t xml:space="preserve">三种方法的合成厚度估计</w:t>
      </w:r>
    </w:p>
    <w:p>
      <w:pPr>
        <w:pStyle w:val="a4"/>
      </w:pPr>
      <w:r>
        <w:rPr/>
        <w:t xml:space="preserve">图4</w:t>
      </w:r>
      <w:r>
        <w:t xml:space="preserve"> </w:t>
      </w:r>
      <w:r>
        <w:rPr/>
        <w:t xml:space="preserve">对比常数折射率间隔法、色散化相位法和全谱拟合。前者约4%的偏差来自近似模型，后两者恢复合成真值；这里的精度不代表对实测噪声的无条件保证。</w:t>
      </w:r>
    </w:p>
    <w:p>
      <w:pPr>
        <w:pStyle w:val="aff1"/>
      </w:pPr>
      <w:r>
        <w:drawing>
          <wp:inline>
            <wp:extent cx="5753100" cy="3765255"/>
            <wp:effectExtent b="0" l="0" r="0" t="0"/>
            <wp:docPr descr="图5 忽略色散时的条纹间隔偏差" title="图5 忽略色散时的条纹间隔偏差" id="42" name="图5"/>
            <a:graphic>
              <a:graphicData uri="http://schemas.openxmlformats.org/drawingml/2006/picture">
                <pic:pic>
                  <pic:nvPicPr>
                    <pic:cNvPr descr="图5 忽略色散时的条纹间隔偏差" id="43" name="图5"/>
                    <pic:cNvPicPr>
                      <a:picLocks noChangeArrowheads="1" noChangeAspect="1"/>
                    </pic:cNvPicPr>
                  </pic:nvPicPr>
                  <pic:blipFill>
                    <a:blip r:embed="rId41"/>
                    <a:stretch>
                      <a:fillRect/>
                    </a:stretch>
                  </pic:blipFill>
                  <pic:spPr bwMode="auto">
                    <a:xfrm>
                      <a:off x="0" y="0"/>
                      <a:ext cx="5753100" cy="3765255"/>
                    </a:xfrm>
                    <a:prstGeom prst="rect">
                      <a:avLst/>
                    </a:prstGeom>
                    <a:noFill/>
                    <a:ln w="9525">
                      <a:noFill/>
                      <a:headEnd/>
                      <a:tailEnd/>
                    </a:ln>
                  </pic:spPr>
                </pic:pic>
              </a:graphicData>
            </a:graphic>
          </wp:inline>
        </w:drawing>
      </w:r>
    </w:p>
    <w:p>
      <w:pPr>
        <w:pStyle w:val="a1"/>
        <w:numPr>
          <w:ilvl w:val="8"/>
          <w:numId w:val="15"/>
        </w:numPr>
      </w:pPr>
      <w:r>
        <w:rPr/>
        <w:t xml:space="preserve">忽略色散时的条纹间隔偏差</w:t>
      </w:r>
    </w:p>
    <w:p>
      <w:pPr>
        <w:pStyle w:val="a4"/>
      </w:pPr>
      <w:r>
        <w:rPr/>
        <w:t xml:space="preserve">图5</w:t>
      </w:r>
      <w:r>
        <w:t xml:space="preserve"> </w:t>
      </w:r>
      <w:r>
        <w:rPr/>
        <w:t xml:space="preserve">对比观测间隔与常数折射率近似下的理论间隔。误差具有系统性，增加相同假设下的峰数并不能消除这一偏差。</w:t>
      </w:r>
    </w:p>
    <w:p>
      <w:pPr>
        <w:pStyle w:val="aff1"/>
      </w:pPr>
      <w:r>
        <w:drawing>
          <wp:inline>
            <wp:extent cx="5753100" cy="3562979"/>
            <wp:effectExtent b="0" l="0" r="0" t="0"/>
            <wp:docPr descr="图6 全谱拟合的多初值与周期歧义" title="图6 全谱拟合的多初值与周期歧义" id="45" name="图6"/>
            <a:graphic>
              <a:graphicData uri="http://schemas.openxmlformats.org/drawingml/2006/picture">
                <pic:pic>
                  <pic:nvPicPr>
                    <pic:cNvPr descr="图6 全谱拟合的多初值与周期歧义" id="46" name="图6"/>
                    <pic:cNvPicPr>
                      <a:picLocks noChangeArrowheads="1" noChangeAspect="1"/>
                    </pic:cNvPicPr>
                  </pic:nvPicPr>
                  <pic:blipFill>
                    <a:blip r:embed="rId44"/>
                    <a:stretch>
                      <a:fillRect/>
                    </a:stretch>
                  </pic:blipFill>
                  <pic:spPr bwMode="auto">
                    <a:xfrm>
                      <a:off x="0" y="0"/>
                      <a:ext cx="5753100" cy="3562979"/>
                    </a:xfrm>
                    <a:prstGeom prst="rect">
                      <a:avLst/>
                    </a:prstGeom>
                    <a:noFill/>
                    <a:ln w="9525">
                      <a:noFill/>
                      <a:headEnd/>
                      <a:tailEnd/>
                    </a:ln>
                  </pic:spPr>
                </pic:pic>
              </a:graphicData>
            </a:graphic>
          </wp:inline>
        </w:drawing>
      </w:r>
    </w:p>
    <w:p>
      <w:pPr>
        <w:pStyle w:val="a1"/>
        <w:numPr>
          <w:ilvl w:val="8"/>
          <w:numId w:val="15"/>
        </w:numPr>
      </w:pPr>
      <w:r>
        <w:rPr/>
        <w:t xml:space="preserve">全谱拟合的多初值与周期歧义</w:t>
      </w:r>
    </w:p>
    <w:p>
      <w:pPr>
        <w:pStyle w:val="a4"/>
      </w:pPr>
      <w:r>
        <w:rPr/>
        <w:t xml:space="preserve">图6</w:t>
      </w:r>
      <w:r>
        <w:t xml:space="preserve"> </w:t>
      </w:r>
      <w:r>
        <w:rPr/>
        <w:t xml:space="preserve">显示目标函数存在周期歧义相关的局部极小。多初值策略用于寻找较低残差的候选，不能仅凭一次局部迭代收敛就宣布找到真实厚度。</w:t>
      </w:r>
    </w:p>
    <w:p>
      <w:pPr>
        <w:pStyle w:val="aff1"/>
      </w:pPr>
      <w:r>
        <w:drawing>
          <wp:inline>
            <wp:extent cx="5753100" cy="3492835"/>
            <wp:effectExtent b="0" l="0" r="0" t="0"/>
            <wp:docPr descr="图7 波数与入射角共同作用下的反射率响应" title="图7 波数与入射角共同作用下的反射率响应" id="48" name="图7"/>
            <a:graphic>
              <a:graphicData uri="http://schemas.openxmlformats.org/drawingml/2006/picture">
                <pic:pic>
                  <pic:nvPicPr>
                    <pic:cNvPr descr="图7 波数与入射角共同作用下的反射率响应" id="49" name="图7"/>
                    <pic:cNvPicPr>
                      <a:picLocks noChangeArrowheads="1" noChangeAspect="1"/>
                    </pic:cNvPicPr>
                  </pic:nvPicPr>
                  <pic:blipFill>
                    <a:blip r:embed="rId47"/>
                    <a:stretch>
                      <a:fillRect/>
                    </a:stretch>
                  </pic:blipFill>
                  <pic:spPr bwMode="auto">
                    <a:xfrm>
                      <a:off x="0" y="0"/>
                      <a:ext cx="5753100" cy="3492835"/>
                    </a:xfrm>
                    <a:prstGeom prst="rect">
                      <a:avLst/>
                    </a:prstGeom>
                    <a:noFill/>
                    <a:ln w="9525">
                      <a:noFill/>
                      <a:headEnd/>
                      <a:tailEnd/>
                    </a:ln>
                  </pic:spPr>
                </pic:pic>
              </a:graphicData>
            </a:graphic>
          </wp:inline>
        </w:drawing>
      </w:r>
    </w:p>
    <w:p>
      <w:pPr>
        <w:pStyle w:val="a1"/>
        <w:numPr>
          <w:ilvl w:val="8"/>
          <w:numId w:val="15"/>
        </w:numPr>
      </w:pPr>
      <w:r>
        <w:rPr/>
        <w:t xml:space="preserve">波数与入射角共同作用下的反射率响应</w:t>
      </w:r>
    </w:p>
    <w:p>
      <w:pPr>
        <w:pStyle w:val="a4"/>
      </w:pPr>
      <w:r>
        <w:rPr/>
        <w:t xml:space="preserve">图7</w:t>
      </w:r>
      <w:r>
        <w:t xml:space="preserve"> </w:t>
      </w:r>
      <w:r>
        <w:rPr/>
        <w:t xml:space="preserve">展示厚度固定时波数和角度对反射率的联合影响。响应面是已有模型的条件预测，不增加独立实验样本。</w:t>
      </w:r>
    </w:p>
    <w:p>
      <w:pPr>
        <w:pStyle w:val="2"/>
        <w:numPr>
          <w:ilvl w:val="1"/>
          <w:numId w:val="12"/>
        </w:numPr>
      </w:pPr>
      <w:r>
        <w:rPr/>
        <w:t xml:space="preserve">问题1</w:t>
      </w:r>
      <w:r>
        <w:t xml:space="preserve"> </w:t>
      </w:r>
      <w:r>
        <w:rPr/>
        <w:t xml:space="preserve">可靠性与结论</w:t>
      </w:r>
    </w:p>
    <w:p>
      <w:pPr>
        <w:pStyle w:val="a4"/>
      </w:pPr>
      <w:r>
        <w:rPr/>
        <w:t xml:space="preserve">在既定合成场景中，衬底折射率扰动引起的最大厚度相对误差为0.008%，角度扰动为0.22%，替代色散模型最大偏差为0.96%。噪声试验共600次，全部计入统计，95%区间相对半宽最大为0.022%。这些量评价的是指定扰动范围内的稳定性，不是材料普适误差上界。</w:t>
      </w:r>
    </w:p>
    <w:p>
      <w:pPr>
        <w:pStyle w:val="aff1"/>
      </w:pPr>
      <w:r>
        <w:drawing>
          <wp:inline>
            <wp:extent cx="5753100" cy="3286942"/>
            <wp:effectExtent b="0" l="0" r="0" t="0"/>
            <wp:docPr descr="图8 合成实验的参数敏感性汇总" title="图8 合成实验的参数敏感性汇总" id="51" name="图8"/>
            <a:graphic>
              <a:graphicData uri="http://schemas.openxmlformats.org/drawingml/2006/picture">
                <pic:pic>
                  <pic:nvPicPr>
                    <pic:cNvPr descr="图8 合成实验的参数敏感性汇总" id="52" name="图8"/>
                    <pic:cNvPicPr>
                      <a:picLocks noChangeArrowheads="1" noChangeAspect="1"/>
                    </pic:cNvPicPr>
                  </pic:nvPicPr>
                  <pic:blipFill>
                    <a:blip r:embed="rId50"/>
                    <a:stretch>
                      <a:fillRect/>
                    </a:stretch>
                  </pic:blipFill>
                  <pic:spPr bwMode="auto">
                    <a:xfrm>
                      <a:off x="0" y="0"/>
                      <a:ext cx="5753100" cy="3286942"/>
                    </a:xfrm>
                    <a:prstGeom prst="rect">
                      <a:avLst/>
                    </a:prstGeom>
                    <a:noFill/>
                    <a:ln w="9525">
                      <a:noFill/>
                      <a:headEnd/>
                      <a:tailEnd/>
                    </a:ln>
                  </pic:spPr>
                </pic:pic>
              </a:graphicData>
            </a:graphic>
          </wp:inline>
        </w:drawing>
      </w:r>
    </w:p>
    <w:p>
      <w:pPr>
        <w:pStyle w:val="a1"/>
        <w:numPr>
          <w:ilvl w:val="8"/>
          <w:numId w:val="15"/>
        </w:numPr>
      </w:pPr>
      <w:r>
        <w:rPr/>
        <w:t xml:space="preserve">合成实验的参数敏感性汇总</w:t>
      </w:r>
    </w:p>
    <w:p>
      <w:pPr>
        <w:pStyle w:val="a4"/>
      </w:pPr>
      <w:r>
        <w:rPr/>
        <w:t xml:space="preserve">图8</w:t>
      </w:r>
      <w:r>
        <w:t xml:space="preserve"> </w:t>
      </w:r>
      <w:r>
        <w:rPr/>
        <w:t xml:space="preserve">汇总衬底折射率、角度、色散、噪声和窗口扰动结果。色散选择是需要重点控制的模型因素；各指标需与各自预设阈值比较。</w:t>
      </w:r>
    </w:p>
    <w:p>
      <w:pPr>
        <w:pStyle w:val="aff1"/>
      </w:pPr>
      <w:r>
        <w:drawing>
          <wp:inline>
            <wp:extent cx="5753100" cy="3471761"/>
            <wp:effectExtent b="0" l="0" r="0" t="0"/>
            <wp:docPr descr="图9 不同噪声水平下的合成厚度区间" title="图9 不同噪声水平下的合成厚度区间" id="54" name="图9"/>
            <a:graphic>
              <a:graphicData uri="http://schemas.openxmlformats.org/drawingml/2006/picture">
                <pic:pic>
                  <pic:nvPicPr>
                    <pic:cNvPr descr="图9 不同噪声水平下的合成厚度区间" id="55" name="图9"/>
                    <pic:cNvPicPr>
                      <a:picLocks noChangeArrowheads="1" noChangeAspect="1"/>
                    </pic:cNvPicPr>
                  </pic:nvPicPr>
                  <pic:blipFill>
                    <a:blip r:embed="rId53"/>
                    <a:stretch>
                      <a:fillRect/>
                    </a:stretch>
                  </pic:blipFill>
                  <pic:spPr bwMode="auto">
                    <a:xfrm>
                      <a:off x="0" y="0"/>
                      <a:ext cx="5753100" cy="3471761"/>
                    </a:xfrm>
                    <a:prstGeom prst="rect">
                      <a:avLst/>
                    </a:prstGeom>
                    <a:noFill/>
                    <a:ln w="9525">
                      <a:noFill/>
                      <a:headEnd/>
                      <a:tailEnd/>
                    </a:ln>
                  </pic:spPr>
                </pic:pic>
              </a:graphicData>
            </a:graphic>
          </wp:inline>
        </w:drawing>
      </w:r>
    </w:p>
    <w:p>
      <w:pPr>
        <w:pStyle w:val="a1"/>
        <w:numPr>
          <w:ilvl w:val="8"/>
          <w:numId w:val="15"/>
        </w:numPr>
      </w:pPr>
      <w:r>
        <w:rPr/>
        <w:t xml:space="preserve">不同噪声水平下的合成厚度区间</w:t>
      </w:r>
    </w:p>
    <w:p>
      <w:pPr>
        <w:pStyle w:val="a4"/>
      </w:pPr>
      <w:r>
        <w:rPr/>
        <w:t xml:space="preserve">图9</w:t>
      </w:r>
      <w:r>
        <w:t xml:space="preserve"> </w:t>
      </w:r>
      <w:r>
        <w:rPr/>
        <w:t xml:space="preserve">给出0.5%、1.0%、2.0%噪声场景的95%区间。全部600次重复均计入统计，最宽相对半宽为0.022%；这仍是给定合成噪声机制下的结论。</w:t>
      </w:r>
    </w:p>
    <w:p>
      <w:pPr>
        <w:pStyle w:val="aff1"/>
      </w:pPr>
      <w:r>
        <w:drawing>
          <wp:inline>
            <wp:extent cx="5753100" cy="3721598"/>
            <wp:effectExtent b="0" l="0" r="0" t="0"/>
            <wp:docPr descr="图10 两光束模型的消融对照" title="图10 两光束模型的消融对照" id="57" name="图10"/>
            <a:graphic>
              <a:graphicData uri="http://schemas.openxmlformats.org/drawingml/2006/picture">
                <pic:pic>
                  <pic:nvPicPr>
                    <pic:cNvPr descr="图10 两光束模型的消融对照" id="58" name="图10"/>
                    <pic:cNvPicPr>
                      <a:picLocks noChangeArrowheads="1" noChangeAspect="1"/>
                    </pic:cNvPicPr>
                  </pic:nvPicPr>
                  <pic:blipFill>
                    <a:blip r:embed="rId56"/>
                    <a:stretch>
                      <a:fillRect/>
                    </a:stretch>
                  </pic:blipFill>
                  <pic:spPr bwMode="auto">
                    <a:xfrm>
                      <a:off x="0" y="0"/>
                      <a:ext cx="5753100" cy="3721598"/>
                    </a:xfrm>
                    <a:prstGeom prst="rect">
                      <a:avLst/>
                    </a:prstGeom>
                    <a:noFill/>
                    <a:ln w="9525">
                      <a:noFill/>
                      <a:headEnd/>
                      <a:tailEnd/>
                    </a:ln>
                  </pic:spPr>
                </pic:pic>
              </a:graphicData>
            </a:graphic>
          </wp:inline>
        </w:drawing>
      </w:r>
    </w:p>
    <w:p>
      <w:pPr>
        <w:pStyle w:val="a1"/>
        <w:numPr>
          <w:ilvl w:val="8"/>
          <w:numId w:val="15"/>
        </w:numPr>
      </w:pPr>
      <w:r>
        <w:rPr/>
        <w:t xml:space="preserve">两光束模型的消融对照</w:t>
      </w:r>
    </w:p>
    <w:p>
      <w:pPr>
        <w:pStyle w:val="a4"/>
      </w:pPr>
      <w:r>
        <w:rPr/>
        <w:t xml:space="preserve">图10</w:t>
      </w:r>
      <w:r>
        <w:t xml:space="preserve"> </w:t>
      </w:r>
      <w:r>
        <w:rPr/>
        <w:t xml:space="preserve">汇总完整模型与移除指定组成部分后的差异。消融回答某一组成部分是否有必要，不应把所有稳定结果解释成相同的物理贡献。</w:t>
      </w:r>
    </w:p>
    <w:p>
      <w:pPr>
        <w:pStyle w:val="aff1"/>
      </w:pPr>
      <w:r>
        <w:drawing>
          <wp:inline>
            <wp:extent cx="5753100" cy="3283576"/>
            <wp:effectExtent b="0" l="0" r="0" t="0"/>
            <wp:docPr descr="图11 不同偏振处理下的合成厚度一致性" title="图11 不同偏振处理下的合成厚度一致性" id="60" name="图11"/>
            <a:graphic>
              <a:graphicData uri="http://schemas.openxmlformats.org/drawingml/2006/picture">
                <pic:pic>
                  <pic:nvPicPr>
                    <pic:cNvPr descr="图11 不同偏振处理下的合成厚度一致性" id="61" name="图11"/>
                    <pic:cNvPicPr>
                      <a:picLocks noChangeArrowheads="1" noChangeAspect="1"/>
                    </pic:cNvPicPr>
                  </pic:nvPicPr>
                  <pic:blipFill>
                    <a:blip r:embed="rId59"/>
                    <a:stretch>
                      <a:fillRect/>
                    </a:stretch>
                  </pic:blipFill>
                  <pic:spPr bwMode="auto">
                    <a:xfrm>
                      <a:off x="0" y="0"/>
                      <a:ext cx="5753100" cy="3283576"/>
                    </a:xfrm>
                    <a:prstGeom prst="rect">
                      <a:avLst/>
                    </a:prstGeom>
                    <a:noFill/>
                    <a:ln w="9525">
                      <a:noFill/>
                      <a:headEnd/>
                      <a:tailEnd/>
                    </a:ln>
                  </pic:spPr>
                </pic:pic>
              </a:graphicData>
            </a:graphic>
          </wp:inline>
        </w:drawing>
      </w:r>
    </w:p>
    <w:p>
      <w:pPr>
        <w:pStyle w:val="a1"/>
        <w:numPr>
          <w:ilvl w:val="8"/>
          <w:numId w:val="15"/>
        </w:numPr>
      </w:pPr>
      <w:r>
        <w:rPr/>
        <w:t xml:space="preserve">不同偏振处理下的合成厚度一致性</w:t>
      </w:r>
    </w:p>
    <w:p>
      <w:pPr>
        <w:pStyle w:val="a4"/>
      </w:pPr>
      <w:r>
        <w:rPr/>
        <w:t xml:space="preserve">图11</w:t>
      </w:r>
      <w:r>
        <w:t xml:space="preserve"> </w:t>
      </w:r>
      <w:r>
        <w:rPr/>
        <w:t xml:space="preserve">对比非偏振平均与两类偏振的厚度估计。结果说明在相应正模型一致的条件下，偏振对幅度的影响不必转化为厚度偏差。</w:t>
      </w:r>
    </w:p>
    <w:p>
      <w:pPr>
        <w:pStyle w:val="aff1"/>
      </w:pPr>
      <w:r>
        <w:drawing>
          <wp:inline>
            <wp:extent cx="5753100" cy="2295994"/>
            <wp:effectExtent b="0" l="0" r="0" t="0"/>
            <wp:docPr descr="图12 单初值与多初值策略对照" title="图12 单初值与多初值策略对照" id="63" name="图12"/>
            <a:graphic>
              <a:graphicData uri="http://schemas.openxmlformats.org/drawingml/2006/picture">
                <pic:pic>
                  <pic:nvPicPr>
                    <pic:cNvPr descr="图12 单初值与多初值策略对照" id="64" name="图12"/>
                    <pic:cNvPicPr>
                      <a:picLocks noChangeArrowheads="1" noChangeAspect="1"/>
                    </pic:cNvPicPr>
                  </pic:nvPicPr>
                  <pic:blipFill>
                    <a:blip r:embed="rId62"/>
                    <a:stretch>
                      <a:fillRect/>
                    </a:stretch>
                  </pic:blipFill>
                  <pic:spPr bwMode="auto">
                    <a:xfrm>
                      <a:off x="0" y="0"/>
                      <a:ext cx="5753100" cy="2295994"/>
                    </a:xfrm>
                    <a:prstGeom prst="rect">
                      <a:avLst/>
                    </a:prstGeom>
                    <a:noFill/>
                    <a:ln w="9525">
                      <a:noFill/>
                      <a:headEnd/>
                      <a:tailEnd/>
                    </a:ln>
                  </pic:spPr>
                </pic:pic>
              </a:graphicData>
            </a:graphic>
          </wp:inline>
        </w:drawing>
      </w:r>
    </w:p>
    <w:p>
      <w:pPr>
        <w:pStyle w:val="a1"/>
        <w:numPr>
          <w:ilvl w:val="8"/>
          <w:numId w:val="15"/>
        </w:numPr>
      </w:pPr>
      <w:r>
        <w:rPr/>
        <w:t xml:space="preserve">单初值与多初值策略对照</w:t>
      </w:r>
    </w:p>
    <w:p>
      <w:pPr>
        <w:pStyle w:val="a4"/>
      </w:pPr>
      <w:r>
        <w:rPr/>
        <w:t xml:space="preserve">图12</w:t>
      </w:r>
      <w:r>
        <w:t xml:space="preserve"> </w:t>
      </w:r>
      <w:r>
        <w:rPr/>
        <w:t xml:space="preserve">对比单初值落入局部极小和多初值恢复真值的结果。这为实测问题采用全区间扫描而非单次局部优化提供了算法依据。</w:t>
      </w:r>
    </w:p>
    <w:p>
      <w:pPr>
        <w:pStyle w:val="a4"/>
      </w:pPr>
      <w:r>
        <w:rPr/>
        <w:t xml:space="preserve">本问支持色散修正和多候选搜索。限制是：材料色散在长波端采用常数延伸，近强吸收区须排除；衬底折射率为合成场景值；部分文献尚缺全文对照；常数折射率基线约4%的偏差不应被隐藏。合成噪声与真实仪器误差并不等同，因此上述敏感性、置信区间和偏振对照只能作为后续实测分析的方法依据。</w:t>
      </w:r>
    </w:p>
    <w:p>
      <w:pPr>
        <w:pStyle w:val="1"/>
        <w:numPr>
          <w:ilvl w:val="0"/>
          <w:numId w:val="12"/>
        </w:numPr>
      </w:pPr>
      <w:r>
        <w:rPr/>
        <w:t xml:space="preserve">问题2</w:t>
      </w:r>
      <w:r>
        <w:t xml:space="preserve"> </w:t>
      </w:r>
      <w:r>
        <w:rPr/>
        <w:t xml:space="preserve">碳化硅实测谱的变量投影反演</w:t>
      </w:r>
    </w:p>
    <w:p>
      <w:pPr>
        <w:pStyle w:val="2"/>
        <w:numPr>
          <w:ilvl w:val="1"/>
          <w:numId w:val="12"/>
        </w:numPr>
      </w:pPr>
      <w:r>
        <w:rPr/>
        <w:t xml:space="preserve">问题2</w:t>
      </w:r>
      <w:r>
        <w:t xml:space="preserve"> </w:t>
      </w:r>
      <w:r>
        <w:rPr/>
        <w:t xml:space="preserve">问题分析</w:t>
      </w:r>
    </w:p>
    <w:p>
      <w:pPr>
        <w:pStyle w:val="a4"/>
      </w:pPr>
      <w:r>
        <w:rPr/>
        <w:t xml:space="preserve">直接拟合反射率幅度会同时面对慢变背景和衬底折射率弱可辨识性；直接从所有局部极值估计周期，又可能把噪声纹波误认为干涉条纹。主方法因此将“条纹在哪里”与“条纹有多高”分离：厚度进入相位频率，基线与包络作为线性参数处理。材料吸收、掺杂与红外光学性质的相关研究用于解释适用边界，而非替代本数据的参数辨识</w:t>
      </w:r>
      <w:r>
        <w:t xml:space="preserve"> [13]、[15]、[16]、[19]、[21]、[22]、[23]、[24]、[25]、[26]。</w:t>
      </w:r>
    </w:p>
    <w:p>
      <w:pPr>
        <w:pStyle w:val="2"/>
        <w:numPr>
          <w:ilvl w:val="1"/>
          <w:numId w:val="12"/>
        </w:numPr>
      </w:pPr>
      <w:r>
        <w:rPr/>
        <w:t xml:space="preserve">问题2</w:t>
      </w:r>
      <w:r>
        <w:t xml:space="preserve"> </w:t>
      </w:r>
      <w:r>
        <w:rPr/>
        <w:t xml:space="preserve">模型建立与算法</w:t>
      </w:r>
    </w:p>
    <w:p>
      <w:pPr>
        <w:pStyle w:val="a4"/>
      </w:pPr>
      <w:r>
        <w:rPr/>
        <w:t xml:space="preserve">对角度</w:t>
      </w:r>
      <w:r>
        <w:t xml:space="preserve"> </w:t>
      </w:r>
      <m:oMath>
        <m:r>
          <m:t>k</m:t>
        </m:r>
      </m:oMath>
      <w:r>
        <w:t xml:space="preserve"> </w:t>
      </w:r>
      <w:r>
        <w:rPr/>
        <w:t xml:space="preserve">的实测谱，写成</w:t>
      </w:r>
    </w:p>
    <w:p>
      <w:pPr>
        <w:pStyle w:val="aff7"/>
      </w:pPr>
      <m:oMathPara>
        <m:oMathParaPr>
          <m:jc m:val="center"/>
        </m:oMathParaPr>
        <m:oMath>
          <m:sSubSup>
            <m:e>
              <m:r>
                <m:t>R</m:t>
              </m:r>
            </m:e>
            <m:sub>
              <m:r>
                <m:t>k</m:t>
              </m:r>
            </m:sub>
            <m:sup>
              <m:r>
                <m:rPr>
                  <m:sty m:val="p"/>
                </m:rPr>
                <m:t>o</m:t>
              </m:r>
              <m:r>
                <m:rPr>
                  <m:sty m:val="p"/>
                </m:rPr>
                <m:t>b</m:t>
              </m:r>
              <m:r>
                <m:rPr>
                  <m:sty m:val="p"/>
                </m:rPr>
                <m:t>s</m:t>
              </m:r>
            </m:sup>
          </m:sSubSup>
          <m:r>
            <m:rPr>
              <m:sty m:val="p"/>
            </m:rPr>
            <m:t>(</m:t>
          </m:r>
          <m:sSub>
            <m:e>
              <m:r>
                <m:t>ν</m:t>
              </m:r>
            </m:e>
            <m:sub>
              <m:r>
                <m:t>i</m:t>
              </m:r>
            </m:sub>
          </m:sSub>
          <m:r>
            <m:rPr>
              <m:sty m:val="p"/>
            </m:rPr>
            <m:t>)</m:t>
          </m:r>
          <m:r>
            <m:rPr>
              <m:sty m:val="p"/>
            </m:rPr>
            <m:t>=</m:t>
          </m:r>
          <m:sSub>
            <m:e>
              <m:r>
                <m:t>B</m:t>
              </m:r>
            </m:e>
            <m:sub>
              <m:r>
                <m:t>k</m:t>
              </m:r>
            </m:sub>
          </m:sSub>
          <m:r>
            <m:rPr>
              <m:sty m:val="p"/>
            </m:rPr>
            <m:t>(</m:t>
          </m:r>
          <m:sSub>
            <m:e>
              <m:r>
                <m:t>ν</m:t>
              </m:r>
            </m:e>
            <m:sub>
              <m:r>
                <m:t>i</m:t>
              </m:r>
            </m:sub>
          </m:sSub>
          <m:r>
            <m:rPr>
              <m:sty m:val="p"/>
            </m:rPr>
            <m:t>)</m:t>
          </m:r>
          <m:r>
            <m:rPr>
              <m:sty m:val="p"/>
            </m:rPr>
            <m:t>+</m:t>
          </m:r>
          <m:sSub>
            <m:e>
              <m:r>
                <m:t>C</m:t>
              </m:r>
            </m:e>
            <m:sub>
              <m:r>
                <m:t>k</m:t>
              </m:r>
            </m:sub>
          </m:sSub>
          <m:r>
            <m:rPr>
              <m:sty m:val="p"/>
            </m:rPr>
            <m:t>(</m:t>
          </m:r>
          <m:sSub>
            <m:e>
              <m:r>
                <m:t>ν</m:t>
              </m:r>
            </m:e>
            <m:sub>
              <m:r>
                <m:t>i</m:t>
              </m:r>
            </m:sub>
          </m:sSub>
          <m:r>
            <m:rPr>
              <m:sty m:val="p"/>
            </m:rPr>
            <m:t>)</m:t>
          </m:r>
          <m:r>
            <m:rPr>
              <m:sty m:val="p"/>
            </m:rPr>
            <m:t>cos</m:t>
          </m:r>
          <m:sSub>
            <m:e>
              <m:r>
                <m:t>δ</m:t>
              </m:r>
            </m:e>
            <m:sub>
              <m:r>
                <m:t>k</m:t>
              </m:r>
            </m:sub>
          </m:sSub>
          <m:r>
            <m:rPr>
              <m:sty m:val="p"/>
            </m:rPr>
            <m:t>(</m:t>
          </m:r>
          <m:r>
            <m:t>t</m:t>
          </m:r>
          <m:r>
            <m:rPr>
              <m:sty m:val="p"/>
            </m:rPr>
            <m:t>,</m:t>
          </m:r>
          <m:sSub>
            <m:e>
              <m:r>
                <m:t>ν</m:t>
              </m:r>
            </m:e>
            <m:sub>
              <m:r>
                <m:t>i</m:t>
              </m:r>
            </m:sub>
          </m:sSub>
          <m:r>
            <m:rPr>
              <m:sty m:val="p"/>
            </m:rPr>
            <m:t>)</m:t>
          </m:r>
          <m:r>
            <m:rPr>
              <m:sty m:val="p"/>
            </m:rPr>
            <m:t>+</m:t>
          </m:r>
          <m:sSub>
            <m:e>
              <m:r>
                <m:t>S</m:t>
              </m:r>
            </m:e>
            <m:sub>
              <m:r>
                <m:t>k</m:t>
              </m:r>
            </m:sub>
          </m:sSub>
          <m:r>
            <m:rPr>
              <m:sty m:val="p"/>
            </m:rPr>
            <m:t>(</m:t>
          </m:r>
          <m:sSub>
            <m:e>
              <m:r>
                <m:t>ν</m:t>
              </m:r>
            </m:e>
            <m:sub>
              <m:r>
                <m:t>i</m:t>
              </m:r>
            </m:sub>
          </m:sSub>
          <m:r>
            <m:rPr>
              <m:sty m:val="p"/>
            </m:rPr>
            <m:t>)</m:t>
          </m:r>
          <m:r>
            <m:rPr>
              <m:sty m:val="p"/>
            </m:rPr>
            <m:t>sin</m:t>
          </m:r>
          <m:sSub>
            <m:e>
              <m:r>
                <m:t>δ</m:t>
              </m:r>
            </m:e>
            <m:sub>
              <m:r>
                <m:t>k</m:t>
              </m:r>
            </m:sub>
          </m:sSub>
          <m:r>
            <m:rPr>
              <m:sty m:val="p"/>
            </m:rPr>
            <m:t>(</m:t>
          </m:r>
          <m:r>
            <m:t>t</m:t>
          </m:r>
          <m:r>
            <m:rPr>
              <m:sty m:val="p"/>
            </m:rPr>
            <m:t>,</m:t>
          </m:r>
          <m:sSub>
            <m:e>
              <m:r>
                <m:t>ν</m:t>
              </m:r>
            </m:e>
            <m:sub>
              <m:r>
                <m:t>i</m:t>
              </m:r>
            </m:sub>
          </m:sSub>
          <m:r>
            <m:rPr>
              <m:sty m:val="p"/>
            </m:rPr>
            <m:t>)</m:t>
          </m:r>
          <m:r>
            <m:rPr>
              <m:sty m:val="p"/>
            </m:rPr>
            <m:t>+</m:t>
          </m:r>
          <m:sSub>
            <m:e>
              <m:r>
                <m:t>ϵ</m:t>
              </m:r>
            </m:e>
            <m:sub>
              <m:r>
                <m:t>k</m:t>
              </m:r>
              <m:r>
                <m:rPr>
                  <m:sty m:val="p"/>
                </m:rPr>
                <m:t>,</m:t>
              </m:r>
              <m:r>
                <m:t>i</m:t>
              </m:r>
            </m:sub>
          </m:sSub>
          <m:r>
            <m:rPr>
              <m:sty m:val="p"/>
            </m:rPr>
            <m:t>.</m:t>
          </m:r>
        </m:oMath>
      </m:oMathPara>
    </w:p>
    <w:p>
      <w:pPr>
        <w:pStyle w:val="a4"/>
      </w:pPr>
      <w:r>
        <w:rPr/>
        <w:t xml:space="preserve">基线采用三阶、包络采用一阶多项式。实际实现将波数中心化并采用正交化基，以减小线性子问题的数值病态。固定厚度</w:t>
      </w:r>
      <w:r>
        <w:t xml:space="preserve"> </w:t>
      </w:r>
      <m:oMath>
        <m:r>
          <m:t>t</m:t>
        </m:r>
      </m:oMath>
      <w:r>
        <w:t xml:space="preserve"> </w:t>
      </w:r>
      <w:r>
        <w:rPr/>
        <w:t xml:space="preserve">后，设计矩阵由基线列以及乘有正弦、余弦的包络列构成，求解</w:t>
      </w:r>
    </w:p>
    <w:p>
      <w:pPr>
        <w:pStyle w:val="aff7"/>
      </w:pPr>
      <m:oMathPara>
        <m:oMathParaPr>
          <m:jc m:val="center"/>
        </m:oMathParaPr>
        <m:oMath>
          <m:sSub>
            <m:e>
              <m:acc>
                <m:accPr>
                  <m:chr m:val="̂"/>
                </m:accPr>
                <m:e>
                  <m:r>
                    <m:rPr>
                      <m:sty m:val="b"/>
                    </m:rPr>
                    <m:t>β</m:t>
                  </m:r>
                </m:e>
              </m:acc>
            </m:e>
            <m:sub>
              <m:r>
                <m:t>k</m:t>
              </m:r>
            </m:sub>
          </m:sSub>
          <m:r>
            <m:rPr>
              <m:sty m:val="p"/>
            </m:rPr>
            <m:t>(</m:t>
          </m:r>
          <m:r>
            <m:t>t</m:t>
          </m:r>
          <m:r>
            <m:rPr>
              <m:sty m:val="p"/>
            </m:rPr>
            <m:t>)</m:t>
          </m:r>
          <m:r>
            <m:rPr>
              <m:sty m:val="p"/>
            </m:rPr>
            <m:t>=</m:t>
          </m:r>
          <m:r>
            <m:rPr>
              <m:sty m:val="p"/>
            </m:rPr>
            <m:t>arg</m:t>
          </m:r>
          <m:limLow>
            <m:e>
              <m:r>
                <m:rPr>
                  <m:sty m:val="p"/>
                </m:rPr>
                <m:t>min</m:t>
              </m:r>
            </m:e>
            <m:lim>
              <m:sSub>
                <m:e>
                  <m:r>
                    <m:rPr>
                      <m:sty m:val="b"/>
                    </m:rPr>
                    <m:t>β</m:t>
                  </m:r>
                </m:e>
                <m:sub>
                  <m:r>
                    <m:t>k</m:t>
                  </m:r>
                </m:sub>
              </m:sSub>
            </m:lim>
          </m:limLow>
          <m:r>
            <m:rPr>
              <m:sty m:val="p"/>
            </m:rPr>
            <m:t>∥</m:t>
          </m:r>
          <m:sSubSup>
            <m:e>
              <m:r>
                <m:t>W</m:t>
              </m:r>
            </m:e>
            <m:sub>
              <m:r>
                <m:t>k</m:t>
              </m:r>
            </m:sub>
            <m:sup>
              <m:r>
                <m:t>1</m:t>
              </m:r>
              <m:r>
                <m:rPr>
                  <m:sty m:val="p"/>
                </m:rPr>
                <m:t>/</m:t>
              </m:r>
              <m:r>
                <m:t>2</m:t>
              </m:r>
            </m:sup>
          </m:sSubSup>
          <m:r>
            <m:rPr>
              <m:sty m:val="p"/>
            </m:rPr>
            <m:t>(</m:t>
          </m:r>
          <m:sSub>
            <m:e>
              <m:r>
                <m:rPr>
                  <m:sty m:val="b"/>
                </m:rPr>
                <m:t>R</m:t>
              </m:r>
            </m:e>
            <m:sub>
              <m:r>
                <m:t>k</m:t>
              </m:r>
            </m:sub>
          </m:sSub>
          <m:r>
            <m:rPr>
              <m:sty m:val="p"/>
            </m:rPr>
            <m:t>−</m:t>
          </m:r>
          <m:sSub>
            <m:e>
              <m:r>
                <m:rPr>
                  <m:sty m:val="p"/>
                </m:rPr>
                <m:t>Φ</m:t>
              </m:r>
            </m:e>
            <m:sub>
              <m:r>
                <m:t>k</m:t>
              </m:r>
            </m:sub>
          </m:sSub>
          <m:r>
            <m:rPr>
              <m:sty m:val="p"/>
            </m:rPr>
            <m:t>(</m:t>
          </m:r>
          <m:r>
            <m:t>t</m:t>
          </m:r>
          <m:r>
            <m:rPr>
              <m:sty m:val="p"/>
            </m:rPr>
            <m:t>)</m:t>
          </m:r>
          <m:sSub>
            <m:e>
              <m:r>
                <m:rPr>
                  <m:sty m:val="b"/>
                </m:rPr>
                <m:t>β</m:t>
              </m:r>
            </m:e>
            <m:sub>
              <m:r>
                <m:t>k</m:t>
              </m:r>
            </m:sub>
          </m:sSub>
          <m:r>
            <m:rPr>
              <m:sty m:val="p"/>
            </m:rPr>
            <m:t>)</m:t>
          </m:r>
          <m:sSubSup>
            <m:e>
              <m:r>
                <m:rPr>
                  <m:sty m:val="p"/>
                </m:rPr>
                <m:t>∥</m:t>
              </m:r>
            </m:e>
            <m:sub>
              <m:r>
                <m:t>2</m:t>
              </m:r>
            </m:sub>
            <m:sup>
              <m:r>
                <m:t>2</m:t>
              </m:r>
            </m:sup>
          </m:sSubSup>
          <m:r>
            <m:rPr>
              <m:sty m:val="p"/>
            </m:rPr>
            <m:t>,</m:t>
          </m:r>
        </m:oMath>
      </m:oMathPara>
    </w:p>
    <w:p>
      <w:pPr>
        <w:pStyle w:val="a4"/>
      </w:pPr>
      <w:r>
        <w:rPr/>
        <w:t xml:space="preserve">再对两角合并残差</w:t>
      </w:r>
    </w:p>
    <w:p>
      <w:pPr>
        <w:pStyle w:val="aff7"/>
      </w:pPr>
      <m:oMathPara>
        <m:oMathParaPr>
          <m:jc m:val="center"/>
        </m:oMathParaPr>
        <m:oMath>
          <m:r>
            <m:t>J</m:t>
          </m:r>
          <m:r>
            <m:rPr>
              <m:sty m:val="p"/>
            </m:rPr>
            <m:t>(</m:t>
          </m:r>
          <m:r>
            <m:t>t</m:t>
          </m:r>
          <m:r>
            <m:rPr>
              <m:sty m:val="p"/>
            </m:rPr>
            <m:t>)</m:t>
          </m:r>
          <m:r>
            <m:rPr>
              <m:sty m:val="p"/>
            </m:rPr>
            <m:t>=</m:t>
          </m:r>
          <m:nary>
            <m:naryPr>
              <m:chr m:val="∑"/>
              <m:limLoc m:val="undOvr"/>
              <m:subHide m:val="off"/>
              <m:supHide m:val="off"/>
            </m:naryPr>
            <m:sub>
              <m:r>
                <m:t>k</m:t>
              </m:r>
              <m:r>
                <m:rPr>
                  <m:sty m:val="p"/>
                </m:rPr>
                <m:t>=</m:t>
              </m:r>
              <m:r>
                <m:t>1</m:t>
              </m:r>
            </m:sub>
            <m:sup>
              <m:r>
                <m:t>2</m:t>
              </m:r>
            </m:sup>
            <m:e>
              <m:r>
                <m:rPr>
                  <m:sty m:val="p"/>
                </m:rPr>
                <m:t>∥</m:t>
              </m:r>
            </m:e>
          </m:nary>
          <m:sSubSup>
            <m:e>
              <m:r>
                <m:t>W</m:t>
              </m:r>
            </m:e>
            <m:sub>
              <m:r>
                <m:t>k</m:t>
              </m:r>
            </m:sub>
            <m:sup>
              <m:r>
                <m:t>1</m:t>
              </m:r>
              <m:r>
                <m:rPr>
                  <m:sty m:val="p"/>
                </m:rPr>
                <m:t>/</m:t>
              </m:r>
              <m:r>
                <m:t>2</m:t>
              </m:r>
            </m:sup>
          </m:sSubSup>
          <m:r>
            <m:rPr>
              <m:sty m:val="p"/>
            </m:rPr>
            <m:t>(</m:t>
          </m:r>
          <m:sSub>
            <m:e>
              <m:r>
                <m:rPr>
                  <m:sty m:val="b"/>
                </m:rPr>
                <m:t>R</m:t>
              </m:r>
            </m:e>
            <m:sub>
              <m:r>
                <m:t>k</m:t>
              </m:r>
            </m:sub>
          </m:sSub>
          <m:r>
            <m:rPr>
              <m:sty m:val="p"/>
            </m:rPr>
            <m:t>−</m:t>
          </m:r>
          <m:sSub>
            <m:e>
              <m:r>
                <m:rPr>
                  <m:sty m:val="p"/>
                </m:rPr>
                <m:t>Φ</m:t>
              </m:r>
            </m:e>
            <m:sub>
              <m:r>
                <m:t>k</m:t>
              </m:r>
            </m:sub>
          </m:sSub>
          <m:r>
            <m:rPr>
              <m:sty m:val="p"/>
            </m:rPr>
            <m:t>(</m:t>
          </m:r>
          <m:r>
            <m:t>t</m:t>
          </m:r>
          <m:r>
            <m:rPr>
              <m:sty m:val="p"/>
            </m:rPr>
            <m:t>)</m:t>
          </m:r>
          <m:sSub>
            <m:e>
              <m:acc>
                <m:accPr>
                  <m:chr m:val="̂"/>
                </m:accPr>
                <m:e>
                  <m:r>
                    <m:rPr>
                      <m:sty m:val="b"/>
                    </m:rPr>
                    <m:t>β</m:t>
                  </m:r>
                </m:e>
              </m:acc>
            </m:e>
            <m:sub>
              <m:r>
                <m:t>k</m:t>
              </m:r>
            </m:sub>
          </m:sSub>
          <m:r>
            <m:rPr>
              <m:sty m:val="p"/>
            </m:rPr>
            <m:t>(</m:t>
          </m:r>
          <m:r>
            <m:t>t</m:t>
          </m:r>
          <m:r>
            <m:rPr>
              <m:sty m:val="p"/>
            </m:rPr>
            <m:t>)</m:t>
          </m:r>
          <m:r>
            <m:rPr>
              <m:sty m:val="p"/>
            </m:rPr>
            <m:t>)</m:t>
          </m:r>
          <m:sSubSup>
            <m:e>
              <m:r>
                <m:rPr>
                  <m:sty m:val="p"/>
                </m:rPr>
                <m:t>∥</m:t>
              </m:r>
            </m:e>
            <m:sub>
              <m:r>
                <m:t>2</m:t>
              </m:r>
            </m:sub>
            <m:sup>
              <m:r>
                <m:t>2</m:t>
              </m:r>
            </m:sup>
          </m:sSubSup>
          <m:r>
            <m:rPr>
              <m:sty m:val="p"/>
            </m:rPr>
            <m:t>,</m:t>
          </m:r>
          <m:r>
            <m:t>  </m:t>
          </m:r>
          <m:acc>
            <m:accPr>
              <m:chr m:val="̂"/>
            </m:accPr>
            <m:e>
              <m:r>
                <m:t>t</m:t>
              </m:r>
            </m:e>
          </m:acc>
          <m:r>
            <m:rPr>
              <m:sty m:val="p"/>
            </m:rPr>
            <m:t>=</m:t>
          </m:r>
          <m:r>
            <m:rPr>
              <m:sty m:val="p"/>
            </m:rPr>
            <m:t>arg</m:t>
          </m:r>
          <m:limLow>
            <m:e>
              <m:r>
                <m:rPr>
                  <m:sty m:val="p"/>
                </m:rPr>
                <m:t>min</m:t>
              </m:r>
            </m:e>
            <m:lim>
              <m:r>
                <m:t>t</m:t>
              </m:r>
            </m:lim>
          </m:limLow>
          <m:r>
            <m:t>J</m:t>
          </m:r>
          <m:r>
            <m:rPr>
              <m:sty m:val="p"/>
            </m:rPr>
            <m:t>(</m:t>
          </m:r>
          <m:r>
            <m:t>t</m:t>
          </m:r>
          <m:r>
            <m:rPr>
              <m:sty m:val="p"/>
            </m:rPr>
            <m:t>)</m:t>
          </m:r>
          <m:r>
            <m:rPr>
              <m:sty m:val="p"/>
            </m:rPr>
            <m:t>.</m:t>
          </m:r>
        </m:oMath>
      </m:oMathPara>
    </w:p>
    <w:p>
      <w:pPr>
        <w:pStyle w:val="a4"/>
      </w:pPr>
      <w:r>
        <w:rPr/>
        <w:t xml:space="preserve">这使原本耦合的幅度参数在每个候选厚度处被线性消去，非线性搜索只剩一维厚度。碳化硅采用3—20</w:t>
      </w:r>
      <w:r>
        <w:t xml:space="preserve"> </w:t>
      </w:r>
      <w:r>
        <w:rPr/>
        <w:t xml:space="preserve">μm的既定扫描范围和0.01</w:t>
      </w:r>
      <w:r>
        <w:t xml:space="preserve"> </w:t>
      </w:r>
      <w:r>
        <w:rPr/>
        <w:t xml:space="preserve">μm网格，再按原程序细化候选。两角各自保留基线与包络参数，只有厚度共享；独立角度厚度通过分别最小化</w:t>
      </w:r>
      <w:r>
        <w:t xml:space="preserve"> </w:t>
      </w:r>
      <m:oMath>
        <m:sSub>
          <m:e>
            <m:r>
              <m:t>J</m:t>
            </m:r>
          </m:e>
          <m:sub>
            <m:r>
              <m:t>k</m:t>
            </m:r>
          </m:sub>
        </m:sSub>
        <m:r>
          <m:rPr>
            <m:sty m:val="p"/>
          </m:rPr>
          <m:t>(</m:t>
        </m:r>
        <m:r>
          <m:t>t</m:t>
        </m:r>
        <m:r>
          <m:rPr>
            <m:sty m:val="p"/>
          </m:rPr>
          <m:t>)</m:t>
        </m:r>
      </m:oMath>
      <w:r>
        <w:t xml:space="preserve"> </w:t>
      </w:r>
      <w:r>
        <w:rPr/>
        <w:t xml:space="preserve">获得。</w:t>
      </w:r>
    </w:p>
    <w:p>
      <w:pPr>
        <w:pStyle w:val="a4"/>
      </w:pPr>
      <w:r>
        <w:rPr/>
        <w:t xml:space="preserve">此处的“扫描”保证比较了指定网格与范围内的候选，并不等于对所有材料参数及无限厚度区间证明全局可辨识。与既有色散修正及全谱拟合研究相对照</w:t>
      </w:r>
      <w:r>
        <w:t xml:space="preserve"> </w:t>
      </w:r>
      <w:r>
        <w:rPr/>
        <w:t xml:space="preserve">[17]、[20]、[27]，本文更强调分离相位和背景后对真实数据的可解释性。</w:t>
      </w:r>
    </w:p>
    <w:p>
      <w:pPr>
        <w:pStyle w:val="2"/>
        <w:numPr>
          <w:ilvl w:val="1"/>
          <w:numId w:val="12"/>
        </w:numPr>
      </w:pPr>
      <w:r>
        <w:rPr/>
        <w:t xml:space="preserve">问题2</w:t>
      </w:r>
      <w:r>
        <w:t xml:space="preserve"> </w:t>
      </w:r>
      <w:r>
        <w:rPr/>
        <w:t xml:space="preserve">厚度结果与对照</w:t>
      </w:r>
    </w:p>
    <w:p>
      <w:pPr>
        <w:pStyle w:val="a0"/>
        <w:numPr>
          <w:ilvl w:val="7"/>
          <w:numId w:val="14"/>
        </w:numPr>
      </w:pPr>
      <w:r>
        <w:rPr/>
        <w:t xml:space="preserve">碳化硅实测厚度估计</w:t>
      </w:r>
    </w:p>
    <w:tbl>
      <w:tblPr>
        <w:tblStyle w:val="afb"/>
        <w:tblW w:type="auto" w:w="0"/>
        <w:tblLook w:val="0620" w:firstRow="1" w:lastRow="0" w:firstColumn="0" w:lastColumn="0" w:noHBand="1" w:noVBand="1"/>
      </w:tblPr>
      <w:tblGrid>
        <w:gridCol w:w="2640"/>
        <w:gridCol w:w="2640"/>
        <w:gridCol w:w="2640"/>
      </w:tblGrid>
      <w:tr>
        <w:trPr>
          <w:tblHeader w:val="on"/>
        </w:trPr>
        <w:tc>
          <w:tcPr/>
          <w:p>
            <w:pPr>
              <w:pStyle w:val="a9"/>
            </w:pPr>
            <w:r>
              <w:rPr/>
              <w:t xml:space="preserve">估计对象</w:t>
            </w:r>
          </w:p>
        </w:tc>
        <w:tc>
          <w:tcPr/>
          <w:p>
            <w:pPr>
              <w:pStyle w:val="a9"/>
            </w:pPr>
            <w:r>
              <w:rPr/>
              <w:t xml:space="preserve">厚度/μm</w:t>
            </w:r>
          </w:p>
        </w:tc>
        <w:tc>
          <w:tcPr/>
          <w:p>
            <w:pPr>
              <w:pStyle w:val="a9"/>
            </w:pPr>
            <w:r>
              <w:rPr/>
              <w:t xml:space="preserve">解释</w:t>
            </w:r>
          </w:p>
        </w:tc>
      </w:tr>
      <w:tr>
        <w:tc>
          <w:tcPr/>
          <w:p>
            <w:pPr>
              <w:pStyle w:val="a9"/>
            </w:pPr>
            <w:r>
              <w:rPr/>
              <w:t xml:space="preserve">两角共享</w:t>
            </w:r>
          </w:p>
        </w:tc>
        <w:tc>
          <w:tcPr/>
          <w:p>
            <w:pPr>
              <w:pStyle w:val="a9"/>
            </w:pPr>
            <w:r>
              <w:t xml:space="preserve">7.2158</w:t>
            </w:r>
          </w:p>
        </w:tc>
        <w:tc>
          <w:tcPr/>
          <w:p>
            <w:pPr>
              <w:pStyle w:val="a9"/>
            </w:pPr>
            <w:r>
              <w:rPr/>
              <w:t xml:space="preserve">本文报告的共同厚度</w:t>
            </w:r>
          </w:p>
        </w:tc>
      </w:tr>
      <w:tr>
        <w:tc>
          <w:tcPr/>
          <w:p>
            <w:pPr>
              <w:pStyle w:val="a9"/>
            </w:pPr>
            <w:r>
              <w:rPr/>
              <w:t xml:space="preserve">10°独立估计</w:t>
            </w:r>
          </w:p>
        </w:tc>
        <w:tc>
          <w:tcPr/>
          <w:p>
            <w:pPr>
              <w:pStyle w:val="a9"/>
            </w:pPr>
            <w:r>
              <w:t xml:space="preserve">7.2214</w:t>
            </w:r>
          </w:p>
        </w:tc>
        <w:tc>
          <w:tcPr/>
          <w:p>
            <w:pPr>
              <w:pStyle w:val="a9"/>
            </w:pPr>
            <w:r>
              <w:rPr/>
              <w:t xml:space="preserve">用于角度一致性对照</w:t>
            </w:r>
          </w:p>
        </w:tc>
      </w:tr>
      <w:tr>
        <w:tc>
          <w:tcPr/>
          <w:p>
            <w:pPr>
              <w:pStyle w:val="a9"/>
            </w:pPr>
            <w:r>
              <w:rPr/>
              <w:t xml:space="preserve">15°独立估计</w:t>
            </w:r>
          </w:p>
        </w:tc>
        <w:tc>
          <w:tcPr/>
          <w:p>
            <w:pPr>
              <w:pStyle w:val="a9"/>
            </w:pPr>
            <w:r>
              <w:t xml:space="preserve">7.2095</w:t>
            </w:r>
          </w:p>
        </w:tc>
        <w:tc>
          <w:tcPr/>
          <w:p>
            <w:pPr>
              <w:pStyle w:val="a9"/>
            </w:pPr>
            <w:r>
              <w:rPr/>
              <w:t xml:space="preserve">用于角度一致性对照</w:t>
            </w:r>
          </w:p>
        </w:tc>
      </w:tr>
    </w:tbl>
    <w:p>
      <w:pPr>
        <w:pStyle w:val="a4"/>
      </w:pPr>
      <w:r>
        <w:rPr/>
        <w:t xml:space="preserve">角度相对差为0.165%。轮廓似然95%区间的相对半宽约0.0911%，它是在当前噪声、色散和模型设定下的条件区间；没有执行残差重采样，故不称为自助法区间，也不覆盖全部系统误差。</w:t>
      </w:r>
    </w:p>
    <w:p>
      <w:pPr>
        <w:pStyle w:val="aff1"/>
      </w:pPr>
      <w:r>
        <w:drawing>
          <wp:inline>
            <wp:extent cx="5753100" cy="3658381"/>
            <wp:effectExtent b="0" l="0" r="0" t="0"/>
            <wp:docPr descr="图13 碳化硅两入射角实测反射率谱" title="图13 碳化硅两入射角实测反射率谱" id="66" name="图13"/>
            <a:graphic>
              <a:graphicData uri="http://schemas.openxmlformats.org/drawingml/2006/picture">
                <pic:pic>
                  <pic:nvPicPr>
                    <pic:cNvPr descr="图13 碳化硅两入射角实测反射率谱" id="67" name="图13"/>
                    <pic:cNvPicPr>
                      <a:picLocks noChangeArrowheads="1" noChangeAspect="1"/>
                    </pic:cNvPicPr>
                  </pic:nvPicPr>
                  <pic:blipFill>
                    <a:blip r:embed="rId65"/>
                    <a:stretch>
                      <a:fillRect/>
                    </a:stretch>
                  </pic:blipFill>
                  <pic:spPr bwMode="auto">
                    <a:xfrm>
                      <a:off x="0" y="0"/>
                      <a:ext cx="5753100" cy="3658381"/>
                    </a:xfrm>
                    <a:prstGeom prst="rect">
                      <a:avLst/>
                    </a:prstGeom>
                    <a:noFill/>
                    <a:ln w="9525">
                      <a:noFill/>
                      <a:headEnd/>
                      <a:tailEnd/>
                    </a:ln>
                  </pic:spPr>
                </pic:pic>
              </a:graphicData>
            </a:graphic>
          </wp:inline>
        </w:drawing>
      </w:r>
    </w:p>
    <w:p>
      <w:pPr>
        <w:pStyle w:val="a1"/>
        <w:numPr>
          <w:ilvl w:val="8"/>
          <w:numId w:val="15"/>
        </w:numPr>
      </w:pPr>
      <w:r>
        <w:rPr/>
        <w:t xml:space="preserve">碳化硅两入射角实测反射率谱</w:t>
      </w:r>
    </w:p>
    <w:p>
      <w:pPr>
        <w:pStyle w:val="a4"/>
      </w:pPr>
      <w:r>
        <w:rPr/>
        <w:t xml:space="preserve">图13</w:t>
      </w:r>
      <w:r>
        <w:t xml:space="preserve"> </w:t>
      </w:r>
      <w:r>
        <w:rPr/>
        <w:t xml:space="preserve">给出附件1、2的测量谱线。数据同时含慢变背景与干涉纹波，异常反射率点及强吸收谱段需在反演前按既定规则处理。</w:t>
      </w:r>
    </w:p>
    <w:p>
      <w:pPr>
        <w:pStyle w:val="aff1"/>
      </w:pPr>
      <w:r>
        <w:drawing>
          <wp:inline>
            <wp:extent cx="5753100" cy="3555286"/>
            <wp:effectExtent b="0" l="0" r="0" t="0"/>
            <wp:docPr descr="图14 碳化硅实测谱与物理两光束诊断拟合" title="图14 碳化硅实测谱与物理两光束诊断拟合" id="69" name="图14"/>
            <a:graphic>
              <a:graphicData uri="http://schemas.openxmlformats.org/drawingml/2006/picture">
                <pic:pic>
                  <pic:nvPicPr>
                    <pic:cNvPr descr="图14 碳化硅实测谱与物理两光束诊断拟合" id="70" name="图14"/>
                    <pic:cNvPicPr>
                      <a:picLocks noChangeArrowheads="1" noChangeAspect="1"/>
                    </pic:cNvPicPr>
                  </pic:nvPicPr>
                  <pic:blipFill>
                    <a:blip r:embed="rId68"/>
                    <a:stretch>
                      <a:fillRect/>
                    </a:stretch>
                  </pic:blipFill>
                  <pic:spPr bwMode="auto">
                    <a:xfrm>
                      <a:off x="0" y="0"/>
                      <a:ext cx="5753100" cy="3555286"/>
                    </a:xfrm>
                    <a:prstGeom prst="rect">
                      <a:avLst/>
                    </a:prstGeom>
                    <a:noFill/>
                    <a:ln w="9525">
                      <a:noFill/>
                      <a:headEnd/>
                      <a:tailEnd/>
                    </a:ln>
                  </pic:spPr>
                </pic:pic>
              </a:graphicData>
            </a:graphic>
          </wp:inline>
        </w:drawing>
      </w:r>
    </w:p>
    <w:p>
      <w:pPr>
        <w:pStyle w:val="a1"/>
        <w:numPr>
          <w:ilvl w:val="8"/>
          <w:numId w:val="15"/>
        </w:numPr>
      </w:pPr>
      <w:r>
        <w:rPr/>
        <w:t xml:space="preserve">碳化硅实测谱与物理两光束诊断拟合</w:t>
      </w:r>
    </w:p>
    <w:p>
      <w:pPr>
        <w:pStyle w:val="a4"/>
      </w:pPr>
      <w:r>
        <w:rPr/>
        <w:t xml:space="preserve">图14</w:t>
      </w:r>
      <w:r>
        <w:t xml:space="preserve"> </w:t>
      </w:r>
      <w:r>
        <w:rPr/>
        <w:t xml:space="preserve">对比实测谱与刚性Fresnel基线下的物理正模型。此图用于诊断，不能把它的残差当成变量投影主方法的残差；两种基线定义不同。</w:t>
      </w:r>
    </w:p>
    <w:p>
      <w:pPr>
        <w:pStyle w:val="aff1"/>
      </w:pPr>
      <w:r>
        <w:drawing>
          <wp:inline>
            <wp:extent cx="5753100" cy="3611269"/>
            <wp:effectExtent b="0" l="0" r="0" t="0"/>
            <wp:docPr descr="图15 碳化硅共享厚度与分角度厚度估计" title="图15 碳化硅共享厚度与分角度厚度估计" id="72" name="图15"/>
            <a:graphic>
              <a:graphicData uri="http://schemas.openxmlformats.org/drawingml/2006/picture">
                <pic:pic>
                  <pic:nvPicPr>
                    <pic:cNvPr descr="图15 碳化硅共享厚度与分角度厚度估计" id="73" name="图15"/>
                    <pic:cNvPicPr>
                      <a:picLocks noChangeArrowheads="1" noChangeAspect="1"/>
                    </pic:cNvPicPr>
                  </pic:nvPicPr>
                  <pic:blipFill>
                    <a:blip r:embed="rId71"/>
                    <a:stretch>
                      <a:fillRect/>
                    </a:stretch>
                  </pic:blipFill>
                  <pic:spPr bwMode="auto">
                    <a:xfrm>
                      <a:off x="0" y="0"/>
                      <a:ext cx="5753100" cy="3611269"/>
                    </a:xfrm>
                    <a:prstGeom prst="rect">
                      <a:avLst/>
                    </a:prstGeom>
                    <a:noFill/>
                    <a:ln w="9525">
                      <a:noFill/>
                      <a:headEnd/>
                      <a:tailEnd/>
                    </a:ln>
                  </pic:spPr>
                </pic:pic>
              </a:graphicData>
            </a:graphic>
          </wp:inline>
        </w:drawing>
      </w:r>
    </w:p>
    <w:p>
      <w:pPr>
        <w:pStyle w:val="a1"/>
        <w:numPr>
          <w:ilvl w:val="8"/>
          <w:numId w:val="15"/>
        </w:numPr>
      </w:pPr>
      <w:r>
        <w:rPr/>
        <w:t xml:space="preserve">碳化硅共享厚度与分角度厚度估计</w:t>
      </w:r>
    </w:p>
    <w:p>
      <w:pPr>
        <w:pStyle w:val="a4"/>
      </w:pPr>
      <w:r>
        <w:rPr/>
        <w:t xml:space="preserve">图15</w:t>
      </w:r>
      <w:r>
        <w:t xml:space="preserve"> </w:t>
      </w:r>
      <w:r>
        <w:rPr/>
        <w:t xml:space="preserve">展示两角共享7.2158</w:t>
      </w:r>
      <w:r>
        <w:t xml:space="preserve"> </w:t>
      </w:r>
      <w:r>
        <w:rPr/>
        <w:t xml:space="preserve">μm以及分角度7.2214、7.2095</w:t>
      </w:r>
      <w:r>
        <w:t xml:space="preserve"> </w:t>
      </w:r>
      <w:r>
        <w:rPr/>
        <w:t xml:space="preserve">μm的结果。0.165%的相对差小于工程阈值，但统计F检验仍提示角度间存在可检测差异。</w:t>
      </w:r>
    </w:p>
    <w:p>
      <w:pPr>
        <w:pStyle w:val="aff1"/>
      </w:pPr>
      <w:r>
        <w:drawing>
          <wp:inline>
            <wp:extent cx="5753100" cy="3958963"/>
            <wp:effectExtent b="0" l="0" r="0" t="0"/>
            <wp:docPr descr="图16 碳化硅主反演带内的色散模型" title="图16 碳化硅主反演带内的色散模型" id="75" name="图16"/>
            <a:graphic>
              <a:graphicData uri="http://schemas.openxmlformats.org/drawingml/2006/picture">
                <pic:pic>
                  <pic:nvPicPr>
                    <pic:cNvPr descr="图16 碳化硅主反演带内的色散模型" id="76" name="图16"/>
                    <pic:cNvPicPr>
                      <a:picLocks noChangeArrowheads="1" noChangeAspect="1"/>
                    </pic:cNvPicPr>
                  </pic:nvPicPr>
                  <pic:blipFill>
                    <a:blip r:embed="rId74"/>
                    <a:stretch>
                      <a:fillRect/>
                    </a:stretch>
                  </pic:blipFill>
                  <pic:spPr bwMode="auto">
                    <a:xfrm>
                      <a:off x="0" y="0"/>
                      <a:ext cx="5753100" cy="3958963"/>
                    </a:xfrm>
                    <a:prstGeom prst="rect">
                      <a:avLst/>
                    </a:prstGeom>
                    <a:noFill/>
                    <a:ln w="9525">
                      <a:noFill/>
                      <a:headEnd/>
                      <a:tailEnd/>
                    </a:ln>
                  </pic:spPr>
                </pic:pic>
              </a:graphicData>
            </a:graphic>
          </wp:inline>
        </w:drawing>
      </w:r>
    </w:p>
    <w:p>
      <w:pPr>
        <w:pStyle w:val="a1"/>
        <w:numPr>
          <w:ilvl w:val="8"/>
          <w:numId w:val="15"/>
        </w:numPr>
      </w:pPr>
      <w:r>
        <w:rPr/>
        <w:t xml:space="preserve">碳化硅主反演带内的色散模型</w:t>
      </w:r>
    </w:p>
    <w:p>
      <w:pPr>
        <w:pStyle w:val="a4"/>
      </w:pPr>
      <w:r>
        <w:rPr/>
        <w:t xml:space="preserve">图16</w:t>
      </w:r>
      <w:r>
        <w:t xml:space="preserve"> </w:t>
      </w:r>
      <w:r>
        <w:rPr/>
        <w:t xml:space="preserve">给出主反演使用的折射率变化。波数低于2000</w:t>
      </w:r>
      <w:r>
        <w:t xml:space="preserve"> </w:t>
      </w:r>
      <w:r>
        <w:rPr/>
        <w:t xml:space="preserve">cm⁻¹时的材料色散信息缺口不能靠延长同一公式来消除。</w:t>
      </w:r>
    </w:p>
    <w:p>
      <w:pPr>
        <w:pStyle w:val="aff1"/>
      </w:pPr>
      <w:r>
        <w:drawing>
          <wp:inline>
            <wp:extent cx="5753100" cy="3197246"/>
            <wp:effectExtent b="0" l="0" r="0" t="0"/>
            <wp:docPr descr="图17 碳化硅可靠性指标与预设阈值" title="图17 碳化硅可靠性指标与预设阈值" id="78" name="图17"/>
            <a:graphic>
              <a:graphicData uri="http://schemas.openxmlformats.org/drawingml/2006/picture">
                <pic:pic>
                  <pic:nvPicPr>
                    <pic:cNvPr descr="图17 碳化硅可靠性指标与预设阈值" id="79" name="图17"/>
                    <pic:cNvPicPr>
                      <a:picLocks noChangeArrowheads="1" noChangeAspect="1"/>
                    </pic:cNvPicPr>
                  </pic:nvPicPr>
                  <pic:blipFill>
                    <a:blip r:embed="rId77"/>
                    <a:stretch>
                      <a:fillRect/>
                    </a:stretch>
                  </pic:blipFill>
                  <pic:spPr bwMode="auto">
                    <a:xfrm>
                      <a:off x="0" y="0"/>
                      <a:ext cx="5753100" cy="3197246"/>
                    </a:xfrm>
                    <a:prstGeom prst="rect">
                      <a:avLst/>
                    </a:prstGeom>
                    <a:noFill/>
                    <a:ln w="9525">
                      <a:noFill/>
                      <a:headEnd/>
                      <a:tailEnd/>
                    </a:ln>
                  </pic:spPr>
                </pic:pic>
              </a:graphicData>
            </a:graphic>
          </wp:inline>
        </w:drawing>
      </w:r>
    </w:p>
    <w:p>
      <w:pPr>
        <w:pStyle w:val="a1"/>
        <w:numPr>
          <w:ilvl w:val="8"/>
          <w:numId w:val="15"/>
        </w:numPr>
      </w:pPr>
      <w:r>
        <w:rPr/>
        <w:t xml:space="preserve">碳化硅可靠性指标与预设阈值</w:t>
      </w:r>
    </w:p>
    <w:p>
      <w:pPr>
        <w:pStyle w:val="a4"/>
      </w:pPr>
      <w:r>
        <w:rPr/>
        <w:t xml:space="preserve">图17</w:t>
      </w:r>
      <w:r>
        <w:t xml:space="preserve"> </w:t>
      </w:r>
      <w:r>
        <w:rPr/>
        <w:t xml:space="preserve">汇总不同误差来源的检验。两角F检验的拒绝结果应与0.165%的实际偏差同时解释，不能合并为“所有统计检验均通过”。</w:t>
      </w:r>
    </w:p>
    <w:p>
      <w:pPr>
        <w:pStyle w:val="aff1"/>
      </w:pPr>
      <w:r>
        <w:drawing>
          <wp:inline>
            <wp:extent cx="5753100" cy="3268089"/>
            <wp:effectExtent b="0" l="0" r="0" t="0"/>
            <wp:docPr descr="图18 碳化硅一维厚度目标函数" title="图18 碳化硅一维厚度目标函数" id="81" name="图18"/>
            <a:graphic>
              <a:graphicData uri="http://schemas.openxmlformats.org/drawingml/2006/picture">
                <pic:pic>
                  <pic:nvPicPr>
                    <pic:cNvPr descr="图18 碳化硅一维厚度目标函数" id="82" name="图18"/>
                    <pic:cNvPicPr>
                      <a:picLocks noChangeArrowheads="1" noChangeAspect="1"/>
                    </pic:cNvPicPr>
                  </pic:nvPicPr>
                  <pic:blipFill>
                    <a:blip r:embed="rId80"/>
                    <a:stretch>
                      <a:fillRect/>
                    </a:stretch>
                  </pic:blipFill>
                  <pic:spPr bwMode="auto">
                    <a:xfrm>
                      <a:off x="0" y="0"/>
                      <a:ext cx="5753100" cy="3268089"/>
                    </a:xfrm>
                    <a:prstGeom prst="rect">
                      <a:avLst/>
                    </a:prstGeom>
                    <a:noFill/>
                    <a:ln w="9525">
                      <a:noFill/>
                      <a:headEnd/>
                      <a:tailEnd/>
                    </a:ln>
                  </pic:spPr>
                </pic:pic>
              </a:graphicData>
            </a:graphic>
          </wp:inline>
        </w:drawing>
      </w:r>
    </w:p>
    <w:p>
      <w:pPr>
        <w:pStyle w:val="a1"/>
        <w:numPr>
          <w:ilvl w:val="8"/>
          <w:numId w:val="15"/>
        </w:numPr>
      </w:pPr>
      <w:r>
        <w:rPr/>
        <w:t xml:space="preserve">碳化硅一维厚度目标函数</w:t>
      </w:r>
    </w:p>
    <w:p>
      <w:pPr>
        <w:pStyle w:val="a4"/>
      </w:pPr>
      <w:r>
        <w:rPr/>
        <w:t xml:space="preserve">图18</w:t>
      </w:r>
      <w:r>
        <w:t xml:space="preserve"> </w:t>
      </w:r>
      <w:r>
        <w:rPr/>
        <w:t xml:space="preserve">显示厚度扫描对应的目标函数及候选极小值。全区间比较补充了局部优化无法提供的周期歧义检查。</w:t>
      </w:r>
    </w:p>
    <w:p>
      <w:pPr>
        <w:pStyle w:val="aff1"/>
      </w:pPr>
      <w:r>
        <w:drawing>
          <wp:inline>
            <wp:extent cx="5753100" cy="2988623"/>
            <wp:effectExtent b="0" l="0" r="0" t="0"/>
            <wp:docPr descr="图19 碳化硅相位坐标与噪声极值辨别" title="图19 碳化硅相位坐标与噪声极值辨别" id="84" name="图19"/>
            <a:graphic>
              <a:graphicData uri="http://schemas.openxmlformats.org/drawingml/2006/picture">
                <pic:pic>
                  <pic:nvPicPr>
                    <pic:cNvPr descr="图19 碳化硅相位坐标与噪声极值辨别" id="85" name="图19"/>
                    <pic:cNvPicPr>
                      <a:picLocks noChangeArrowheads="1" noChangeAspect="1"/>
                    </pic:cNvPicPr>
                  </pic:nvPicPr>
                  <pic:blipFill>
                    <a:blip r:embed="rId83"/>
                    <a:stretch>
                      <a:fillRect/>
                    </a:stretch>
                  </pic:blipFill>
                  <pic:spPr bwMode="auto">
                    <a:xfrm>
                      <a:off x="0" y="0"/>
                      <a:ext cx="5753100" cy="2988623"/>
                    </a:xfrm>
                    <a:prstGeom prst="rect">
                      <a:avLst/>
                    </a:prstGeom>
                    <a:noFill/>
                    <a:ln w="9525">
                      <a:noFill/>
                      <a:headEnd/>
                      <a:tailEnd/>
                    </a:ln>
                  </pic:spPr>
                </pic:pic>
              </a:graphicData>
            </a:graphic>
          </wp:inline>
        </w:drawing>
      </w:r>
    </w:p>
    <w:p>
      <w:pPr>
        <w:pStyle w:val="a1"/>
        <w:numPr>
          <w:ilvl w:val="8"/>
          <w:numId w:val="15"/>
        </w:numPr>
      </w:pPr>
      <w:r>
        <w:rPr/>
        <w:t xml:space="preserve">碳化硅相位坐标与噪声极值辨别</w:t>
      </w:r>
    </w:p>
    <w:p>
      <w:pPr>
        <w:pStyle w:val="a4"/>
      </w:pPr>
      <w:r>
        <w:rPr/>
        <w:t xml:space="preserve">图19</w:t>
      </w:r>
      <w:r>
        <w:t xml:space="preserve"> </w:t>
      </w:r>
      <w:r>
        <w:rPr/>
        <w:t xml:space="preserve">对比真实干涉周期和噪声纹波的极值计数。直接使用细密噪声极值会产生约54—65</w:t>
      </w:r>
      <w:r>
        <w:t xml:space="preserve"> </w:t>
      </w:r>
      <w:r>
        <w:rPr/>
        <w:t xml:space="preserve">μm的错误厚度量级，因此不作为主结果。</w:t>
      </w:r>
    </w:p>
    <w:p>
      <w:pPr>
        <w:pStyle w:val="aff1"/>
      </w:pPr>
      <w:r>
        <w:drawing>
          <wp:inline>
            <wp:extent cx="5753100" cy="2998212"/>
            <wp:effectExtent b="0" l="0" r="0" t="0"/>
            <wp:docPr descr="图20 厚度与衬底折射率的结构解耦" title="图20 厚度与衬底折射率的结构解耦" id="87" name="图20"/>
            <a:graphic>
              <a:graphicData uri="http://schemas.openxmlformats.org/drawingml/2006/picture">
                <pic:pic>
                  <pic:nvPicPr>
                    <pic:cNvPr descr="图20 厚度与衬底折射率的结构解耦" id="88" name="图20"/>
                    <pic:cNvPicPr>
                      <a:picLocks noChangeArrowheads="1" noChangeAspect="1"/>
                    </pic:cNvPicPr>
                  </pic:nvPicPr>
                  <pic:blipFill>
                    <a:blip r:embed="rId86"/>
                    <a:stretch>
                      <a:fillRect/>
                    </a:stretch>
                  </pic:blipFill>
                  <pic:spPr bwMode="auto">
                    <a:xfrm>
                      <a:off x="0" y="0"/>
                      <a:ext cx="5753100" cy="2998212"/>
                    </a:xfrm>
                    <a:prstGeom prst="rect">
                      <a:avLst/>
                    </a:prstGeom>
                    <a:noFill/>
                    <a:ln w="9525">
                      <a:noFill/>
                      <a:headEnd/>
                      <a:tailEnd/>
                    </a:ln>
                  </pic:spPr>
                </pic:pic>
              </a:graphicData>
            </a:graphic>
          </wp:inline>
        </w:drawing>
      </w:r>
    </w:p>
    <w:p>
      <w:pPr>
        <w:pStyle w:val="a1"/>
        <w:numPr>
          <w:ilvl w:val="8"/>
          <w:numId w:val="15"/>
        </w:numPr>
      </w:pPr>
      <w:r>
        <w:rPr/>
        <w:t xml:space="preserve">厚度与衬底折射率的结构解耦</w:t>
      </w:r>
    </w:p>
    <w:p>
      <w:pPr>
        <w:pStyle w:val="a4"/>
      </w:pPr>
      <w:r>
        <w:rPr/>
        <w:t xml:space="preserve">图20</w:t>
      </w:r>
      <w:r>
        <w:t xml:space="preserve"> </w:t>
      </w:r>
      <w:r>
        <w:rPr/>
        <w:t xml:space="preserve">展示相位频率决定厚度、幅度承担衬底折射率信息的分工。结构解耦降低了幅度弱可辨识对厚度的传递，但不意味着衬底折射率已精确测定。</w:t>
      </w:r>
    </w:p>
    <w:p>
      <w:pPr>
        <w:pStyle w:val="aff1"/>
      </w:pPr>
      <w:r>
        <w:drawing>
          <wp:inline>
            <wp:extent cx="5753100" cy="3395638"/>
            <wp:effectExtent b="0" l="0" r="0" t="0"/>
            <wp:docPr descr="图21 碳化硅反射率的角度—波数响应" title="图21 碳化硅反射率的角度—波数响应" id="90" name="图21"/>
            <a:graphic>
              <a:graphicData uri="http://schemas.openxmlformats.org/drawingml/2006/picture">
                <pic:pic>
                  <pic:nvPicPr>
                    <pic:cNvPr descr="图21 碳化硅反射率的角度—波数响应" id="91" name="图21"/>
                    <pic:cNvPicPr>
                      <a:picLocks noChangeArrowheads="1" noChangeAspect="1"/>
                    </pic:cNvPicPr>
                  </pic:nvPicPr>
                  <pic:blipFill>
                    <a:blip r:embed="rId89"/>
                    <a:stretch>
                      <a:fillRect/>
                    </a:stretch>
                  </pic:blipFill>
                  <pic:spPr bwMode="auto">
                    <a:xfrm>
                      <a:off x="0" y="0"/>
                      <a:ext cx="5753100" cy="3395638"/>
                    </a:xfrm>
                    <a:prstGeom prst="rect">
                      <a:avLst/>
                    </a:prstGeom>
                    <a:noFill/>
                    <a:ln w="9525">
                      <a:noFill/>
                      <a:headEnd/>
                      <a:tailEnd/>
                    </a:ln>
                  </pic:spPr>
                </pic:pic>
              </a:graphicData>
            </a:graphic>
          </wp:inline>
        </w:drawing>
      </w:r>
    </w:p>
    <w:p>
      <w:pPr>
        <w:pStyle w:val="a1"/>
        <w:numPr>
          <w:ilvl w:val="8"/>
          <w:numId w:val="15"/>
        </w:numPr>
      </w:pPr>
      <w:r>
        <w:rPr/>
        <w:t xml:space="preserve">碳化硅反射率的角度—波数响应</w:t>
      </w:r>
    </w:p>
    <w:p>
      <w:pPr>
        <w:pStyle w:val="a4"/>
      </w:pPr>
      <w:r>
        <w:rPr/>
        <w:t xml:space="preserve">图21</w:t>
      </w:r>
      <w:r>
        <w:t xml:space="preserve"> </w:t>
      </w:r>
      <w:r>
        <w:rPr/>
        <w:t xml:space="preserve">给出已估参数下的响应面与等高线，用于观察入射角变化和谱线形状的联系。该模型曲面不替代额外角度的测量验证。</w:t>
      </w:r>
    </w:p>
    <w:p>
      <w:pPr>
        <w:pStyle w:val="aff1"/>
      </w:pPr>
      <w:r>
        <w:drawing>
          <wp:inline>
            <wp:extent cx="5753100" cy="3324672"/>
            <wp:effectExtent b="0" l="0" r="0" t="0"/>
            <wp:docPr descr="图22 碳化硅不同反演方法的厚度量级" title="图22 碳化硅不同反演方法的厚度量级" id="93" name="图22"/>
            <a:graphic>
              <a:graphicData uri="http://schemas.openxmlformats.org/drawingml/2006/picture">
                <pic:pic>
                  <pic:nvPicPr>
                    <pic:cNvPr descr="图22 碳化硅不同反演方法的厚度量级" id="94" name="图22"/>
                    <pic:cNvPicPr>
                      <a:picLocks noChangeArrowheads="1" noChangeAspect="1"/>
                    </pic:cNvPicPr>
                  </pic:nvPicPr>
                  <pic:blipFill>
                    <a:blip r:embed="rId92"/>
                    <a:stretch>
                      <a:fillRect/>
                    </a:stretch>
                  </pic:blipFill>
                  <pic:spPr bwMode="auto">
                    <a:xfrm>
                      <a:off x="0" y="0"/>
                      <a:ext cx="5753100" cy="3324672"/>
                    </a:xfrm>
                    <a:prstGeom prst="rect">
                      <a:avLst/>
                    </a:prstGeom>
                    <a:noFill/>
                    <a:ln w="9525">
                      <a:noFill/>
                      <a:headEnd/>
                      <a:tailEnd/>
                    </a:ln>
                  </pic:spPr>
                </pic:pic>
              </a:graphicData>
            </a:graphic>
          </wp:inline>
        </w:drawing>
      </w:r>
    </w:p>
    <w:p>
      <w:pPr>
        <w:pStyle w:val="a1"/>
        <w:numPr>
          <w:ilvl w:val="8"/>
          <w:numId w:val="15"/>
        </w:numPr>
      </w:pPr>
      <w:r>
        <w:rPr/>
        <w:t xml:space="preserve">碳化硅不同反演方法的厚度量级</w:t>
      </w:r>
    </w:p>
    <w:p>
      <w:pPr>
        <w:pStyle w:val="a4"/>
      </w:pPr>
      <w:r>
        <w:rPr/>
        <w:t xml:space="preserve">图22</w:t>
      </w:r>
      <w:r>
        <w:t xml:space="preserve"> </w:t>
      </w:r>
      <w:r>
        <w:rPr/>
        <w:t xml:space="preserve">对比主方法、极值间隔法与物理正模型拟合。约5.5%的物理拟合差异以及噪声周期导致的错误量级均保留，不用方法平均掩盖模型失配。</w:t>
      </w:r>
    </w:p>
    <w:p>
      <w:pPr>
        <w:pStyle w:val="2"/>
        <w:numPr>
          <w:ilvl w:val="1"/>
          <w:numId w:val="12"/>
        </w:numPr>
      </w:pPr>
      <w:r>
        <w:rPr/>
        <w:t xml:space="preserve">问题2</w:t>
      </w:r>
      <w:r>
        <w:t xml:space="preserve"> </w:t>
      </w:r>
      <w:r>
        <w:rPr/>
        <w:t xml:space="preserve">可靠性与结论</w:t>
      </w:r>
    </w:p>
    <w:p>
      <w:pPr>
        <w:pStyle w:val="a4"/>
      </w:pPr>
      <w:r>
        <w:rPr/>
        <w:t xml:space="preserve">采用两角嵌套F检验时，</w:t>
      </w:r>
      <m:oMath>
        <m:r>
          <m:t>F</m:t>
        </m:r>
        <m:r>
          <m:rPr>
            <m:sty m:val="p"/>
          </m:rPr>
          <m:t>=</m:t>
        </m:r>
        <m:r>
          <m:t>5.251</m:t>
        </m:r>
      </m:oMath>
      <w:r>
        <w:t xml:space="preserve">、</w:t>
      </w:r>
      <m:oMath>
        <m:r>
          <m:t>p</m:t>
        </m:r>
        <m:r>
          <m:rPr>
            <m:sty m:val="p"/>
          </m:rPr>
          <m:t>=</m:t>
        </m:r>
        <m:r>
          <m:t>0.022</m:t>
        </m:r>
      </m:oMath>
      <w:r>
        <w:rPr/>
        <w:t xml:space="preserve">，在显著性水平0.05下拒绝完全相同的统计假设；与此同时，0.165%的角度差小于预设2%工程阈值。本文报告共同厚度作为工程摘要值，并保留独立估计。测量点差异或膜厚梯度是既定解释，不是已经被额外实验确认的因果结论。</w:t>
      </w:r>
    </w:p>
    <w:p>
      <w:pPr>
        <w:pStyle w:val="a4"/>
      </w:pPr>
      <w:r>
        <w:rPr/>
        <w:t xml:space="preserve">带内色散扰动造成0.507%的厚度变化；异常点处理策略变化在记录精度下为0；主方法对衬底折射率的结构敏感性为0，而物理正模型诊断可出现1.92%的变化。将不可靠长波区域纳入反演会产生58.42%的变化，该数字属于谱段选择警示，不应列为“稳健性误差很小”的证据。</w:t>
      </w:r>
    </w:p>
    <w:p>
      <w:pPr>
        <w:pStyle w:val="aff1"/>
      </w:pPr>
      <w:r>
        <w:drawing>
          <wp:inline>
            <wp:extent cx="5753100" cy="2644020"/>
            <wp:effectExtent b="0" l="0" r="0" t="0"/>
            <wp:docPr descr="图23 碳化硅模型组成的消融判定" title="图23 碳化硅模型组成的消融判定" id="96" name="图23"/>
            <a:graphic>
              <a:graphicData uri="http://schemas.openxmlformats.org/drawingml/2006/picture">
                <pic:pic>
                  <pic:nvPicPr>
                    <pic:cNvPr descr="图23 碳化硅模型组成的消融判定" id="97" name="图23"/>
                    <pic:cNvPicPr>
                      <a:picLocks noChangeArrowheads="1" noChangeAspect="1"/>
                    </pic:cNvPicPr>
                  </pic:nvPicPr>
                  <pic:blipFill>
                    <a:blip r:embed="rId95"/>
                    <a:stretch>
                      <a:fillRect/>
                    </a:stretch>
                  </pic:blipFill>
                  <pic:spPr bwMode="auto">
                    <a:xfrm>
                      <a:off x="0" y="0"/>
                      <a:ext cx="5753100" cy="2644020"/>
                    </a:xfrm>
                    <a:prstGeom prst="rect">
                      <a:avLst/>
                    </a:prstGeom>
                    <a:noFill/>
                    <a:ln w="9525">
                      <a:noFill/>
                      <a:headEnd/>
                      <a:tailEnd/>
                    </a:ln>
                  </pic:spPr>
                </pic:pic>
              </a:graphicData>
            </a:graphic>
          </wp:inline>
        </w:drawing>
      </w:r>
    </w:p>
    <w:p>
      <w:pPr>
        <w:pStyle w:val="a1"/>
        <w:numPr>
          <w:ilvl w:val="8"/>
          <w:numId w:val="15"/>
        </w:numPr>
      </w:pPr>
      <w:r>
        <w:rPr/>
        <w:t xml:space="preserve">碳化硅模型组成的消融判定</w:t>
      </w:r>
    </w:p>
    <w:p>
      <w:pPr>
        <w:pStyle w:val="a4"/>
      </w:pPr>
      <w:r>
        <w:rPr/>
        <w:t xml:space="preserve">图23</w:t>
      </w:r>
      <w:r>
        <w:t xml:space="preserve"> </w:t>
      </w:r>
      <w:r>
        <w:rPr/>
        <w:t xml:space="preserve">汇总预先指定的消融实验。删除基线变化会显著影响厚度，说明主方法中的背景与干涉分解不是纯粹的排版性修饰或事后解释。</w:t>
      </w:r>
    </w:p>
    <w:p>
      <w:pPr>
        <w:pStyle w:val="aff1"/>
      </w:pPr>
      <w:r>
        <w:drawing>
          <wp:inline>
            <wp:extent cx="5753100" cy="2644487"/>
            <wp:effectExtent b="0" l="0" r="0" t="0"/>
            <wp:docPr descr="图24 碳化硅消融后的厚度变化" title="图24 碳化硅消融后的厚度变化" id="99" name="图24"/>
            <a:graphic>
              <a:graphicData uri="http://schemas.openxmlformats.org/drawingml/2006/picture">
                <pic:pic>
                  <pic:nvPicPr>
                    <pic:cNvPr descr="图24 碳化硅消融后的厚度变化" id="100" name="图24"/>
                    <pic:cNvPicPr>
                      <a:picLocks noChangeArrowheads="1" noChangeAspect="1"/>
                    </pic:cNvPicPr>
                  </pic:nvPicPr>
                  <pic:blipFill>
                    <a:blip r:embed="rId98"/>
                    <a:stretch>
                      <a:fillRect/>
                    </a:stretch>
                  </pic:blipFill>
                  <pic:spPr bwMode="auto">
                    <a:xfrm>
                      <a:off x="0" y="0"/>
                      <a:ext cx="5753100" cy="2644487"/>
                    </a:xfrm>
                    <a:prstGeom prst="rect">
                      <a:avLst/>
                    </a:prstGeom>
                    <a:noFill/>
                    <a:ln w="9525">
                      <a:noFill/>
                      <a:headEnd/>
                      <a:tailEnd/>
                    </a:ln>
                  </pic:spPr>
                </pic:pic>
              </a:graphicData>
            </a:graphic>
          </wp:inline>
        </w:drawing>
      </w:r>
    </w:p>
    <w:p>
      <w:pPr>
        <w:pStyle w:val="a1"/>
        <w:numPr>
          <w:ilvl w:val="8"/>
          <w:numId w:val="15"/>
        </w:numPr>
      </w:pPr>
      <w:r>
        <w:rPr/>
        <w:t xml:space="preserve">碳化硅消融后的厚度变化</w:t>
      </w:r>
    </w:p>
    <w:p>
      <w:pPr>
        <w:pStyle w:val="a4"/>
      </w:pPr>
      <w:r>
        <w:rPr/>
        <w:t xml:space="preserve">图24</w:t>
      </w:r>
      <w:r>
        <w:t xml:space="preserve"> </w:t>
      </w:r>
      <w:r>
        <w:rPr/>
        <w:t xml:space="preserve">对比完整模型与不同删减模型的厚度。常数基线方案产生5.55%的变化，说明基线建模误差可以直接进入厚度估计。</w:t>
      </w:r>
    </w:p>
    <w:p>
      <w:pPr>
        <w:pStyle w:val="aff1"/>
      </w:pPr>
      <w:r>
        <w:drawing>
          <wp:inline>
            <wp:extent cx="5753100" cy="2337947"/>
            <wp:effectExtent b="0" l="0" r="0" t="0"/>
            <wp:docPr descr="图25 共享厚度约束与独立厚度估计" title="图25 共享厚度约束与独立厚度估计" id="102" name="图25"/>
            <a:graphic>
              <a:graphicData uri="http://schemas.openxmlformats.org/drawingml/2006/picture">
                <pic:pic>
                  <pic:nvPicPr>
                    <pic:cNvPr descr="图25 共享厚度约束与独立厚度估计" id="103" name="图25"/>
                    <pic:cNvPicPr>
                      <a:picLocks noChangeArrowheads="1" noChangeAspect="1"/>
                    </pic:cNvPicPr>
                  </pic:nvPicPr>
                  <pic:blipFill>
                    <a:blip r:embed="rId101"/>
                    <a:stretch>
                      <a:fillRect/>
                    </a:stretch>
                  </pic:blipFill>
                  <pic:spPr bwMode="auto">
                    <a:xfrm>
                      <a:off x="0" y="0"/>
                      <a:ext cx="5753100" cy="2337947"/>
                    </a:xfrm>
                    <a:prstGeom prst="rect">
                      <a:avLst/>
                    </a:prstGeom>
                    <a:noFill/>
                    <a:ln w="9525">
                      <a:noFill/>
                      <a:headEnd/>
                      <a:tailEnd/>
                    </a:ln>
                  </pic:spPr>
                </pic:pic>
              </a:graphicData>
            </a:graphic>
          </wp:inline>
        </w:drawing>
      </w:r>
    </w:p>
    <w:p>
      <w:pPr>
        <w:pStyle w:val="a1"/>
        <w:numPr>
          <w:ilvl w:val="8"/>
          <w:numId w:val="15"/>
        </w:numPr>
      </w:pPr>
      <w:r>
        <w:rPr/>
        <w:t xml:space="preserve">共享厚度约束与独立厚度估计</w:t>
      </w:r>
    </w:p>
    <w:p>
      <w:pPr>
        <w:pStyle w:val="a4"/>
      </w:pPr>
      <w:r>
        <w:rPr/>
        <w:t xml:space="preserve">图25</w:t>
      </w:r>
      <w:r>
        <w:t xml:space="preserve"> </w:t>
      </w:r>
      <w:r>
        <w:rPr/>
        <w:t xml:space="preserve">展示联合估计与独立角度估计的关系。共享参数利用共同几何信息，而独立估计保留了检验空间不均匀性或测量差异的入口。</w:t>
      </w:r>
    </w:p>
    <w:p>
      <w:pPr>
        <w:pStyle w:val="a4"/>
      </w:pPr>
      <w:r>
        <w:rPr/>
        <w:t xml:space="preserve">去掉慢变基线、改用常数基线后厚度变化5.55%，拟合误差显著增加；这与刚性物理基线交叉拟合约5.5%的厚度差异方向相符。细密噪声峰导致的54—65</w:t>
      </w:r>
      <w:r>
        <w:t xml:space="preserve"> </w:t>
      </w:r>
      <w:r>
        <w:rPr/>
        <w:t xml:space="preserve">μm量级也不进入主结果。当前7.2158</w:t>
      </w:r>
      <w:r>
        <w:t xml:space="preserve"> </w:t>
      </w:r>
      <w:r>
        <w:rPr/>
        <w:t xml:space="preserve">μm的结论依赖既定色散和相位分解，不宣称所有候选模型一致。</w:t>
      </w:r>
    </w:p>
    <w:p>
      <w:pPr>
        <w:pStyle w:val="a4"/>
      </w:pPr>
      <w:r>
        <w:rPr/>
        <w:t xml:space="preserve">衬底折射率仍为幅度弱辨识值；SiC长波端色散、部分材料文献全文、未实施的重采样置信分析都是尚未完成的验证。背景阶数扰动与主结果并非完全重合，不能以较窄的条件置信区间掩盖模型选择不确定性。本文不新增这些试验，也不把“无需重新修订模型”改写为“没有剩余误差”。</w:t>
      </w:r>
    </w:p>
    <w:p>
      <w:pPr>
        <w:pStyle w:val="1"/>
        <w:numPr>
          <w:ilvl w:val="0"/>
          <w:numId w:val="12"/>
        </w:numPr>
      </w:pPr>
      <w:r>
        <w:rPr/>
        <w:t xml:space="preserve">问题3</w:t>
      </w:r>
      <w:r>
        <w:t xml:space="preserve"> </w:t>
      </w:r>
      <w:r>
        <w:rPr/>
        <w:t xml:space="preserve">多光束条件及硅厚度反演</w:t>
      </w:r>
    </w:p>
    <w:p>
      <w:pPr>
        <w:pStyle w:val="2"/>
        <w:numPr>
          <w:ilvl w:val="1"/>
          <w:numId w:val="12"/>
        </w:numPr>
      </w:pPr>
      <w:r>
        <w:rPr/>
        <w:t xml:space="preserve">问题3</w:t>
      </w:r>
      <w:r>
        <w:t xml:space="preserve"> </w:t>
      </w:r>
      <w:r>
        <w:rPr/>
        <w:t xml:space="preserve">问题分析与Airy模型</w:t>
      </w:r>
    </w:p>
    <w:p>
      <w:pPr>
        <w:pStyle w:val="a4"/>
      </w:pPr>
      <w:r>
        <w:rPr/>
        <w:t xml:space="preserve">在平行界面上，各次往返的复振幅形成几何级数。设界面振幅反射系数为</w:t>
      </w:r>
      <w:r>
        <w:t xml:space="preserve"> </w:t>
      </w:r>
      <m:oMath>
        <m:sSub>
          <m:e>
            <m:r>
              <m:t>r</m:t>
            </m:r>
          </m:e>
          <m:sub>
            <m:r>
              <m:t>01</m:t>
            </m:r>
          </m:sub>
        </m:sSub>
      </m:oMath>
      <w:r>
        <w:t xml:space="preserve">、</w:t>
      </w:r>
      <m:oMath>
        <m:sSub>
          <m:e>
            <m:r>
              <m:t>r</m:t>
            </m:r>
          </m:e>
          <m:sub>
            <m:r>
              <m:t>12</m:t>
            </m:r>
          </m:sub>
        </m:sSub>
      </m:oMath>
      <w:r>
        <w:rPr/>
        <w:t xml:space="preserve">，则</w:t>
      </w:r>
    </w:p>
    <w:p>
      <w:pPr>
        <w:pStyle w:val="aff7"/>
      </w:pPr>
      <m:oMathPara>
        <m:oMathParaPr>
          <m:jc m:val="center"/>
        </m:oMathParaPr>
        <m:oMath>
          <m:r>
            <m:t>r</m:t>
          </m:r>
          <m:r>
            <m:rPr>
              <m:sty m:val="p"/>
            </m:rPr>
            <m:t>=</m:t>
          </m:r>
          <m:f>
            <m:fPr>
              <m:type m:val="bar"/>
            </m:fPr>
            <m:num>
              <m:sSub>
                <m:e>
                  <m:r>
                    <m:t>r</m:t>
                  </m:r>
                </m:e>
                <m:sub>
                  <m:r>
                    <m:t>01</m:t>
                  </m:r>
                </m:sub>
              </m:sSub>
              <m:r>
                <m:rPr>
                  <m:sty m:val="p"/>
                </m:rPr>
                <m:t>+</m:t>
              </m:r>
              <m:sSub>
                <m:e>
                  <m:r>
                    <m:t>r</m:t>
                  </m:r>
                </m:e>
                <m:sub>
                  <m:r>
                    <m:t>12</m:t>
                  </m:r>
                </m:sub>
              </m:sSub>
              <m:sSup>
                <m:e>
                  <m:r>
                    <m:t>e</m:t>
                  </m:r>
                </m:e>
                <m:sup>
                  <m:r>
                    <m:t>i</m:t>
                  </m:r>
                  <m:r>
                    <m:t>δ</m:t>
                  </m:r>
                </m:sup>
              </m:sSup>
            </m:num>
            <m:den>
              <m:r>
                <m:t>1</m:t>
              </m:r>
              <m:r>
                <m:rPr>
                  <m:sty m:val="p"/>
                </m:rPr>
                <m:t>+</m:t>
              </m:r>
              <m:sSub>
                <m:e>
                  <m:r>
                    <m:t>r</m:t>
                  </m:r>
                </m:e>
                <m:sub>
                  <m:r>
                    <m:t>01</m:t>
                  </m:r>
                </m:sub>
              </m:sSub>
              <m:sSub>
                <m:e>
                  <m:r>
                    <m:t>r</m:t>
                  </m:r>
                </m:e>
                <m:sub>
                  <m:r>
                    <m:t>12</m:t>
                  </m:r>
                </m:sub>
              </m:sSub>
              <m:sSup>
                <m:e>
                  <m:r>
                    <m:t>e</m:t>
                  </m:r>
                </m:e>
                <m:sup>
                  <m:r>
                    <m:t>i</m:t>
                  </m:r>
                  <m:r>
                    <m:t>δ</m:t>
                  </m:r>
                </m:sup>
              </m:sSup>
            </m:den>
          </m:f>
          <m:r>
            <m:rPr>
              <m:sty m:val="p"/>
            </m:rPr>
            <m:t>,</m:t>
          </m:r>
          <m:r>
            <m:t>  </m:t>
          </m:r>
          <m:sSub>
            <m:e>
              <m:r>
                <m:t>R</m:t>
              </m:r>
            </m:e>
            <m:sub>
              <m:r>
                <m:rPr>
                  <m:sty m:val="p"/>
                </m:rPr>
                <m:t>A</m:t>
              </m:r>
              <m:r>
                <m:rPr>
                  <m:sty m:val="p"/>
                </m:rPr>
                <m:t>i</m:t>
              </m:r>
              <m:r>
                <m:rPr>
                  <m:sty m:val="p"/>
                </m:rPr>
                <m:t>r</m:t>
              </m:r>
              <m:r>
                <m:rPr>
                  <m:sty m:val="p"/>
                </m:rPr>
                <m:t>y</m:t>
              </m:r>
            </m:sub>
          </m:sSub>
          <m:r>
            <m:rPr>
              <m:sty m:val="p"/>
            </m:rPr>
            <m:t>=</m:t>
          </m:r>
          <m:r>
            <m:rPr>
              <m:sty m:val="p"/>
            </m:rPr>
            <m:t>|</m:t>
          </m:r>
          <m:r>
            <m:t>r</m:t>
          </m:r>
          <m:sSup>
            <m:e>
              <m:r>
                <m:rPr>
                  <m:sty m:val="p"/>
                </m:rPr>
                <m:t>|</m:t>
              </m:r>
            </m:e>
            <m:sup>
              <m:r>
                <m:t>2</m:t>
              </m:r>
            </m:sup>
          </m:sSup>
          <m:r>
            <m:rPr>
              <m:sty m:val="p"/>
            </m:rPr>
            <m:t>.</m:t>
          </m:r>
        </m:oMath>
      </m:oMathPara>
    </w:p>
    <w:p>
      <w:pPr>
        <w:pStyle w:val="a4"/>
      </w:pPr>
      <w:r>
        <w:rPr/>
        <w:t xml:space="preserve">对透明介质，在一致处理反射相位的约定下可写为</w:t>
      </w:r>
    </w:p>
    <w:p>
      <w:pPr>
        <w:pStyle w:val="aff7"/>
      </w:pPr>
      <m:oMathPara>
        <m:oMathParaPr>
          <m:jc m:val="center"/>
        </m:oMathParaPr>
        <m:oMath>
          <m:sSub>
            <m:e>
              <m:r>
                <m:t>R</m:t>
              </m:r>
            </m:e>
            <m:sub>
              <m:r>
                <m:rPr>
                  <m:sty m:val="p"/>
                </m:rPr>
                <m:t>A</m:t>
              </m:r>
              <m:r>
                <m:rPr>
                  <m:sty m:val="p"/>
                </m:rPr>
                <m:t>i</m:t>
              </m:r>
              <m:r>
                <m:rPr>
                  <m:sty m:val="p"/>
                </m:rPr>
                <m:t>r</m:t>
              </m:r>
              <m:r>
                <m:rPr>
                  <m:sty m:val="p"/>
                </m:rPr>
                <m:t>y</m:t>
              </m:r>
            </m:sub>
          </m:sSub>
          <m:r>
            <m:rPr>
              <m:sty m:val="p"/>
            </m:rPr>
            <m:t>=</m:t>
          </m:r>
          <m:f>
            <m:fPr>
              <m:type m:val="bar"/>
            </m:fPr>
            <m:num>
              <m:sSub>
                <m:e>
                  <m:r>
                    <m:t>R</m:t>
                  </m:r>
                </m:e>
                <m:sub>
                  <m:r>
                    <m:t>01</m:t>
                  </m:r>
                </m:sub>
              </m:sSub>
              <m:r>
                <m:rPr>
                  <m:sty m:val="p"/>
                </m:rPr>
                <m:t>+</m:t>
              </m:r>
              <m:sSub>
                <m:e>
                  <m:r>
                    <m:t>R</m:t>
                  </m:r>
                </m:e>
                <m:sub>
                  <m:r>
                    <m:t>12</m:t>
                  </m:r>
                </m:sub>
              </m:sSub>
              <m:r>
                <m:rPr>
                  <m:sty m:val="p"/>
                </m:rPr>
                <m:t>+</m:t>
              </m:r>
              <m:r>
                <m:t>2</m:t>
              </m:r>
              <m:rad>
                <m:radPr>
                  <m:degHide m:val="on"/>
                </m:radPr>
                <m:deg/>
                <m:e>
                  <m:sSub>
                    <m:e>
                      <m:r>
                        <m:t>R</m:t>
                      </m:r>
                    </m:e>
                    <m:sub>
                      <m:r>
                        <m:t>01</m:t>
                      </m:r>
                    </m:sub>
                  </m:sSub>
                  <m:sSub>
                    <m:e>
                      <m:r>
                        <m:t>R</m:t>
                      </m:r>
                    </m:e>
                    <m:sub>
                      <m:r>
                        <m:t>12</m:t>
                      </m:r>
                    </m:sub>
                  </m:sSub>
                </m:e>
              </m:rad>
              <m:r>
                <m:rPr>
                  <m:sty m:val="p"/>
                </m:rPr>
                <m:t>cos</m:t>
              </m:r>
              <m:r>
                <m:t>δ</m:t>
              </m:r>
            </m:num>
            <m:den>
              <m:r>
                <m:t>1</m:t>
              </m:r>
              <m:r>
                <m:rPr>
                  <m:sty m:val="p"/>
                </m:rPr>
                <m:t>+</m:t>
              </m:r>
              <m:sSub>
                <m:e>
                  <m:r>
                    <m:t>R</m:t>
                  </m:r>
                </m:e>
                <m:sub>
                  <m:r>
                    <m:t>01</m:t>
                  </m:r>
                </m:sub>
              </m:sSub>
              <m:sSub>
                <m:e>
                  <m:r>
                    <m:t>R</m:t>
                  </m:r>
                </m:e>
                <m:sub>
                  <m:r>
                    <m:t>12</m:t>
                  </m:r>
                </m:sub>
              </m:sSub>
              <m:r>
                <m:rPr>
                  <m:sty m:val="p"/>
                </m:rPr>
                <m:t>+</m:t>
              </m:r>
              <m:r>
                <m:t>2</m:t>
              </m:r>
              <m:rad>
                <m:radPr>
                  <m:degHide m:val="on"/>
                </m:radPr>
                <m:deg/>
                <m:e>
                  <m:sSub>
                    <m:e>
                      <m:r>
                        <m:t>R</m:t>
                      </m:r>
                    </m:e>
                    <m:sub>
                      <m:r>
                        <m:t>01</m:t>
                      </m:r>
                    </m:sub>
                  </m:sSub>
                  <m:sSub>
                    <m:e>
                      <m:r>
                        <m:t>R</m:t>
                      </m:r>
                    </m:e>
                    <m:sub>
                      <m:r>
                        <m:t>12</m:t>
                      </m:r>
                    </m:sub>
                  </m:sSub>
                </m:e>
              </m:rad>
              <m:r>
                <m:rPr>
                  <m:sty m:val="p"/>
                </m:rPr>
                <m:t>cos</m:t>
              </m:r>
              <m:r>
                <m:t>δ</m:t>
              </m:r>
            </m:den>
          </m:f>
          <m:r>
            <m:rPr>
              <m:sty m:val="p"/>
            </m:rPr>
            <m:t>.</m:t>
          </m:r>
        </m:oMath>
      </m:oMathPara>
    </w:p>
    <w:p>
      <w:pPr>
        <w:pStyle w:val="a4"/>
      </w:pPr>
      <w:r>
        <w:rPr/>
        <w:t xml:space="preserve">多次反射与近似平行板的有关研究构成这一模型的背景</w:t>
      </w:r>
      <w:r>
        <w:t xml:space="preserve"> </w:t>
      </w:r>
      <w:r>
        <w:rPr/>
        <w:t xml:space="preserve">[28]、[29]、[30]、[31]、[32]。多光束的“存在”与“对厚度估计有显著影响”是两个不同问题。</w:t>
      </w:r>
    </w:p>
    <w:p>
      <w:pPr>
        <w:pStyle w:val="2"/>
        <w:numPr>
          <w:ilvl w:val="1"/>
          <w:numId w:val="12"/>
        </w:numPr>
      </w:pPr>
      <w:r>
        <w:rPr/>
        <w:t xml:space="preserve">问题3</w:t>
      </w:r>
      <w:r>
        <w:t xml:space="preserve"> </w:t>
      </w:r>
      <w:r>
        <w:rPr/>
        <w:t xml:space="preserve">必要条件与厚度影响</w:t>
      </w:r>
    </w:p>
    <w:p>
      <w:pPr>
        <w:pStyle w:val="a4"/>
      </w:pPr>
      <w:r>
        <w:rPr/>
        <w:t xml:space="preserve">高阶反射形成可观察干涉，需要反射后的幅度未过快衰减、相干长度足够、界面平行性与光束重叠满足要求，并且吸收未将往返光束显著衰减。界面反射率的几何平均及精细度参数记为</w:t>
      </w:r>
    </w:p>
    <w:p>
      <w:pPr>
        <w:pStyle w:val="aff7"/>
      </w:pPr>
      <m:oMathPara>
        <m:oMathParaPr>
          <m:jc m:val="center"/>
        </m:oMathParaPr>
        <m:oMath>
          <m:acc>
            <m:accPr>
              <m:chr m:val="‾"/>
            </m:accPr>
            <m:e>
              <m:r>
                <m:t>R</m:t>
              </m:r>
            </m:e>
          </m:acc>
          <m:r>
            <m:rPr>
              <m:sty m:val="p"/>
            </m:rPr>
            <m:t>=</m:t>
          </m:r>
          <m:rad>
            <m:radPr>
              <m:degHide m:val="on"/>
            </m:radPr>
            <m:deg/>
            <m:e>
              <m:sSub>
                <m:e>
                  <m:r>
                    <m:t>R</m:t>
                  </m:r>
                </m:e>
                <m:sub>
                  <m:r>
                    <m:t>01</m:t>
                  </m:r>
                </m:sub>
              </m:sSub>
              <m:sSub>
                <m:e>
                  <m:r>
                    <m:t>R</m:t>
                  </m:r>
                </m:e>
                <m:sub>
                  <m:r>
                    <m:t>12</m:t>
                  </m:r>
                </m:sub>
              </m:sSub>
            </m:e>
          </m:rad>
          <m:r>
            <m:rPr>
              <m:sty m:val="p"/>
            </m:rPr>
            <m:t>,</m:t>
          </m:r>
          <m:r>
            <m:t>  </m:t>
          </m:r>
          <m:r>
            <m:rPr>
              <m:scr m:val="script"/>
              <m:sty m:val="p"/>
            </m:rPr>
            <m:t>F</m:t>
          </m:r>
          <m:r>
            <m:rPr>
              <m:sty m:val="p"/>
            </m:rPr>
            <m:t>=</m:t>
          </m:r>
          <m:f>
            <m:fPr>
              <m:type m:val="bar"/>
            </m:fPr>
            <m:num>
              <m:r>
                <m:t>π</m:t>
              </m:r>
              <m:rad>
                <m:radPr>
                  <m:degHide m:val="on"/>
                </m:radPr>
                <m:deg/>
                <m:e>
                  <m:acc>
                    <m:accPr>
                      <m:chr m:val="‾"/>
                    </m:accPr>
                    <m:e>
                      <m:r>
                        <m:t>R</m:t>
                      </m:r>
                    </m:e>
                  </m:acc>
                </m:e>
              </m:rad>
            </m:num>
            <m:den>
              <m:r>
                <m:t>1</m:t>
              </m:r>
              <m:r>
                <m:rPr>
                  <m:sty m:val="p"/>
                </m:rPr>
                <m:t>−</m:t>
              </m:r>
              <m:acc>
                <m:accPr>
                  <m:chr m:val="‾"/>
                </m:accPr>
                <m:e>
                  <m:r>
                    <m:t>R</m:t>
                  </m:r>
                </m:e>
              </m:acc>
            </m:den>
          </m:f>
          <m:r>
            <m:rPr>
              <m:sty m:val="p"/>
            </m:rPr>
            <m:t>.</m:t>
          </m:r>
        </m:oMath>
      </m:oMathPara>
    </w:p>
    <w:p>
      <w:pPr>
        <w:pStyle w:val="a4"/>
      </w:pPr>
      <w:r>
        <w:rPr/>
        <w:t xml:space="preserve">本文按原方案将</w:t>
      </w:r>
      <w:r>
        <w:t xml:space="preserve"> </w:t>
      </w:r>
      <m:oMath>
        <m:acc>
          <m:accPr>
            <m:chr m:val="‾"/>
          </m:accPr>
          <m:e>
            <m:r>
              <m:t>R</m:t>
            </m:r>
          </m:e>
        </m:acc>
        <m:r>
          <m:rPr>
            <m:sty m:val="p"/>
          </m:rPr>
          <m:t>≤</m:t>
        </m:r>
        <m:r>
          <m:t>0.05</m:t>
        </m:r>
      </m:oMath>
      <w:r>
        <w:t xml:space="preserve"> </w:t>
      </w:r>
      <w:r>
        <w:rPr/>
        <w:t xml:space="preserve">作为量级诊断，并结合Airy相对物理两光束基线的残差改善是否超过10%判定是否需要修正。二者是当前分析的预设阈值，不是适用于所有仪器和晶圆的自然常数。</w:t>
      </w:r>
    </w:p>
    <w:p>
      <w:pPr>
        <w:pStyle w:val="a4"/>
      </w:pPr>
      <w:r>
        <w:rPr/>
        <w:t xml:space="preserve">令</w:t>
      </w:r>
      <w:r>
        <w:t xml:space="preserve"> </w:t>
      </w:r>
      <m:oMath>
        <m:r>
          <m:t>A</m:t>
        </m:r>
        <m:r>
          <m:rPr>
            <m:sty m:val="p"/>
          </m:rPr>
          <m:t>=</m:t>
        </m:r>
        <m:sSub>
          <m:e>
            <m:r>
              <m:t>R</m:t>
            </m:r>
          </m:e>
          <m:sub>
            <m:r>
              <m:t>01</m:t>
            </m:r>
          </m:sub>
        </m:sSub>
        <m:r>
          <m:rPr>
            <m:sty m:val="p"/>
          </m:rPr>
          <m:t>+</m:t>
        </m:r>
        <m:sSub>
          <m:e>
            <m:r>
              <m:t>R</m:t>
            </m:r>
          </m:e>
          <m:sub>
            <m:r>
              <m:t>12</m:t>
            </m:r>
          </m:sub>
        </m:sSub>
      </m:oMath>
      <w:r>
        <w:t xml:space="preserve">、</w:t>
      </w:r>
      <m:oMath>
        <m:r>
          <m:t>B</m:t>
        </m:r>
        <m:r>
          <m:rPr>
            <m:sty m:val="p"/>
          </m:rPr>
          <m:t>=</m:t>
        </m:r>
        <m:r>
          <m:t>2</m:t>
        </m:r>
        <m:rad>
          <m:radPr>
            <m:degHide m:val="on"/>
          </m:radPr>
          <m:deg/>
          <m:e>
            <m:sSub>
              <m:e>
                <m:r>
                  <m:t>R</m:t>
                </m:r>
              </m:e>
              <m:sub>
                <m:r>
                  <m:t>01</m:t>
                </m:r>
              </m:sub>
            </m:sSub>
            <m:sSub>
              <m:e>
                <m:r>
                  <m:t>R</m:t>
                </m:r>
              </m:e>
              <m:sub>
                <m:r>
                  <m:t>12</m:t>
                </m:r>
              </m:sub>
            </m:sSub>
          </m:e>
        </m:rad>
      </m:oMath>
      <w:r>
        <w:t xml:space="preserve">、</w:t>
      </w:r>
      <m:oMath>
        <m:r>
          <m:t>C</m:t>
        </m:r>
        <m:r>
          <m:rPr>
            <m:sty m:val="p"/>
          </m:rPr>
          <m:t>=</m:t>
        </m:r>
        <m:r>
          <m:t>1</m:t>
        </m:r>
        <m:r>
          <m:rPr>
            <m:sty m:val="p"/>
          </m:rPr>
          <m:t>+</m:t>
        </m:r>
        <m:sSub>
          <m:e>
            <m:r>
              <m:t>R</m:t>
            </m:r>
          </m:e>
          <m:sub>
            <m:r>
              <m:t>01</m:t>
            </m:r>
          </m:sub>
        </m:sSub>
        <m:sSub>
          <m:e>
            <m:r>
              <m:t>R</m:t>
            </m:r>
          </m:e>
          <m:sub>
            <m:r>
              <m:t>12</m:t>
            </m:r>
          </m:sub>
        </m:sSub>
      </m:oMath>
      <w:r>
        <w:rPr/>
        <w:t xml:space="preserve">。当比较相位变化时把界面系数固定，有</w:t>
      </w:r>
    </w:p>
    <w:p>
      <w:pPr>
        <w:pStyle w:val="aff7"/>
      </w:pPr>
      <m:oMathPara>
        <m:oMathParaPr>
          <m:jc m:val="center"/>
        </m:oMathParaPr>
        <m:oMath>
          <m:f>
            <m:fPr>
              <m:type m:val="bar"/>
            </m:fPr>
            <m:num>
              <m:r>
                <m:t>d</m:t>
              </m:r>
              <m:sSub>
                <m:e>
                  <m:r>
                    <m:t>R</m:t>
                  </m:r>
                </m:e>
                <m:sub>
                  <m:r>
                    <m:rPr>
                      <m:sty m:val="p"/>
                    </m:rPr>
                    <m:t>A</m:t>
                  </m:r>
                  <m:r>
                    <m:rPr>
                      <m:sty m:val="p"/>
                    </m:rPr>
                    <m:t>i</m:t>
                  </m:r>
                  <m:r>
                    <m:rPr>
                      <m:sty m:val="p"/>
                    </m:rPr>
                    <m:t>r</m:t>
                  </m:r>
                  <m:r>
                    <m:rPr>
                      <m:sty m:val="p"/>
                    </m:rPr>
                    <m:t>y</m:t>
                  </m:r>
                </m:sub>
              </m:sSub>
            </m:num>
            <m:den>
              <m:r>
                <m:t>d</m:t>
              </m:r>
              <m:r>
                <m:t>δ</m:t>
              </m:r>
            </m:den>
          </m:f>
          <m:r>
            <m:rPr>
              <m:sty m:val="p"/>
            </m:rPr>
            <m:t>=</m:t>
          </m:r>
          <m:f>
            <m:fPr>
              <m:type m:val="bar"/>
            </m:fPr>
            <m:num>
              <m:r>
                <m:t>B</m:t>
              </m:r>
              <m:r>
                <m:rPr>
                  <m:sty m:val="p"/>
                </m:rPr>
                <m:t>(</m:t>
              </m:r>
              <m:r>
                <m:t>A</m:t>
              </m:r>
              <m:r>
                <m:rPr>
                  <m:sty m:val="p"/>
                </m:rPr>
                <m:t>−</m:t>
              </m:r>
              <m:r>
                <m:t>C</m:t>
              </m:r>
              <m:r>
                <m:rPr>
                  <m:sty m:val="p"/>
                </m:rPr>
                <m:t>)</m:t>
              </m:r>
              <m:r>
                <m:rPr>
                  <m:sty m:val="p"/>
                </m:rPr>
                <m:t>sin</m:t>
              </m:r>
              <m:r>
                <m:t>δ</m:t>
              </m:r>
            </m:num>
            <m:den>
              <m:r>
                <m:rPr>
                  <m:sty m:val="p"/>
                </m:rPr>
                <m:t>(</m:t>
              </m:r>
              <m:r>
                <m:t>C</m:t>
              </m:r>
              <m:r>
                <m:rPr>
                  <m:sty m:val="p"/>
                </m:rPr>
                <m:t>+</m:t>
              </m:r>
              <m:r>
                <m:t>B</m:t>
              </m:r>
              <m:r>
                <m:rPr>
                  <m:sty m:val="p"/>
                </m:rPr>
                <m:t>cos</m:t>
              </m:r>
              <m:r>
                <m:t>δ</m:t>
              </m:r>
              <m:sSup>
                <m:e>
                  <m:r>
                    <m:rPr>
                      <m:sty m:val="p"/>
                    </m:rPr>
                    <m:t>)</m:t>
                  </m:r>
                </m:e>
                <m:sup>
                  <m:r>
                    <m:t>2</m:t>
                  </m:r>
                </m:sup>
              </m:sSup>
            </m:den>
          </m:f>
          <m:r>
            <m:rPr>
              <m:sty m:val="p"/>
            </m:rPr>
            <m:t>.</m:t>
          </m:r>
        </m:oMath>
      </m:oMathPara>
    </w:p>
    <w:p>
      <w:pPr>
        <w:pStyle w:val="a4"/>
      </w:pPr>
      <w:r>
        <w:rPr/>
        <w:t xml:space="preserve">因此在非退化的透明平板情形，相位极值仍对应</w:t>
      </w:r>
      <w:r>
        <w:t xml:space="preserve"> </w:t>
      </w:r>
      <m:oMath>
        <m:r>
          <m:t>δ</m:t>
        </m:r>
        <m:r>
          <m:rPr>
            <m:sty m:val="p"/>
          </m:rPr>
          <m:t>=</m:t>
        </m:r>
        <m:r>
          <m:t>m</m:t>
        </m:r>
        <m:r>
          <m:t>π</m:t>
        </m:r>
      </m:oMath>
      <w:r>
        <w:rPr/>
        <w:t xml:space="preserve">。这一结论解释了高阶反射主要改变峰形而不改变基本相位周期；它不是对吸收介质、明显色散的振幅变化或有限噪声拟合中厚度偏差严格为零的断言。</w:t>
      </w:r>
    </w:p>
    <w:p>
      <w:pPr>
        <w:pStyle w:val="2"/>
        <w:numPr>
          <w:ilvl w:val="1"/>
          <w:numId w:val="12"/>
        </w:numPr>
      </w:pPr>
      <w:r>
        <w:rPr/>
        <w:t xml:space="preserve">问题3</w:t>
      </w:r>
      <w:r>
        <w:t xml:space="preserve"> </w:t>
      </w:r>
      <w:r>
        <w:rPr/>
        <w:t xml:space="preserve">硅数据算法与厚度结果</w:t>
      </w:r>
    </w:p>
    <w:p>
      <w:pPr>
        <w:pStyle w:val="a4"/>
      </w:pPr>
      <w:r>
        <w:rPr/>
        <w:t xml:space="preserve">硅采用自身材料色散关系</w:t>
      </w:r>
      <w:r>
        <w:t xml:space="preserve"> </w:t>
      </w:r>
      <w:r>
        <w:rPr/>
        <w:t xml:space="preserve">[12]、[13]、[14]，其主反演带内色散较弱。计算仍用基线—干涉分解与一维变量投影，透明谱段选为</w:t>
      </w:r>
      <w:r>
        <w:t xml:space="preserve"> </w:t>
      </w:r>
      <m:oMath>
        <m:r>
          <m:rPr>
            <m:sty m:val="p"/>
          </m:rPr>
          <m:t>[</m:t>
        </m:r>
        <m:r>
          <m:t>2000</m:t>
        </m:r>
        <m:r>
          <m:rPr>
            <m:sty m:val="p"/>
          </m:rPr>
          <m:t>,</m:t>
        </m:r>
        <m:r>
          <m:t>4000</m:t>
        </m:r>
        <m:r>
          <m:rPr>
            <m:sty m:val="p"/>
          </m:rPr>
          <m:t>]</m:t>
        </m:r>
        <m:r>
          <m:t> </m:t>
        </m:r>
        <m:sSup>
          <m:e>
            <m:r>
              <m:rPr>
                <m:sty m:val="p"/>
              </m:rPr>
              <m:t>c</m:t>
            </m:r>
            <m:r>
              <m:rPr>
                <m:sty m:val="p"/>
              </m:rPr>
              <m:t>m</m:t>
            </m:r>
          </m:e>
          <m:sup>
            <m:r>
              <m:rPr>
                <m:sty m:val="p"/>
              </m:rPr>
              <m:t>−</m:t>
            </m:r>
            <m:r>
              <m:t>1</m:t>
            </m:r>
          </m:sup>
        </m:sSup>
      </m:oMath>
      <w:r>
        <w:rPr/>
        <w:t xml:space="preserve">。相位函数保留斜入射几何，避免用半周期或材料错误引入厚度倍数偏差。</w:t>
      </w:r>
    </w:p>
    <w:p>
      <w:pPr>
        <w:pStyle w:val="a0"/>
        <w:numPr>
          <w:ilvl w:val="7"/>
          <w:numId w:val="14"/>
        </w:numPr>
      </w:pPr>
      <w:r>
        <w:rPr/>
        <w:t xml:space="preserve">硅外延层厚度与条件不确定性</w:t>
      </w:r>
    </w:p>
    <w:tbl>
      <w:tblPr>
        <w:tblStyle w:val="afb"/>
        <w:tblW w:type="auto" w:w="0"/>
        <w:tblLook w:val="0620" w:firstRow="1" w:lastRow="0" w:firstColumn="0" w:lastColumn="0" w:noHBand="1" w:noVBand="1"/>
      </w:tblPr>
      <w:tblGrid>
        <w:gridCol w:w="2640"/>
        <w:gridCol w:w="2640"/>
        <w:gridCol w:w="2640"/>
      </w:tblGrid>
      <w:tr>
        <w:trPr>
          <w:tblHeader w:val="on"/>
        </w:trPr>
        <w:tc>
          <w:tcPr/>
          <w:p>
            <w:pPr>
              <w:pStyle w:val="a9"/>
            </w:pPr>
            <w:r>
              <w:rPr/>
              <w:t xml:space="preserve">估计对象</w:t>
            </w:r>
          </w:p>
        </w:tc>
        <w:tc>
          <w:tcPr/>
          <w:p>
            <w:pPr>
              <w:pStyle w:val="a9"/>
            </w:pPr>
            <w:r>
              <w:rPr/>
              <w:t xml:space="preserve">厚度/μm</w:t>
            </w:r>
          </w:p>
        </w:tc>
        <w:tc>
          <w:tcPr/>
          <w:p>
            <w:pPr>
              <w:pStyle w:val="a9"/>
            </w:pPr>
            <w:r>
              <w:rPr/>
              <w:t xml:space="preserve">辅助指标</w:t>
            </w:r>
          </w:p>
        </w:tc>
      </w:tr>
      <w:tr>
        <w:tc>
          <w:tcPr/>
          <w:p>
            <w:pPr>
              <w:pStyle w:val="a9"/>
            </w:pPr>
            <w:r>
              <w:rPr/>
              <w:t xml:space="preserve">两角共享</w:t>
            </w:r>
          </w:p>
        </w:tc>
        <w:tc>
          <w:tcPr/>
          <w:p>
            <w:pPr>
              <w:pStyle w:val="a9"/>
            </w:pPr>
            <w:r>
              <w:t xml:space="preserve">3.4477</w:t>
            </w:r>
          </w:p>
        </w:tc>
        <w:tc>
          <w:tcPr/>
          <w:p>
            <w:pPr>
              <w:pStyle w:val="a9"/>
            </w:pPr>
            <w:r>
              <w:rPr/>
              <w:t xml:space="preserve">95%轮廓区间相对半宽约0.134%</w:t>
            </w:r>
          </w:p>
        </w:tc>
      </w:tr>
      <w:tr>
        <w:tc>
          <w:tcPr/>
          <w:p>
            <w:pPr>
              <w:pStyle w:val="a9"/>
            </w:pPr>
            <w:r>
              <w:rPr/>
              <w:t xml:space="preserve">10°独立估计</w:t>
            </w:r>
          </w:p>
        </w:tc>
        <w:tc>
          <w:tcPr/>
          <w:p>
            <w:pPr>
              <w:pStyle w:val="a9"/>
            </w:pPr>
            <w:r>
              <w:t xml:space="preserve">3.4507</w:t>
            </w:r>
          </w:p>
        </w:tc>
        <w:tc>
          <w:tcPr/>
          <w:p>
            <w:pPr>
              <w:pStyle w:val="a9"/>
            </w:pPr>
            <w:r>
              <w:rPr/>
              <w:t xml:space="preserve">与另一角度合算相对差0.130%</w:t>
            </w:r>
          </w:p>
        </w:tc>
      </w:tr>
      <w:tr>
        <w:tc>
          <w:tcPr/>
          <w:p>
            <w:pPr>
              <w:pStyle w:val="a9"/>
            </w:pPr>
            <w:r>
              <w:rPr/>
              <w:t xml:space="preserve">15°独立估计</w:t>
            </w:r>
          </w:p>
        </w:tc>
        <w:tc>
          <w:tcPr/>
          <w:p>
            <w:pPr>
              <w:pStyle w:val="a9"/>
            </w:pPr>
            <w:r>
              <w:t xml:space="preserve">3.4463</w:t>
            </w:r>
          </w:p>
        </w:tc>
        <w:tc>
          <w:tcPr/>
          <w:p>
            <w:pPr>
              <w:pStyle w:val="a9"/>
            </w:pPr>
            <w:r>
              <w:rPr/>
              <w:t xml:space="preserve">当前共同厚度的角度对照</w:t>
            </w:r>
          </w:p>
        </w:tc>
      </w:tr>
    </w:tbl>
    <w:p>
      <w:pPr>
        <w:pStyle w:val="aff1"/>
      </w:pPr>
      <w:r>
        <w:drawing>
          <wp:inline>
            <wp:extent cx="5753100" cy="3658381"/>
            <wp:effectExtent b="0" l="0" r="0" t="0"/>
            <wp:docPr descr="图26 硅两入射角实测反射率谱" title="图26 硅两入射角实测反射率谱" id="105" name="图26"/>
            <a:graphic>
              <a:graphicData uri="http://schemas.openxmlformats.org/drawingml/2006/picture">
                <pic:pic>
                  <pic:nvPicPr>
                    <pic:cNvPr descr="图26 硅两入射角实测反射率谱" id="106" name="图26"/>
                    <pic:cNvPicPr>
                      <a:picLocks noChangeArrowheads="1" noChangeAspect="1"/>
                    </pic:cNvPicPr>
                  </pic:nvPicPr>
                  <pic:blipFill>
                    <a:blip r:embed="rId104"/>
                    <a:stretch>
                      <a:fillRect/>
                    </a:stretch>
                  </pic:blipFill>
                  <pic:spPr bwMode="auto">
                    <a:xfrm>
                      <a:off x="0" y="0"/>
                      <a:ext cx="5753100" cy="3658381"/>
                    </a:xfrm>
                    <a:prstGeom prst="rect">
                      <a:avLst/>
                    </a:prstGeom>
                    <a:noFill/>
                    <a:ln w="9525">
                      <a:noFill/>
                      <a:headEnd/>
                      <a:tailEnd/>
                    </a:ln>
                  </pic:spPr>
                </pic:pic>
              </a:graphicData>
            </a:graphic>
          </wp:inline>
        </w:drawing>
      </w:r>
    </w:p>
    <w:p>
      <w:pPr>
        <w:pStyle w:val="a1"/>
        <w:numPr>
          <w:ilvl w:val="8"/>
          <w:numId w:val="15"/>
        </w:numPr>
      </w:pPr>
      <w:r>
        <w:rPr/>
        <w:t xml:space="preserve">硅两入射角实测反射率谱</w:t>
      </w:r>
    </w:p>
    <w:p>
      <w:pPr>
        <w:pStyle w:val="a4"/>
      </w:pPr>
      <w:r>
        <w:rPr/>
        <w:t xml:space="preserve">图26</w:t>
      </w:r>
      <w:r>
        <w:t xml:space="preserve"> </w:t>
      </w:r>
      <w:r>
        <w:rPr/>
        <w:t xml:space="preserve">给出附件3、4的数据。与碳化硅相比，所用透明谱段和折射率规律不同，因此不能直接沿用碳化硅的材料参数。</w:t>
      </w:r>
    </w:p>
    <w:p>
      <w:pPr>
        <w:pStyle w:val="aff1"/>
      </w:pPr>
      <w:r>
        <w:drawing>
          <wp:inline>
            <wp:extent cx="5753100" cy="3555286"/>
            <wp:effectExtent b="0" l="0" r="0" t="0"/>
            <wp:docPr descr="图27 硅实测谱与物理两光束诊断拟合" title="图27 硅实测谱与物理两光束诊断拟合" id="108" name="图27"/>
            <a:graphic>
              <a:graphicData uri="http://schemas.openxmlformats.org/drawingml/2006/picture">
                <pic:pic>
                  <pic:nvPicPr>
                    <pic:cNvPr descr="图27 硅实测谱与物理两光束诊断拟合" id="109" name="图27"/>
                    <pic:cNvPicPr>
                      <a:picLocks noChangeArrowheads="1" noChangeAspect="1"/>
                    </pic:cNvPicPr>
                  </pic:nvPicPr>
                  <pic:blipFill>
                    <a:blip r:embed="rId107"/>
                    <a:stretch>
                      <a:fillRect/>
                    </a:stretch>
                  </pic:blipFill>
                  <pic:spPr bwMode="auto">
                    <a:xfrm>
                      <a:off x="0" y="0"/>
                      <a:ext cx="5753100" cy="3555286"/>
                    </a:xfrm>
                    <a:prstGeom prst="rect">
                      <a:avLst/>
                    </a:prstGeom>
                    <a:noFill/>
                    <a:ln w="9525">
                      <a:noFill/>
                      <a:headEnd/>
                      <a:tailEnd/>
                    </a:ln>
                  </pic:spPr>
                </pic:pic>
              </a:graphicData>
            </a:graphic>
          </wp:inline>
        </w:drawing>
      </w:r>
    </w:p>
    <w:p>
      <w:pPr>
        <w:pStyle w:val="a1"/>
        <w:numPr>
          <w:ilvl w:val="8"/>
          <w:numId w:val="15"/>
        </w:numPr>
      </w:pPr>
      <w:r>
        <w:rPr/>
        <w:t xml:space="preserve">硅实测谱与物理两光束诊断拟合</w:t>
      </w:r>
    </w:p>
    <w:p>
      <w:pPr>
        <w:pStyle w:val="a4"/>
      </w:pPr>
      <w:r>
        <w:rPr/>
        <w:t xml:space="preserve">图27</w:t>
      </w:r>
      <w:r>
        <w:t xml:space="preserve"> </w:t>
      </w:r>
      <w:r>
        <w:rPr/>
        <w:t xml:space="preserve">对比硅测量谱与物理正模型，用于观察幅度和基线失配。多光束残差改善以这一物理基线为比较对象，不与变量投影的残差混用。</w:t>
      </w:r>
    </w:p>
    <w:p>
      <w:pPr>
        <w:pStyle w:val="aff1"/>
      </w:pPr>
      <w:r>
        <w:drawing>
          <wp:inline>
            <wp:extent cx="5753100" cy="3576049"/>
            <wp:effectExtent b="0" l="0" r="0" t="0"/>
            <wp:docPr descr="图28 硅共享厚度与分角度厚度估计" title="图28 硅共享厚度与分角度厚度估计" id="111" name="图28"/>
            <a:graphic>
              <a:graphicData uri="http://schemas.openxmlformats.org/drawingml/2006/picture">
                <pic:pic>
                  <pic:nvPicPr>
                    <pic:cNvPr descr="图28 硅共享厚度与分角度厚度估计" id="112" name="图28"/>
                    <pic:cNvPicPr>
                      <a:picLocks noChangeArrowheads="1" noChangeAspect="1"/>
                    </pic:cNvPicPr>
                  </pic:nvPicPr>
                  <pic:blipFill>
                    <a:blip r:embed="rId110"/>
                    <a:stretch>
                      <a:fillRect/>
                    </a:stretch>
                  </pic:blipFill>
                  <pic:spPr bwMode="auto">
                    <a:xfrm>
                      <a:off x="0" y="0"/>
                      <a:ext cx="5753100" cy="3576049"/>
                    </a:xfrm>
                    <a:prstGeom prst="rect">
                      <a:avLst/>
                    </a:prstGeom>
                    <a:noFill/>
                    <a:ln w="9525">
                      <a:noFill/>
                      <a:headEnd/>
                      <a:tailEnd/>
                    </a:ln>
                  </pic:spPr>
                </pic:pic>
              </a:graphicData>
            </a:graphic>
          </wp:inline>
        </w:drawing>
      </w:r>
    </w:p>
    <w:p>
      <w:pPr>
        <w:pStyle w:val="a1"/>
        <w:numPr>
          <w:ilvl w:val="8"/>
          <w:numId w:val="15"/>
        </w:numPr>
      </w:pPr>
      <w:r>
        <w:rPr/>
        <w:t xml:space="preserve">硅共享厚度与分角度厚度估计</w:t>
      </w:r>
    </w:p>
    <w:p>
      <w:pPr>
        <w:pStyle w:val="a4"/>
      </w:pPr>
      <w:r>
        <w:rPr/>
        <w:t xml:space="preserve">图28</w:t>
      </w:r>
      <w:r>
        <w:t xml:space="preserve"> </w:t>
      </w:r>
      <w:r>
        <w:rPr/>
        <w:t xml:space="preserve">展示共享厚度3.4477</w:t>
      </w:r>
      <w:r>
        <w:t xml:space="preserve"> </w:t>
      </w:r>
      <w:r>
        <w:rPr/>
        <w:t xml:space="preserve">μm及两角3.4507、3.4463</w:t>
      </w:r>
      <w:r>
        <w:t xml:space="preserve"> </w:t>
      </w:r>
      <w:r>
        <w:rPr/>
        <w:t xml:space="preserve">μm。0.130%的角度相对差支持在现有工程容差下报告共同厚度。</w:t>
      </w:r>
    </w:p>
    <w:p>
      <w:pPr>
        <w:pStyle w:val="aff1"/>
      </w:pPr>
      <w:r>
        <w:drawing>
          <wp:inline>
            <wp:extent cx="5753100" cy="3923570"/>
            <wp:effectExtent b="0" l="0" r="0" t="0"/>
            <wp:docPr descr="图29 硅主反演谱段内的弱色散" title="图29 硅主反演谱段内的弱色散" id="114" name="图29"/>
            <a:graphic>
              <a:graphicData uri="http://schemas.openxmlformats.org/drawingml/2006/picture">
                <pic:pic>
                  <pic:nvPicPr>
                    <pic:cNvPr descr="图29 硅主反演谱段内的弱色散" id="115" name="图29"/>
                    <pic:cNvPicPr>
                      <a:picLocks noChangeArrowheads="1" noChangeAspect="1"/>
                    </pic:cNvPicPr>
                  </pic:nvPicPr>
                  <pic:blipFill>
                    <a:blip r:embed="rId113"/>
                    <a:stretch>
                      <a:fillRect/>
                    </a:stretch>
                  </pic:blipFill>
                  <pic:spPr bwMode="auto">
                    <a:xfrm>
                      <a:off x="0" y="0"/>
                      <a:ext cx="5753100" cy="3923570"/>
                    </a:xfrm>
                    <a:prstGeom prst="rect">
                      <a:avLst/>
                    </a:prstGeom>
                    <a:noFill/>
                    <a:ln w="9525">
                      <a:noFill/>
                      <a:headEnd/>
                      <a:tailEnd/>
                    </a:ln>
                  </pic:spPr>
                </pic:pic>
              </a:graphicData>
            </a:graphic>
          </wp:inline>
        </w:drawing>
      </w:r>
    </w:p>
    <w:p>
      <w:pPr>
        <w:pStyle w:val="a1"/>
        <w:numPr>
          <w:ilvl w:val="8"/>
          <w:numId w:val="15"/>
        </w:numPr>
      </w:pPr>
      <w:r>
        <w:rPr/>
        <w:t xml:space="preserve">硅主反演谱段内的弱色散</w:t>
      </w:r>
    </w:p>
    <w:p>
      <w:pPr>
        <w:pStyle w:val="a4"/>
      </w:pPr>
      <w:r>
        <w:rPr/>
        <w:t xml:space="preserve">图29</w:t>
      </w:r>
      <w:r>
        <w:t xml:space="preserve"> </w:t>
      </w:r>
      <w:r>
        <w:rPr/>
        <w:t xml:space="preserve">给出硅折射率在分析波段内的缓慢变化。弱色散降低了常数折射率近似的影响，也使某些周期候选更接近，故仍须检查整个目标函数。</w:t>
      </w:r>
    </w:p>
    <w:p>
      <w:pPr>
        <w:pStyle w:val="aff1"/>
      </w:pPr>
      <w:r>
        <w:drawing>
          <wp:inline>
            <wp:extent cx="5753100" cy="3184694"/>
            <wp:effectExtent b="0" l="0" r="0" t="0"/>
            <wp:docPr descr="图30 硅可靠性指标与报告边界" title="图30 硅可靠性指标与报告边界" id="117" name="图30"/>
            <a:graphic>
              <a:graphicData uri="http://schemas.openxmlformats.org/drawingml/2006/picture">
                <pic:pic>
                  <pic:nvPicPr>
                    <pic:cNvPr descr="图30 硅可靠性指标与报告边界" id="118" name="图30"/>
                    <pic:cNvPicPr>
                      <a:picLocks noChangeArrowheads="1" noChangeAspect="1"/>
                    </pic:cNvPicPr>
                  </pic:nvPicPr>
                  <pic:blipFill>
                    <a:blip r:embed="rId116"/>
                    <a:stretch>
                      <a:fillRect/>
                    </a:stretch>
                  </pic:blipFill>
                  <pic:spPr bwMode="auto">
                    <a:xfrm>
                      <a:off x="0" y="0"/>
                      <a:ext cx="5753100" cy="3184694"/>
                    </a:xfrm>
                    <a:prstGeom prst="rect">
                      <a:avLst/>
                    </a:prstGeom>
                    <a:noFill/>
                    <a:ln w="9525">
                      <a:noFill/>
                      <a:headEnd/>
                      <a:tailEnd/>
                    </a:ln>
                  </pic:spPr>
                </pic:pic>
              </a:graphicData>
            </a:graphic>
          </wp:inline>
        </w:drawing>
      </w:r>
    </w:p>
    <w:p>
      <w:pPr>
        <w:pStyle w:val="a1"/>
        <w:numPr>
          <w:ilvl w:val="8"/>
          <w:numId w:val="15"/>
        </w:numPr>
      </w:pPr>
      <w:r>
        <w:rPr/>
        <w:t xml:space="preserve">硅可靠性指标与报告边界</w:t>
      </w:r>
    </w:p>
    <w:p>
      <w:pPr>
        <w:pStyle w:val="a4"/>
      </w:pPr>
      <w:r>
        <w:rPr/>
        <w:t xml:space="preserve">图30</w:t>
      </w:r>
      <w:r>
        <w:t xml:space="preserve"> </w:t>
      </w:r>
      <w:r>
        <w:rPr/>
        <w:t xml:space="preserve">汇总色散、区间、异常点和多光束等指标。接近1的次小候选比值属于需要披露的辨识边界，不能说成具有很大的唯一性裕度。</w:t>
      </w:r>
    </w:p>
    <w:p>
      <w:pPr>
        <w:pStyle w:val="aff1"/>
      </w:pPr>
      <w:r>
        <w:drawing>
          <wp:inline>
            <wp:extent cx="5753100" cy="3345201"/>
            <wp:effectExtent b="0" l="0" r="0" t="0"/>
            <wp:docPr descr="图31 硅厚度目标函数与邻近候选" title="图31 硅厚度目标函数与邻近候选" id="120" name="图31"/>
            <a:graphic>
              <a:graphicData uri="http://schemas.openxmlformats.org/drawingml/2006/picture">
                <pic:pic>
                  <pic:nvPicPr>
                    <pic:cNvPr descr="图31 硅厚度目标函数与邻近候选" id="121" name="图31"/>
                    <pic:cNvPicPr>
                      <a:picLocks noChangeArrowheads="1" noChangeAspect="1"/>
                    </pic:cNvPicPr>
                  </pic:nvPicPr>
                  <pic:blipFill>
                    <a:blip r:embed="rId119"/>
                    <a:stretch>
                      <a:fillRect/>
                    </a:stretch>
                  </pic:blipFill>
                  <pic:spPr bwMode="auto">
                    <a:xfrm>
                      <a:off x="0" y="0"/>
                      <a:ext cx="5753100" cy="3345201"/>
                    </a:xfrm>
                    <a:prstGeom prst="rect">
                      <a:avLst/>
                    </a:prstGeom>
                    <a:noFill/>
                    <a:ln w="9525">
                      <a:noFill/>
                      <a:headEnd/>
                      <a:tailEnd/>
                    </a:ln>
                  </pic:spPr>
                </pic:pic>
              </a:graphicData>
            </a:graphic>
          </wp:inline>
        </w:drawing>
      </w:r>
    </w:p>
    <w:p>
      <w:pPr>
        <w:pStyle w:val="a1"/>
        <w:numPr>
          <w:ilvl w:val="8"/>
          <w:numId w:val="15"/>
        </w:numPr>
      </w:pPr>
      <w:r>
        <w:rPr/>
        <w:t xml:space="preserve">硅厚度目标函数与邻近候选</w:t>
      </w:r>
    </w:p>
    <w:p>
      <w:pPr>
        <w:pStyle w:val="a4"/>
      </w:pPr>
      <w:r>
        <w:rPr/>
        <w:t xml:space="preserve">图31</w:t>
      </w:r>
      <w:r>
        <w:t xml:space="preserve"> </w:t>
      </w:r>
      <w:r>
        <w:rPr/>
        <w:t xml:space="preserve">显示约3.45</w:t>
      </w:r>
      <w:r>
        <w:t xml:space="preserve"> </w:t>
      </w:r>
      <w:r>
        <w:rPr/>
        <w:t xml:space="preserve">μm附近的最小值和其他周期候选。次小候选比值约1.020，结论依赖当前搜索范围、色散设定及预设判据。</w:t>
      </w:r>
    </w:p>
    <w:p>
      <w:pPr>
        <w:pStyle w:val="aff1"/>
      </w:pPr>
      <w:r>
        <w:drawing>
          <wp:inline>
            <wp:extent cx="5753100" cy="1822495"/>
            <wp:effectExtent b="0" l="0" r="0" t="0"/>
            <wp:docPr descr="图32 多光束相干、几何与反射率条件" title="图32 多光束相干、几何与反射率条件" id="123" name="图32"/>
            <a:graphic>
              <a:graphicData uri="http://schemas.openxmlformats.org/drawingml/2006/picture">
                <pic:pic>
                  <pic:nvPicPr>
                    <pic:cNvPr descr="图32 多光束相干、几何与反射率条件" id="124" name="图32"/>
                    <pic:cNvPicPr>
                      <a:picLocks noChangeArrowheads="1" noChangeAspect="1"/>
                    </pic:cNvPicPr>
                  </pic:nvPicPr>
                  <pic:blipFill>
                    <a:blip r:embed="rId122"/>
                    <a:stretch>
                      <a:fillRect/>
                    </a:stretch>
                  </pic:blipFill>
                  <pic:spPr bwMode="auto">
                    <a:xfrm>
                      <a:off x="0" y="0"/>
                      <a:ext cx="5753100" cy="1822495"/>
                    </a:xfrm>
                    <a:prstGeom prst="rect">
                      <a:avLst/>
                    </a:prstGeom>
                    <a:noFill/>
                    <a:ln w="9525">
                      <a:noFill/>
                      <a:headEnd/>
                      <a:tailEnd/>
                    </a:ln>
                  </pic:spPr>
                </pic:pic>
              </a:graphicData>
            </a:graphic>
          </wp:inline>
        </w:drawing>
      </w:r>
    </w:p>
    <w:p>
      <w:pPr>
        <w:pStyle w:val="a1"/>
        <w:numPr>
          <w:ilvl w:val="8"/>
          <w:numId w:val="15"/>
        </w:numPr>
      </w:pPr>
      <w:r>
        <w:rPr/>
        <w:t xml:space="preserve">多光束相干、几何与反射率条件</w:t>
      </w:r>
    </w:p>
    <w:p>
      <w:pPr>
        <w:pStyle w:val="a4"/>
      </w:pPr>
      <w:r>
        <w:rPr/>
        <w:t xml:space="preserve">图32</w:t>
      </w:r>
      <w:r>
        <w:t xml:space="preserve"> </w:t>
      </w:r>
      <w:r>
        <w:rPr/>
        <w:t xml:space="preserve">汇总高阶反射能否形成可观测干涉的必要因素。相干性与平行性允许高阶束叠加，但是否需要修正厚度，还要看界面反射率及残差改善。</w:t>
      </w:r>
    </w:p>
    <w:p>
      <w:pPr>
        <w:pStyle w:val="aff1"/>
      </w:pPr>
      <w:r>
        <w:drawing>
          <wp:inline>
            <wp:extent cx="5753100" cy="3318969"/>
            <wp:effectExtent b="0" l="0" r="0" t="0"/>
            <wp:docPr descr="图33 硅与碳化硅的多光束显著性对照" title="图33 硅与碳化硅的多光束显著性对照" id="126" name="图33"/>
            <a:graphic>
              <a:graphicData uri="http://schemas.openxmlformats.org/drawingml/2006/picture">
                <pic:pic>
                  <pic:nvPicPr>
                    <pic:cNvPr descr="图33 硅与碳化硅的多光束显著性对照" id="127" name="图33"/>
                    <pic:cNvPicPr>
                      <a:picLocks noChangeArrowheads="1" noChangeAspect="1"/>
                    </pic:cNvPicPr>
                  </pic:nvPicPr>
                  <pic:blipFill>
                    <a:blip r:embed="rId125"/>
                    <a:stretch>
                      <a:fillRect/>
                    </a:stretch>
                  </pic:blipFill>
                  <pic:spPr bwMode="auto">
                    <a:xfrm>
                      <a:off x="0" y="0"/>
                      <a:ext cx="5753100" cy="3318969"/>
                    </a:xfrm>
                    <a:prstGeom prst="rect">
                      <a:avLst/>
                    </a:prstGeom>
                    <a:noFill/>
                    <a:ln w="9525">
                      <a:noFill/>
                      <a:headEnd/>
                      <a:tailEnd/>
                    </a:ln>
                  </pic:spPr>
                </pic:pic>
              </a:graphicData>
            </a:graphic>
          </wp:inline>
        </w:drawing>
      </w:r>
    </w:p>
    <w:p>
      <w:pPr>
        <w:pStyle w:val="a1"/>
        <w:numPr>
          <w:ilvl w:val="8"/>
          <w:numId w:val="15"/>
        </w:numPr>
      </w:pPr>
      <w:r>
        <w:rPr/>
        <w:t xml:space="preserve">硅与碳化硅的多光束显著性对照</w:t>
      </w:r>
    </w:p>
    <w:p>
      <w:pPr>
        <w:pStyle w:val="a4"/>
      </w:pPr>
      <w:r>
        <w:rPr/>
        <w:t xml:space="preserve">图33</w:t>
      </w:r>
      <w:r>
        <w:t xml:space="preserve"> </w:t>
      </w:r>
      <w:r>
        <w:rPr/>
        <w:t xml:space="preserve">对比两材料的界面反射率几何平均。硅约0.0101、碳化硅约0.0024，均低于预设量级阈值；不据此宣称高阶反射在物理上完全不存在。</w:t>
      </w:r>
    </w:p>
    <w:p>
      <w:pPr>
        <w:pStyle w:val="aff1"/>
      </w:pPr>
      <w:r>
        <w:drawing>
          <wp:inline>
            <wp:extent cx="5753100" cy="3405092"/>
            <wp:effectExtent b="0" l="0" r="0" t="0"/>
            <wp:docPr descr="图34 硅反射率的角度—波数响应" title="图34 硅反射率的角度—波数响应" id="129" name="图34"/>
            <a:graphic>
              <a:graphicData uri="http://schemas.openxmlformats.org/drawingml/2006/picture">
                <pic:pic>
                  <pic:nvPicPr>
                    <pic:cNvPr descr="图34 硅反射率的角度—波数响应" id="130" name="图34"/>
                    <pic:cNvPicPr>
                      <a:picLocks noChangeArrowheads="1" noChangeAspect="1"/>
                    </pic:cNvPicPr>
                  </pic:nvPicPr>
                  <pic:blipFill>
                    <a:blip r:embed="rId128"/>
                    <a:stretch>
                      <a:fillRect/>
                    </a:stretch>
                  </pic:blipFill>
                  <pic:spPr bwMode="auto">
                    <a:xfrm>
                      <a:off x="0" y="0"/>
                      <a:ext cx="5753100" cy="3405092"/>
                    </a:xfrm>
                    <a:prstGeom prst="rect">
                      <a:avLst/>
                    </a:prstGeom>
                    <a:noFill/>
                    <a:ln w="9525">
                      <a:noFill/>
                      <a:headEnd/>
                      <a:tailEnd/>
                    </a:ln>
                  </pic:spPr>
                </pic:pic>
              </a:graphicData>
            </a:graphic>
          </wp:inline>
        </w:drawing>
      </w:r>
    </w:p>
    <w:p>
      <w:pPr>
        <w:pStyle w:val="a1"/>
        <w:numPr>
          <w:ilvl w:val="8"/>
          <w:numId w:val="15"/>
        </w:numPr>
      </w:pPr>
      <w:r>
        <w:rPr/>
        <w:t xml:space="preserve">硅反射率的角度—波数响应</w:t>
      </w:r>
    </w:p>
    <w:p>
      <w:pPr>
        <w:pStyle w:val="a4"/>
      </w:pPr>
      <w:r>
        <w:rPr/>
        <w:t xml:space="preserve">图34</w:t>
      </w:r>
      <w:r>
        <w:t xml:space="preserve"> </w:t>
      </w:r>
      <w:r>
        <w:rPr/>
        <w:t xml:space="preserve">展示硅已估参数下的连续响应。其作用是解释模型行为，不能据图外推到强吸收区域或未经验证的掺杂范围。</w:t>
      </w:r>
    </w:p>
    <w:p>
      <w:pPr>
        <w:pStyle w:val="aff1"/>
      </w:pPr>
      <w:r>
        <w:drawing>
          <wp:inline>
            <wp:extent cx="5753100" cy="3896786"/>
            <wp:effectExtent b="0" l="0" r="0" t="0"/>
            <wp:docPr descr="图35 硅相位函数坐标中的干涉条纹" title="图35 硅相位函数坐标中的干涉条纹" id="132" name="图35"/>
            <a:graphic>
              <a:graphicData uri="http://schemas.openxmlformats.org/drawingml/2006/picture">
                <pic:pic>
                  <pic:nvPicPr>
                    <pic:cNvPr descr="图35 硅相位函数坐标中的干涉条纹" id="133" name="图35"/>
                    <pic:cNvPicPr>
                      <a:picLocks noChangeArrowheads="1" noChangeAspect="1"/>
                    </pic:cNvPicPr>
                  </pic:nvPicPr>
                  <pic:blipFill>
                    <a:blip r:embed="rId131"/>
                    <a:stretch>
                      <a:fillRect/>
                    </a:stretch>
                  </pic:blipFill>
                  <pic:spPr bwMode="auto">
                    <a:xfrm>
                      <a:off x="0" y="0"/>
                      <a:ext cx="5753100" cy="3896786"/>
                    </a:xfrm>
                    <a:prstGeom prst="rect">
                      <a:avLst/>
                    </a:prstGeom>
                    <a:noFill/>
                    <a:ln w="9525">
                      <a:noFill/>
                      <a:headEnd/>
                      <a:tailEnd/>
                    </a:ln>
                  </pic:spPr>
                </pic:pic>
              </a:graphicData>
            </a:graphic>
          </wp:inline>
        </w:drawing>
      </w:r>
    </w:p>
    <w:p>
      <w:pPr>
        <w:pStyle w:val="a1"/>
        <w:numPr>
          <w:ilvl w:val="8"/>
          <w:numId w:val="15"/>
        </w:numPr>
      </w:pPr>
      <w:r>
        <w:rPr/>
        <w:t xml:space="preserve">硅相位函数坐标中的干涉条纹</w:t>
      </w:r>
    </w:p>
    <w:p>
      <w:pPr>
        <w:pStyle w:val="a4"/>
      </w:pPr>
      <w:r>
        <w:rPr/>
        <w:t xml:space="preserve">图35</w:t>
      </w:r>
      <w:r>
        <w:t xml:space="preserve"> </w:t>
      </w:r>
      <w:r>
        <w:rPr/>
        <w:t xml:space="preserve">给出条纹计数与相位积累关系，帮助区分完整周期与半周期，避免厚度出现倍数误判。</w:t>
      </w:r>
    </w:p>
    <w:p>
      <w:pPr>
        <w:pStyle w:val="2"/>
        <w:numPr>
          <w:ilvl w:val="1"/>
          <w:numId w:val="12"/>
        </w:numPr>
      </w:pPr>
      <w:r>
        <w:rPr/>
        <w:t xml:space="preserve">问题3</w:t>
      </w:r>
      <w:r>
        <w:t xml:space="preserve"> </w:t>
      </w:r>
      <w:r>
        <w:rPr/>
        <w:t xml:space="preserve">多光束判定与碳化硅回代</w:t>
      </w:r>
    </w:p>
    <w:p>
      <w:pPr>
        <w:pStyle w:val="a4"/>
      </w:pPr>
      <w:r>
        <w:rPr/>
        <w:t xml:space="preserve">硅的</w:t>
      </w:r>
      <w:r>
        <w:t xml:space="preserve"> </w:t>
      </w:r>
      <m:oMath>
        <m:acc>
          <m:accPr>
            <m:chr m:val="‾"/>
          </m:accPr>
          <m:e>
            <m:r>
              <m:t>R</m:t>
            </m:r>
          </m:e>
        </m:acc>
        <m:r>
          <m:rPr>
            <m:sty m:val="p"/>
          </m:rPr>
          <m:t>≈</m:t>
        </m:r>
        <m:r>
          <m:t>0.0101</m:t>
        </m:r>
      </m:oMath>
      <w:r>
        <w:rPr/>
        <w:t xml:space="preserve">，对应</w:t>
      </w:r>
      <w:r>
        <w:t xml:space="preserve"> </w:t>
      </w:r>
      <m:oMath>
        <m:r>
          <m:rPr>
            <m:scr m:val="script"/>
            <m:sty m:val="p"/>
          </m:rPr>
          <m:t>F</m:t>
        </m:r>
        <m:r>
          <m:rPr>
            <m:sty m:val="p"/>
          </m:rPr>
          <m:t>≈</m:t>
        </m:r>
        <m:r>
          <m:t>0.319</m:t>
        </m:r>
      </m:oMath>
      <w:r>
        <w:rPr/>
        <w:t xml:space="preserve">。物理基线下两角的Airy残差改善分别约0.038%和0.111%，最大值仍明显小于10%的预设阈值。碳化硅的</w:t>
      </w:r>
      <w:r>
        <w:t xml:space="preserve"> </w:t>
      </w:r>
      <m:oMath>
        <m:acc>
          <m:accPr>
            <m:chr m:val="‾"/>
          </m:accPr>
          <m:e>
            <m:r>
              <m:t>R</m:t>
            </m:r>
          </m:e>
        </m:acc>
        <m:r>
          <m:rPr>
            <m:sty m:val="p"/>
          </m:rPr>
          <m:t>≈</m:t>
        </m:r>
        <m:r>
          <m:t>0.0024</m:t>
        </m:r>
      </m:oMath>
      <w:r>
        <w:t xml:space="preserve"> </w:t>
      </w:r>
      <w:r>
        <w:rPr/>
        <w:t xml:space="preserve">更小，故现有数据不要求在7.2158</w:t>
      </w:r>
      <w:r>
        <w:t xml:space="preserve"> </w:t>
      </w:r>
      <w:r>
        <w:rPr/>
        <w:t xml:space="preserve">μm主结果之外另给一个无依据的“修正厚度”。这里的结论是高阶贡献不足以触发当前判据，而非证明不存在多次反射。</w:t>
      </w:r>
    </w:p>
    <w:p>
      <w:pPr>
        <w:pStyle w:val="a4"/>
      </w:pPr>
      <w:r>
        <w:rPr/>
        <w:t xml:space="preserve">Airy改善率使用刚性Fresnel背景的物理两光束模型作分母；变量投影允许基线变化，两者残差不可直接混比。硅加入高阶谐波后的厚度变化为0.300%，也说明实际拟合不是严格零影响。</w:t>
      </w:r>
    </w:p>
    <w:p>
      <w:pPr>
        <w:pStyle w:val="aff1"/>
      </w:pPr>
      <w:r>
        <w:drawing>
          <wp:inline>
            <wp:extent cx="5753100" cy="1869680"/>
            <wp:effectExtent b="0" l="0" r="0" t="0"/>
            <wp:docPr descr="图36 硅模型的消融判定汇总" title="图36 硅模型的消融判定汇总" id="135" name="图36"/>
            <a:graphic>
              <a:graphicData uri="http://schemas.openxmlformats.org/drawingml/2006/picture">
                <pic:pic>
                  <pic:nvPicPr>
                    <pic:cNvPr descr="图36 硅模型的消融判定汇总" id="136" name="图36"/>
                    <pic:cNvPicPr>
                      <a:picLocks noChangeArrowheads="1" noChangeAspect="1"/>
                    </pic:cNvPicPr>
                  </pic:nvPicPr>
                  <pic:blipFill>
                    <a:blip r:embed="rId134"/>
                    <a:stretch>
                      <a:fillRect/>
                    </a:stretch>
                  </pic:blipFill>
                  <pic:spPr bwMode="auto">
                    <a:xfrm>
                      <a:off x="0" y="0"/>
                      <a:ext cx="5753100" cy="1869680"/>
                    </a:xfrm>
                    <a:prstGeom prst="rect">
                      <a:avLst/>
                    </a:prstGeom>
                    <a:noFill/>
                    <a:ln w="9525">
                      <a:noFill/>
                      <a:headEnd/>
                      <a:tailEnd/>
                    </a:ln>
                  </pic:spPr>
                </pic:pic>
              </a:graphicData>
            </a:graphic>
          </wp:inline>
        </w:drawing>
      </w:r>
    </w:p>
    <w:p>
      <w:pPr>
        <w:pStyle w:val="a1"/>
        <w:numPr>
          <w:ilvl w:val="8"/>
          <w:numId w:val="15"/>
        </w:numPr>
      </w:pPr>
      <w:r>
        <w:rPr/>
        <w:t xml:space="preserve">硅模型的消融判定汇总</w:t>
      </w:r>
    </w:p>
    <w:p>
      <w:pPr>
        <w:pStyle w:val="a4"/>
      </w:pPr>
      <w:r>
        <w:rPr/>
        <w:t xml:space="preserve">图36</w:t>
      </w:r>
      <w:r>
        <w:t xml:space="preserve"> </w:t>
      </w:r>
      <w:r>
        <w:rPr/>
        <w:t xml:space="preserve">汇总改变色散、加入高阶谐波、删减基线及取消共享厚度约束后的结果。各试验均按原阈值解释，不因变化小而删除不利情景。</w:t>
      </w:r>
    </w:p>
    <w:p>
      <w:pPr>
        <w:pStyle w:val="aff1"/>
      </w:pPr>
      <w:r>
        <w:drawing>
          <wp:inline>
            <wp:extent cx="5753100" cy="2217513"/>
            <wp:effectExtent b="0" l="0" r="0" t="0"/>
            <wp:docPr descr="图37 硅各消融方案的厚度对照" title="图37 硅各消融方案的厚度对照" id="138" name="图37"/>
            <a:graphic>
              <a:graphicData uri="http://schemas.openxmlformats.org/drawingml/2006/picture">
                <pic:pic>
                  <pic:nvPicPr>
                    <pic:cNvPr descr="图37 硅各消融方案的厚度对照" id="139" name="图37"/>
                    <pic:cNvPicPr>
                      <a:picLocks noChangeArrowheads="1" noChangeAspect="1"/>
                    </pic:cNvPicPr>
                  </pic:nvPicPr>
                  <pic:blipFill>
                    <a:blip r:embed="rId137"/>
                    <a:stretch>
                      <a:fillRect/>
                    </a:stretch>
                  </pic:blipFill>
                  <pic:spPr bwMode="auto">
                    <a:xfrm>
                      <a:off x="0" y="0"/>
                      <a:ext cx="5753100" cy="2217513"/>
                    </a:xfrm>
                    <a:prstGeom prst="rect">
                      <a:avLst/>
                    </a:prstGeom>
                    <a:noFill/>
                    <a:ln w="9525">
                      <a:noFill/>
                      <a:headEnd/>
                      <a:tailEnd/>
                    </a:ln>
                  </pic:spPr>
                </pic:pic>
              </a:graphicData>
            </a:graphic>
          </wp:inline>
        </w:drawing>
      </w:r>
    </w:p>
    <w:p>
      <w:pPr>
        <w:pStyle w:val="a1"/>
        <w:numPr>
          <w:ilvl w:val="8"/>
          <w:numId w:val="15"/>
        </w:numPr>
      </w:pPr>
      <w:r>
        <w:rPr/>
        <w:t xml:space="preserve">硅各消融方案的厚度对照</w:t>
      </w:r>
    </w:p>
    <w:p>
      <w:pPr>
        <w:pStyle w:val="a4"/>
      </w:pPr>
      <w:r>
        <w:rPr/>
        <w:t xml:space="preserve">图37</w:t>
      </w:r>
      <w:r>
        <w:t xml:space="preserve"> </w:t>
      </w:r>
      <w:r>
        <w:rPr/>
        <w:t xml:space="preserve">对比完整模型与各变体。加入高阶谐波后厚度变化0.300%，表明当前数据下其影响较小，而不是有限噪声拟合中的严格零变化。</w:t>
      </w:r>
    </w:p>
    <w:p>
      <w:pPr>
        <w:pStyle w:val="aff1"/>
      </w:pPr>
      <w:r>
        <w:drawing>
          <wp:inline>
            <wp:extent cx="5753100" cy="2462326"/>
            <wp:effectExtent b="0" l="0" r="0" t="0"/>
            <wp:docPr descr="图38 硅消融方案的拟合误差对照" title="图38 硅消融方案的拟合误差对照" id="141" name="图38"/>
            <a:graphic>
              <a:graphicData uri="http://schemas.openxmlformats.org/drawingml/2006/picture">
                <pic:pic>
                  <pic:nvPicPr>
                    <pic:cNvPr descr="图38 硅消融方案的拟合误差对照" id="142" name="图38"/>
                    <pic:cNvPicPr>
                      <a:picLocks noChangeArrowheads="1" noChangeAspect="1"/>
                    </pic:cNvPicPr>
                  </pic:nvPicPr>
                  <pic:blipFill>
                    <a:blip r:embed="rId140"/>
                    <a:stretch>
                      <a:fillRect/>
                    </a:stretch>
                  </pic:blipFill>
                  <pic:spPr bwMode="auto">
                    <a:xfrm>
                      <a:off x="0" y="0"/>
                      <a:ext cx="5753100" cy="2462326"/>
                    </a:xfrm>
                    <a:prstGeom prst="rect">
                      <a:avLst/>
                    </a:prstGeom>
                    <a:noFill/>
                    <a:ln w="9525">
                      <a:noFill/>
                      <a:headEnd/>
                      <a:tailEnd/>
                    </a:ln>
                  </pic:spPr>
                </pic:pic>
              </a:graphicData>
            </a:graphic>
          </wp:inline>
        </w:drawing>
      </w:r>
    </w:p>
    <w:p>
      <w:pPr>
        <w:pStyle w:val="a1"/>
        <w:numPr>
          <w:ilvl w:val="8"/>
          <w:numId w:val="15"/>
        </w:numPr>
      </w:pPr>
      <w:r>
        <w:rPr/>
        <w:t xml:space="preserve">硅消融方案的拟合误差对照</w:t>
      </w:r>
    </w:p>
    <w:p>
      <w:pPr>
        <w:pStyle w:val="a4"/>
      </w:pPr>
      <w:r>
        <w:rPr/>
        <w:t xml:space="preserve">图38</w:t>
      </w:r>
      <w:r>
        <w:t xml:space="preserve"> </w:t>
      </w:r>
      <w:r>
        <w:rPr/>
        <w:t xml:space="preserve">展示厚度稳定性与拟合优度不是同一指标。高阶谐波可改善残差，减少基线自由度则使拟合变差；不能把更低残差自动解释为更准确的厚度。</w:t>
      </w:r>
    </w:p>
    <w:p>
      <w:pPr>
        <w:pStyle w:val="2"/>
        <w:numPr>
          <w:ilvl w:val="1"/>
          <w:numId w:val="12"/>
        </w:numPr>
      </w:pPr>
      <w:r>
        <w:rPr/>
        <w:t xml:space="preserve">问题3</w:t>
      </w:r>
      <w:r>
        <w:t xml:space="preserve"> </w:t>
      </w:r>
      <w:r>
        <w:rPr/>
        <w:t xml:space="preserve">可靠性与结论</w:t>
      </w:r>
    </w:p>
    <w:p>
      <w:pPr>
        <w:pStyle w:val="a4"/>
      </w:pPr>
      <w:r>
        <w:rPr/>
        <w:t xml:space="preserve">硅的色散扰动厚度变化为0.503%，窗口敏感性为0.749%，角度差为0.130%。目标函数的次小候选比值约1.020，接近简并；应报告找到的最优候选及搜索条件，不应宣称具有“四倍裕度”的唯一性。约6.9</w:t>
      </w:r>
      <w:r>
        <w:t xml:space="preserve"> </w:t>
      </w:r>
      <w:r>
        <w:rPr/>
        <w:t xml:space="preserve">μm的倍周期候选不能与3.4477</w:t>
      </w:r>
      <w:r>
        <w:t xml:space="preserve"> </w:t>
      </w:r>
      <w:r>
        <w:rPr/>
        <w:t xml:space="preserve">μm主结果混淆。</w:t>
      </w:r>
    </w:p>
    <w:p>
      <w:pPr>
        <w:pStyle w:val="a4"/>
      </w:pPr>
      <w:r>
        <w:rPr/>
        <w:t xml:space="preserve">主结论仍附有以下限制：衬底折射率是幅度弱辨识值；区间采用轮廓方法而非重采样；部分硅材料与多光束文献仅完成元数据或摘要层面核验；附件2存在输入清单不一致，且历史运行的部分全局配置后来发生变化，限制了严格复现的可追溯范围。窗口敏感性来自已有独立探针而非新增整套数值实验，残差比较的基线差异和周期近简并仍保留。不能以各工程阈值内的稳定性替代新的独立测量。</w:t>
      </w:r>
    </w:p>
    <w:p>
      <w:pPr>
        <w:pStyle w:val="1"/>
        <w:numPr>
          <w:ilvl w:val="0"/>
          <w:numId w:val="12"/>
        </w:numPr>
      </w:pPr>
      <w:r>
        <w:rPr/>
        <w:t xml:space="preserve">跨小问一致性、稳健性与消融分析</w:t>
      </w:r>
    </w:p>
    <w:p>
      <w:pPr>
        <w:pStyle w:val="a4"/>
      </w:pPr>
      <w:r>
        <w:rPr/>
        <w:t xml:space="preserve">三问共享同一套相位定义和单位换算。第一问证明合成场景下相位与厚度的对应；第二问说明真实背景要求分离线性幅度参数；第三问进一步验证是否需要增加高阶反射。合成样本的10</w:t>
      </w:r>
      <w:r>
        <w:t xml:space="preserve"> </w:t>
      </w:r>
      <w:r>
        <w:rPr/>
        <w:t xml:space="preserve">μm不是两种实测晶圆的真值，不能将它们的厚度互相校准。</w:t>
      </w:r>
    </w:p>
    <w:p>
      <w:pPr>
        <w:pStyle w:val="a0"/>
        <w:numPr>
          <w:ilvl w:val="7"/>
          <w:numId w:val="14"/>
        </w:numPr>
      </w:pPr>
      <w:r>
        <w:rPr/>
        <w:t xml:space="preserve">实测问题的可靠性指标对照</w:t>
      </w:r>
    </w:p>
    <w:tbl>
      <w:tblPr>
        <w:tblStyle w:val="afb"/>
        <w:tblW w:type="auto" w:w="0"/>
        <w:tblLook w:val="0620" w:firstRow="1" w:lastRow="0" w:firstColumn="0" w:lastColumn="0" w:noHBand="1" w:noVBand="1"/>
      </w:tblPr>
      <w:tblGrid>
        <w:gridCol w:w="1980"/>
        <w:gridCol w:w="1980"/>
        <w:gridCol w:w="1980"/>
        <w:gridCol w:w="1980"/>
      </w:tblGrid>
      <w:tr>
        <w:trPr>
          <w:tblHeader w:val="on"/>
        </w:trPr>
        <w:tc>
          <w:tcPr/>
          <w:p>
            <w:pPr>
              <w:pStyle w:val="a9"/>
            </w:pPr>
            <w:r>
              <w:rPr/>
              <w:t xml:space="preserve">检查维度</w:t>
            </w:r>
          </w:p>
        </w:tc>
        <w:tc>
          <w:tcPr/>
          <w:p>
            <w:pPr>
              <w:pStyle w:val="a9"/>
            </w:pPr>
            <w:r>
              <w:rPr/>
              <w:t xml:space="preserve">碳化硅</w:t>
            </w:r>
          </w:p>
        </w:tc>
        <w:tc>
          <w:tcPr/>
          <w:p>
            <w:pPr>
              <w:pStyle w:val="a9"/>
            </w:pPr>
            <w:r>
              <w:rPr/>
              <w:t xml:space="preserve">硅</w:t>
            </w:r>
          </w:p>
        </w:tc>
        <w:tc>
          <w:tcPr/>
          <w:p>
            <w:pPr>
              <w:pStyle w:val="a9"/>
            </w:pPr>
            <w:r>
              <w:rPr/>
              <w:t xml:space="preserve">解释边界</w:t>
            </w:r>
          </w:p>
        </w:tc>
      </w:tr>
      <w:tr>
        <w:tc>
          <w:tcPr/>
          <w:p>
            <w:pPr>
              <w:pStyle w:val="a9"/>
            </w:pPr>
            <w:r>
              <w:rPr/>
              <w:t xml:space="preserve">两角相对差</w:t>
            </w:r>
          </w:p>
        </w:tc>
        <w:tc>
          <w:tcPr/>
          <w:p>
            <w:pPr>
              <w:pStyle w:val="a9"/>
            </w:pPr>
            <w:r>
              <w:t xml:space="preserve">0.165%</w:t>
            </w:r>
          </w:p>
        </w:tc>
        <w:tc>
          <w:tcPr/>
          <w:p>
            <w:pPr>
              <w:pStyle w:val="a9"/>
            </w:pPr>
            <w:r>
              <w:t xml:space="preserve">0.130%</w:t>
            </w:r>
          </w:p>
        </w:tc>
        <w:tc>
          <w:tcPr/>
          <w:p>
            <w:pPr>
              <w:pStyle w:val="a9"/>
            </w:pPr>
            <w:r>
              <w:rPr/>
              <w:t xml:space="preserve">工程一致性，不等于外部准确度</w:t>
            </w:r>
          </w:p>
        </w:tc>
      </w:tr>
      <w:tr>
        <w:tc>
          <w:tcPr/>
          <w:p>
            <w:pPr>
              <w:pStyle w:val="a9"/>
            </w:pPr>
            <w:r>
              <w:rPr/>
              <w:t xml:space="preserve">色散扰动影响</w:t>
            </w:r>
          </w:p>
        </w:tc>
        <w:tc>
          <w:tcPr/>
          <w:p>
            <w:pPr>
              <w:pStyle w:val="a9"/>
            </w:pPr>
            <w:r>
              <w:t xml:space="preserve">0.507%</w:t>
            </w:r>
          </w:p>
        </w:tc>
        <w:tc>
          <w:tcPr/>
          <w:p>
            <w:pPr>
              <w:pStyle w:val="a9"/>
            </w:pPr>
            <w:r>
              <w:t xml:space="preserve">0.503%</w:t>
            </w:r>
          </w:p>
        </w:tc>
        <w:tc>
          <w:tcPr/>
          <w:p>
            <w:pPr>
              <w:pStyle w:val="a9"/>
            </w:pPr>
            <w:r>
              <w:rPr/>
              <w:t xml:space="preserve">限于指定材料模型与扰动</w:t>
            </w:r>
          </w:p>
        </w:tc>
      </w:tr>
      <w:tr>
        <w:tc>
          <w:tcPr/>
          <w:p>
            <w:pPr>
              <w:pStyle w:val="a9"/>
            </w:pPr>
            <w:r>
              <w:rPr/>
              <w:t xml:space="preserve">95%区间相对半宽</w:t>
            </w:r>
          </w:p>
        </w:tc>
        <w:tc>
          <w:tcPr/>
          <w:p>
            <w:pPr>
              <w:pStyle w:val="a9"/>
            </w:pPr>
            <w:r>
              <w:t xml:space="preserve">0.0911%</w:t>
            </w:r>
          </w:p>
        </w:tc>
        <w:tc>
          <w:tcPr/>
          <w:p>
            <w:pPr>
              <w:pStyle w:val="a9"/>
            </w:pPr>
            <w:r>
              <w:t xml:space="preserve">0.134%</w:t>
            </w:r>
          </w:p>
        </w:tc>
        <w:tc>
          <w:tcPr/>
          <w:p>
            <w:pPr>
              <w:pStyle w:val="a9"/>
            </w:pPr>
            <w:r>
              <w:rPr/>
              <w:t xml:space="preserve">条件轮廓区间，非总误差</w:t>
            </w:r>
          </w:p>
        </w:tc>
      </w:tr>
      <w:tr>
        <w:tc>
          <w:tcPr/>
          <w:p>
            <w:pPr>
              <w:pStyle w:val="a9"/>
            </w:pPr>
            <w:r>
              <w:rPr/>
              <w:t xml:space="preserve">主方法对衬底折射率</w:t>
            </w:r>
          </w:p>
        </w:tc>
        <w:tc>
          <w:tcPr/>
          <w:p>
            <w:pPr>
              <w:pStyle w:val="a9"/>
            </w:pPr>
            <w:r>
              <w:rPr/>
              <w:t xml:space="preserve">结构解耦</w:t>
            </w:r>
          </w:p>
        </w:tc>
        <w:tc>
          <w:tcPr/>
          <w:p>
            <w:pPr>
              <w:pStyle w:val="a9"/>
            </w:pPr>
            <w:r>
              <w:rPr/>
              <w:t xml:space="preserve">结构解耦</w:t>
            </w:r>
          </w:p>
        </w:tc>
        <w:tc>
          <w:tcPr/>
          <w:p>
            <w:pPr>
              <w:pStyle w:val="a9"/>
            </w:pPr>
            <w:r>
              <w:rPr/>
              <w:t xml:space="preserve">幅度参数本身仍弱辨识</w:t>
            </w:r>
          </w:p>
        </w:tc>
      </w:tr>
      <w:tr>
        <w:tc>
          <w:tcPr/>
          <w:p>
            <w:pPr>
              <w:pStyle w:val="a9"/>
            </w:pPr>
            <w:r>
              <w:rPr/>
              <w:t xml:space="preserve">高阶反射是否触发修正</w:t>
            </w:r>
          </w:p>
        </w:tc>
        <w:tc>
          <w:tcPr/>
          <w:p>
            <w:pPr>
              <w:pStyle w:val="a9"/>
            </w:pPr>
            <w:r>
              <w:rPr/>
              <w:t xml:space="preserve">否</w:t>
            </w:r>
          </w:p>
        </w:tc>
        <w:tc>
          <w:tcPr/>
          <w:p>
            <w:pPr>
              <w:pStyle w:val="a9"/>
            </w:pPr>
            <w:r>
              <w:rPr/>
              <w:t xml:space="preserve">否</w:t>
            </w:r>
          </w:p>
        </w:tc>
        <w:tc>
          <w:tcPr/>
          <w:p>
            <w:pPr>
              <w:pStyle w:val="a9"/>
            </w:pPr>
            <w:r>
              <w:rPr/>
              <w:t xml:space="preserve">依赖当前谱段和阈值</w:t>
            </w:r>
          </w:p>
        </w:tc>
      </w:tr>
    </w:tbl>
    <w:p>
      <w:pPr>
        <w:pStyle w:val="a4"/>
      </w:pPr>
      <w:r>
        <w:rPr/>
        <w:t xml:space="preserve">扰动分析改变输入或模型设定，消融则移除特定组成部分，二者不能混为一谈。碳化硅删除基线会明显移动厚度，说明相位提取需要处理背景；硅高阶谐波主要改善残差而厚度变化较小，说明较复杂的模型未必带来相同比例的测厚收益。所有这些判断均限定于已有实验，不追加新的优化结果。</w:t>
      </w:r>
    </w:p>
    <w:p>
      <w:pPr>
        <w:pStyle w:val="1"/>
        <w:numPr>
          <w:ilvl w:val="0"/>
          <w:numId w:val="12"/>
        </w:numPr>
      </w:pPr>
      <w:r>
        <w:rPr/>
        <w:t xml:space="preserve">模型评价、局限与推广</w:t>
      </w:r>
    </w:p>
    <w:p>
      <w:pPr>
        <w:pStyle w:val="a4"/>
      </w:pPr>
      <w:r>
        <w:rPr/>
        <w:t xml:space="preserve">模型的主要优点是物理量与数值参数之间的对应清楚：相位带有几何厚度，基线和包络吸收缓变背景，Airy项回答高阶反射问题。一维搜索与线性子问题便于比较周期候选，也便于解释单次局部拟合为何可能失败。</w:t>
      </w:r>
    </w:p>
    <w:p>
      <w:pPr>
        <w:pStyle w:val="a4"/>
      </w:pPr>
      <w:r>
        <w:rPr/>
        <w:t xml:space="preserve">局限主要有四类。其一，材料色散和吸收条件有适用范围，超出该范围不能延长公式即视为完成验证。其二，主结果仍有背景阶数、窗口和弱可辨识引起的模型选择不确定性。其三，没有独立测厚真值，窄置信区间只反映特定模型内部的不确定性。其四，文献全文、原始输入副本及历史配置的追溯尚不完全，本文如实保留这一复现限制。</w:t>
      </w:r>
    </w:p>
    <w:p>
      <w:pPr>
        <w:pStyle w:val="a4"/>
      </w:pPr>
      <w:r>
        <w:rPr/>
        <w:t xml:space="preserve">因此，推广到不同掺杂、温度、粗糙度或非平行结构时，应重新检查光学常数、吸收和仪器背景。未来可用独立测厚结果、重复测量与残差重采样评价系统误差；这些是后续验证方向，不是本论文已经执行的实验。</w:t>
      </w:r>
    </w:p>
    <w:p>
      <w:pPr>
        <w:pStyle w:val="1"/>
        <w:numPr>
          <w:ilvl w:val="0"/>
          <w:numId w:val="12"/>
        </w:numPr>
      </w:pPr>
      <w:r>
        <w:rPr/>
        <w:t xml:space="preserve">结论</w:t>
      </w:r>
    </w:p>
    <w:p>
      <w:pPr>
        <w:pStyle w:val="a4"/>
      </w:pPr>
      <w:r>
        <w:rPr/>
        <w:t xml:space="preserve">在透明、近似平行的界面条件下，色散相位函数给出了斜入射干涉周期与厚度的统一关系。合成实验说明显式保留色散能够消除常数折射率近似的主要系统偏差，多候选比较有助于识别周期歧义。</w:t>
      </w:r>
    </w:p>
    <w:p>
      <w:pPr>
        <w:pStyle w:val="a4"/>
      </w:pPr>
      <w:r>
        <w:rPr/>
        <w:t xml:space="preserve">对两角实测数据，变量投影方法给出碳化硅共享厚度7.2158</w:t>
      </w:r>
      <w:r>
        <w:t xml:space="preserve"> </w:t>
      </w:r>
      <w:r>
        <w:rPr/>
        <w:t xml:space="preserve">μm、硅共享厚度3.4477</w:t>
      </w:r>
      <w:r>
        <w:t xml:space="preserve"> </w:t>
      </w:r>
      <w:r>
        <w:rPr/>
        <w:t xml:space="preserve">μm，对应角度相对差分别为0.165%和0.130%。碳化硅统计检验的拒绝结果与较小工程差异并存；硅邻近周期候选接近简并。二者都要求附条件报告，不能把估计值写成无误差的材料常数。</w:t>
      </w:r>
    </w:p>
    <w:p>
      <w:pPr>
        <w:pStyle w:val="a4"/>
      </w:pPr>
      <w:r>
        <w:rPr/>
        <w:t xml:space="preserve">在当前材料参数、透明谱段和预设判据下，两种晶圆均不需要显著多光束修正。相较于盲目增加模型阶数，控制色散依据、基线处理和周期候选选择更重要。论文中的图表、程序与结果来自同一批既有记录；本次写作未重新建模或计算。</w:t>
      </w:r>
    </w:p>
    <w:p>
      <w:pPr>
        <w:pStyle w:val="1"/>
        <w:numPr>
          <w:ilvl w:val="0"/>
          <w:numId w:val="0"/>
        </w:numPr>
      </w:pPr>
      <w:r>
        <w:rPr/>
        <w:t xml:space="preserve">参考文献</w:t>
      </w:r>
    </w:p>
    <w:p>
      <w:pPr>
        <w:pStyle w:val="a"/>
        <w:numPr>
          <w:ilvl w:val="0"/>
          <w:numId w:val="16"/>
        </w:numPr>
      </w:pPr>
      <w:r>
        <w:t xml:space="preserve"> </w:t>
      </w:r>
      <w:r>
        <w:t xml:space="preserve">Albert, M. P., Combs, J. F.. Thickness Measurement of Epitaxial Films by the Infrared Interference Method. Journal of The Electrochemical Society, 1962.</w:t>
      </w:r>
    </w:p>
    <w:p>
      <w:pPr>
        <w:pStyle w:val="a"/>
        <w:numPr>
          <w:ilvl w:val="0"/>
          <w:numId w:val="16"/>
        </w:numPr>
      </w:pPr>
      <w:r>
        <w:t xml:space="preserve"> </w:t>
      </w:r>
      <w:r>
        <w:t xml:space="preserve">Schumann, P. A.. The Infrared Interference Method of Measuring Epitaxial Layer Thickness. Journal of The Electrochemical Society, 1969.</w:t>
      </w:r>
    </w:p>
    <w:p>
      <w:pPr>
        <w:pStyle w:val="a"/>
        <w:numPr>
          <w:ilvl w:val="0"/>
          <w:numId w:val="16"/>
        </w:numPr>
      </w:pPr>
      <w:r>
        <w:t xml:space="preserve"> </w:t>
      </w:r>
      <w:r>
        <w:t xml:space="preserve">ASTM International. ASTM F95-89(2000): Standard Test Method for Thickness of Lightly Doped Silicon Epitaxial Layers on Heavily Doped Silicon Substrates Using an Infrared Dispersive Spectrophotometer. ASTM </w:t>
      </w:r>
      <w:r>
        <w:rPr/>
        <w:t xml:space="preserve">International（标准组织正式文件）,</w:t>
      </w:r>
      <w:r>
        <w:t xml:space="preserve"> 2000.</w:t>
      </w:r>
    </w:p>
    <w:p>
      <w:pPr>
        <w:pStyle w:val="a"/>
        <w:numPr>
          <w:ilvl w:val="0"/>
          <w:numId w:val="16"/>
        </w:numPr>
      </w:pPr>
      <w:r>
        <w:t xml:space="preserve"> </w:t>
      </w:r>
      <w:r>
        <w:t xml:space="preserve">SEMI. SEMI MF95 (SEMI MF009500): Test Method for Thickness of Lightly Doped Silicon Epitaxial Layers on Heavily Doped Silicon Substrates Using an Infrared Dispersive Spectrophotometer. SEMI International Standards, 2013.</w:t>
      </w:r>
    </w:p>
    <w:p>
      <w:pPr>
        <w:pStyle w:val="a"/>
        <w:numPr>
          <w:ilvl w:val="0"/>
          <w:numId w:val="16"/>
        </w:numPr>
      </w:pPr>
      <w:r>
        <w:t xml:space="preserve"> </w:t>
      </w:r>
      <w:r>
        <w:t xml:space="preserve">Weeks, S. P.. Thickness Measurement of Thin (1.0-µm) Epitaxial Silicon Layers by Infrared Reflectance. Silicon Processing (ASTM STP 804), 1983.</w:t>
      </w:r>
    </w:p>
    <w:p>
      <w:pPr>
        <w:pStyle w:val="a"/>
        <w:numPr>
          <w:ilvl w:val="0"/>
          <w:numId w:val="16"/>
        </w:numPr>
      </w:pPr>
      <w:r>
        <w:t xml:space="preserve"> </w:t>
      </w:r>
      <w:r>
        <w:t xml:space="preserve">Born, M., Wolf, E.. Principles of Optics: Electromagnetic Theory of Propagation, Interference and Diffraction of Light (7th ed.). Cambridge University </w:t>
      </w:r>
      <w:r>
        <w:rPr/>
        <w:t xml:space="preserve">Press（权威教材）,</w:t>
      </w:r>
      <w:r>
        <w:t xml:space="preserve"> 1999.</w:t>
      </w:r>
    </w:p>
    <w:p>
      <w:pPr>
        <w:pStyle w:val="a"/>
        <w:numPr>
          <w:ilvl w:val="0"/>
          <w:numId w:val="16"/>
        </w:numPr>
      </w:pPr>
      <w:r>
        <w:t xml:space="preserve"> </w:t>
      </w:r>
      <w:r>
        <w:t xml:space="preserve">Hecht, E.. Optics (5th ed., Global Edition). </w:t>
      </w:r>
      <w:r>
        <w:rPr/>
        <w:t xml:space="preserve">Pearson（权威教材）,</w:t>
      </w:r>
      <w:r>
        <w:t xml:space="preserve"> 2017.</w:t>
      </w:r>
    </w:p>
    <w:p>
      <w:pPr>
        <w:pStyle w:val="a"/>
        <w:numPr>
          <w:ilvl w:val="0"/>
          <w:numId w:val="16"/>
        </w:numPr>
      </w:pPr>
      <w:r>
        <w:t xml:space="preserve"> </w:t>
      </w:r>
      <w:r>
        <w:t xml:space="preserve">Shaffer, P. T. B.. Refractive Index, Dispersion, and Birefringence of Silicon Carbide Polytypes. Applied Optics, 1971.</w:t>
      </w:r>
    </w:p>
    <w:p>
      <w:pPr>
        <w:pStyle w:val="a"/>
        <w:numPr>
          <w:ilvl w:val="0"/>
          <w:numId w:val="16"/>
        </w:numPr>
      </w:pPr>
      <w:r>
        <w:t xml:space="preserve"> </w:t>
      </w:r>
      <w:r>
        <w:t xml:space="preserve">Wang, S., Zhan, M., Wang, G., Xuan, H., Zhang, W., Liu, C., Xu, C., Liu, Y., Wei, Z., Chen, X.. 4H-SiC: a new nonlinear material for midinfrared lasers. Laser &amp; Photonics Reviews, 2013.</w:t>
      </w:r>
    </w:p>
    <w:p>
      <w:pPr>
        <w:pStyle w:val="a"/>
        <w:numPr>
          <w:ilvl w:val="0"/>
          <w:numId w:val="16"/>
        </w:numPr>
      </w:pPr>
      <w:r>
        <w:t xml:space="preserve"> </w:t>
      </w:r>
      <w:r>
        <w:t xml:space="preserve">Xu, C., Wang, S., Wang, G., Liang, J., Wang, S., Bai, L., Yang, J., Chen, X.. Temperature dependence of refractive indices for 4H- and 6H-SiC. Journal of Applied Physics, 2014.</w:t>
      </w:r>
    </w:p>
    <w:p>
      <w:pPr>
        <w:pStyle w:val="a"/>
        <w:numPr>
          <w:ilvl w:val="0"/>
          <w:numId w:val="16"/>
        </w:numPr>
      </w:pPr>
      <w:r>
        <w:t xml:space="preserve"> </w:t>
      </w:r>
      <w:r>
        <w:t xml:space="preserve">Polyanskiy, M. N.. Refractiveindex.info database of optical constants. Scientific Data, 2024.</w:t>
      </w:r>
    </w:p>
    <w:p>
      <w:pPr>
        <w:pStyle w:val="a"/>
        <w:numPr>
          <w:ilvl w:val="0"/>
          <w:numId w:val="16"/>
        </w:numPr>
      </w:pPr>
      <w:r>
        <w:t xml:space="preserve"> </w:t>
      </w:r>
      <w:r>
        <w:t xml:space="preserve">Li, H. H.. Refractive index of silicon and germanium and its wavelength and temperature derivatives. Journal of Physical and Chemical Reference Data, 1980.</w:t>
      </w:r>
    </w:p>
    <w:p>
      <w:pPr>
        <w:pStyle w:val="a"/>
        <w:numPr>
          <w:ilvl w:val="0"/>
          <w:numId w:val="16"/>
        </w:numPr>
      </w:pPr>
      <w:r>
        <w:t xml:space="preserve"> </w:t>
      </w:r>
      <w:r>
        <w:t xml:space="preserve">Palik, E. D. (ed.). Handbook of Optical Constants of Solids (Vol. 1-3). Academic </w:t>
      </w:r>
      <w:r>
        <w:rPr/>
        <w:t xml:space="preserve">Press（权威手册）,</w:t>
      </w:r>
      <w:r>
        <w:t xml:space="preserve"> 1998.</w:t>
      </w:r>
    </w:p>
    <w:p>
      <w:pPr>
        <w:pStyle w:val="a"/>
        <w:numPr>
          <w:ilvl w:val="0"/>
          <w:numId w:val="16"/>
        </w:numPr>
      </w:pPr>
      <w:r>
        <w:t xml:space="preserve"> </w:t>
      </w:r>
      <w:r>
        <w:t xml:space="preserve">Spitzer, W., Fan, H. Y.. Infrared Absorption in n-Type Silicon. Physical Review, 1957.</w:t>
      </w:r>
    </w:p>
    <w:p>
      <w:pPr>
        <w:pStyle w:val="a"/>
        <w:numPr>
          <w:ilvl w:val="0"/>
          <w:numId w:val="16"/>
        </w:numPr>
      </w:pPr>
      <w:r>
        <w:t xml:space="preserve"> </w:t>
      </w:r>
      <w:r>
        <w:t xml:space="preserve">Pernot, J., Camassel, J., Peyre, H., Robert, J.-L.. From Transport Measurements to Infrared Reflectance Spectra of n-Type Doped 4H-SiC Layer Stacks. Materials Science Forum, 2003.</w:t>
      </w:r>
    </w:p>
    <w:p>
      <w:pPr>
        <w:pStyle w:val="a"/>
        <w:numPr>
          <w:ilvl w:val="0"/>
          <w:numId w:val="16"/>
        </w:numPr>
      </w:pPr>
      <w:r>
        <w:t xml:space="preserve"> </w:t>
      </w:r>
      <w:r>
        <w:t xml:space="preserve">Chahal, J. S., Rahbany, N., El-Helou, Y., Wu, K.-T., Bruyant, A., Zgheib, C., Kazan, M.. Temperature dependence of the anisotropy of the infrared dielectric properties and phonon-plasmon coupling in n-doped 4H-SiC. Journal of Physics and Chemistry of Solids, 2023.</w:t>
      </w:r>
    </w:p>
    <w:p>
      <w:pPr>
        <w:pStyle w:val="a"/>
        <w:numPr>
          <w:ilvl w:val="0"/>
          <w:numId w:val="16"/>
        </w:numPr>
      </w:pPr>
      <w:r>
        <w:t xml:space="preserve"> </w:t>
      </w:r>
      <w:r>
        <w:rPr/>
        <w:t xml:space="preserve">王晨茜,</w:t>
      </w:r>
      <w:r>
        <w:t xml:space="preserve"> </w:t>
      </w:r>
      <w:r>
        <w:rPr/>
        <w:t xml:space="preserve">孙嘉妍,</w:t>
      </w:r>
      <w:r>
        <w:t xml:space="preserve"> </w:t>
      </w:r>
      <w:r>
        <w:rPr/>
        <w:t xml:space="preserve">陈怡佳,</w:t>
      </w:r>
      <w:r>
        <w:t xml:space="preserve"> </w:t>
      </w:r>
      <w:r>
        <w:rPr/>
        <w:t xml:space="preserve">杜睿.</w:t>
      </w:r>
      <w:r>
        <w:t xml:space="preserve"> </w:t>
      </w:r>
      <w:r>
        <w:rPr/>
        <w:t xml:space="preserve">基于色散修正与全谱拟合的红外干涉测厚模型研究.</w:t>
      </w:r>
      <w:r>
        <w:t xml:space="preserve"> </w:t>
      </w:r>
      <w:r>
        <w:rPr/>
        <w:t xml:space="preserve">数学建模及其应用（Mathematical</w:t>
      </w:r>
      <w:r>
        <w:t xml:space="preserve"> Modeling and Its </w:t>
      </w:r>
      <w:r>
        <w:rPr/>
        <w:t xml:space="preserve">Applications）,</w:t>
      </w:r>
      <w:r>
        <w:t xml:space="preserve"> 2026.</w:t>
      </w:r>
    </w:p>
    <w:p>
      <w:pPr>
        <w:pStyle w:val="a"/>
        <w:numPr>
          <w:ilvl w:val="0"/>
          <w:numId w:val="16"/>
        </w:numPr>
      </w:pPr>
      <w:r>
        <w:t xml:space="preserve"> </w:t>
      </w:r>
      <w:r>
        <w:t xml:space="preserve">Harrick, N. J.. Determination of Refractive Index and Film Thickness from Interference Fringes. Applied Optics, 1971.</w:t>
      </w:r>
    </w:p>
    <w:p>
      <w:pPr>
        <w:pStyle w:val="a"/>
        <w:numPr>
          <w:ilvl w:val="0"/>
          <w:numId w:val="16"/>
        </w:numPr>
      </w:pPr>
      <w:r>
        <w:t xml:space="preserve"> </w:t>
      </w:r>
      <w:r>
        <w:t xml:space="preserve">Larruquert, J. I., Pérez-Marín, A. P., García-Cortés, S., Rodríguez-de Marcos, L., Aznárez, J. A., Méndez, J. A.. Self-consistent optical constants of SiC thin films. Journal of the Optical Society of America A, 2011.</w:t>
      </w:r>
    </w:p>
    <w:p>
      <w:pPr>
        <w:pStyle w:val="a"/>
        <w:numPr>
          <w:ilvl w:val="0"/>
          <w:numId w:val="16"/>
        </w:numPr>
      </w:pPr>
      <w:r>
        <w:t xml:space="preserve"> </w:t>
      </w:r>
      <w:r>
        <w:t xml:space="preserve">Liu, Lu, Shi, Weiwei, Xu, Shibo, Wang, Xiaofan. Dispersion Compensation and Multi-Beam Interference Correction Algorithm for Thickness Measurement of SiC Epitaxial Layer. Sensors, 2026.</w:t>
      </w:r>
    </w:p>
    <w:p>
      <w:pPr>
        <w:pStyle w:val="a"/>
        <w:numPr>
          <w:ilvl w:val="0"/>
          <w:numId w:val="16"/>
        </w:numPr>
      </w:pPr>
      <w:r>
        <w:t xml:space="preserve"> </w:t>
      </w:r>
      <w:r>
        <w:t xml:space="preserve">Mainali, Madan K., Dulal, Prabin, Shrestha, Bishal, Amonette, Emily, Shan, Ambalanath, Podraza, Nikolas J.. Optical properties of 4H-SiC and 6H-SiC from infrared to vacuum ultraviolet spectral range ellipsometry (0.05–8.5 eV). Surface Science Spectra, 2024.</w:t>
      </w:r>
    </w:p>
    <w:p>
      <w:pPr>
        <w:pStyle w:val="a"/>
        <w:numPr>
          <w:ilvl w:val="0"/>
          <w:numId w:val="16"/>
        </w:numPr>
      </w:pPr>
      <w:r>
        <w:t xml:space="preserve"> </w:t>
      </w:r>
      <w:r>
        <w:t xml:space="preserve">Lindquist, O. P. A., Schubert, M., Arwin, H., Järrendahl, K.. Infrared to vacuum ultraviolet optical properties of 3C, 4H and 6H silicon carbide measured by spectroscopic ellipsometry. Thin Solid Films, 2004.</w:t>
      </w:r>
    </w:p>
    <w:p>
      <w:pPr>
        <w:pStyle w:val="a"/>
        <w:numPr>
          <w:ilvl w:val="0"/>
          <w:numId w:val="16"/>
        </w:numPr>
      </w:pPr>
      <w:r>
        <w:t xml:space="preserve"> </w:t>
      </w:r>
      <w:r>
        <w:t xml:space="preserve">Lindquist, O. P. A., Arwin, H., Henry, A., Järrendahl, K.. Infrared Optical Properties of 3C, 4H and 6H Silicon Carbide. Materials Science Forum, 2003.</w:t>
      </w:r>
    </w:p>
    <w:p>
      <w:pPr>
        <w:pStyle w:val="a"/>
        <w:numPr>
          <w:ilvl w:val="0"/>
          <w:numId w:val="16"/>
        </w:numPr>
      </w:pPr>
      <w:r>
        <w:t xml:space="preserve"> </w:t>
      </w:r>
      <w:r>
        <w:t xml:space="preserve">Tong, Zhen, Liu, Linhua, Li, Liangsheng, Bao, Hua. Temperature-dependent infrared optical properties of 3C-, 4H- and 6H-SiC. Physica B: Condensed Matter, 2018.</w:t>
      </w:r>
    </w:p>
    <w:p>
      <w:pPr>
        <w:pStyle w:val="a"/>
        <w:numPr>
          <w:ilvl w:val="0"/>
          <w:numId w:val="16"/>
        </w:numPr>
      </w:pPr>
      <w:r>
        <w:t xml:space="preserve"> </w:t>
      </w:r>
      <w:r>
        <w:t xml:space="preserve">Sunkari, Swapna, Mazzola, M. S., Mazzola, J. P., Das, Hrishikesh, Wyatt, J. L.. Investigation of longitudinal-optical phonon-plasmon coupled modes in SiC epitaxial film using Fourier transform infrared reflection. Journal of Electronic Materials, 2005.</w:t>
      </w:r>
    </w:p>
    <w:p>
      <w:pPr>
        <w:pStyle w:val="a"/>
        <w:numPr>
          <w:ilvl w:val="0"/>
          <w:numId w:val="16"/>
        </w:numPr>
      </w:pPr>
      <w:r>
        <w:t xml:space="preserve"> </w:t>
      </w:r>
      <w:r>
        <w:t xml:space="preserve">Mazzola, Michael S., Sunkari, Swapna G., Mazzola, Janice, Das, Hrishikesh, Melnychuck, Galyna, Koshka, Yaroslav, Wyatt, Jeffery L., Zhang, Jie. Improved Resolution of Epitaxial Thin Film Doping Using FTIR Reflectance Spectroscopy. Materials Science Forum, 2005.</w:t>
      </w:r>
    </w:p>
    <w:p>
      <w:pPr>
        <w:pStyle w:val="a"/>
        <w:numPr>
          <w:ilvl w:val="0"/>
          <w:numId w:val="16"/>
        </w:numPr>
      </w:pPr>
      <w:r>
        <w:t xml:space="preserve"> </w:t>
      </w:r>
      <w:r>
        <w:t xml:space="preserve">Zhou, Zhen-Hong, Yang, Isabel, Yu, Fuzhong, Reif, Rafael. Fundamentals of epitaxial silicon film thickness measurements using emission and reflection Fourier transform infrared spectroscopy. Journal of Applied Physics, 1993.</w:t>
      </w:r>
    </w:p>
    <w:p>
      <w:pPr>
        <w:pStyle w:val="a"/>
        <w:numPr>
          <w:ilvl w:val="0"/>
          <w:numId w:val="16"/>
        </w:numPr>
      </w:pPr>
      <w:r>
        <w:t xml:space="preserve"> </w:t>
      </w:r>
      <w:r>
        <w:t xml:space="preserve">Sun, Jiaxing, Li, Zhisong, Zhang, Haojie, Song, Jinlong, Zhai, Tianbao. An improved method for measuring epi-wafer thickness based on the infrared interference principle: Addressing interference quality and multiple interferences in double-layer structures. Results in Physics, 2023.</w:t>
      </w:r>
    </w:p>
    <w:p>
      <w:pPr>
        <w:pStyle w:val="a"/>
        <w:numPr>
          <w:ilvl w:val="0"/>
          <w:numId w:val="16"/>
        </w:numPr>
      </w:pPr>
      <w:r>
        <w:t xml:space="preserve"> </w:t>
      </w:r>
      <w:r>
        <w:t xml:space="preserve">Severin, P. J.. On the Infrared Thickness Measurement of Epitaxially Grown Silicon Layers. Applied Optics, 1970.</w:t>
      </w:r>
    </w:p>
    <w:p>
      <w:pPr>
        <w:pStyle w:val="a"/>
        <w:numPr>
          <w:ilvl w:val="0"/>
          <w:numId w:val="16"/>
        </w:numPr>
      </w:pPr>
      <w:r>
        <w:t xml:space="preserve"> </w:t>
      </w:r>
      <w:r>
        <w:t xml:space="preserve">Sato, K., Ishikawa, Y., Sugawara, K.. Infrared interference spectra observed in silicon epitaxial wafers. Solid-State Electronics, 1966.</w:t>
      </w:r>
    </w:p>
    <w:p>
      <w:pPr>
        <w:pStyle w:val="a"/>
        <w:numPr>
          <w:ilvl w:val="0"/>
          <w:numId w:val="16"/>
        </w:numPr>
      </w:pPr>
      <w:r>
        <w:t xml:space="preserve"> </w:t>
      </w:r>
      <w:r>
        <w:t xml:space="preserve">Soler, F. J. P.. Multiple reflections in an approximately parallel plate. Optics Communications, 1997.</w:t>
      </w:r>
    </w:p>
    <w:p>
      <w:pPr>
        <w:pStyle w:val="a"/>
        <w:numPr>
          <w:ilvl w:val="0"/>
          <w:numId w:val="16"/>
        </w:numPr>
      </w:pPr>
      <w:r>
        <w:t xml:space="preserve"> </w:t>
      </w:r>
      <w:r>
        <w:t xml:space="preserve">Monzón, J. J., Sánchez-Soto, L. L., Bernabeu, E.. Influence of coating thickness on the performance of a Fabry–Perot interferometer. Applied Optics, 1991.</w:t>
      </w:r>
    </w:p>
    <w:p>
      <w:pPr>
        <w:pStyle w:val="1"/>
        <w:numPr>
          <w:ilvl w:val="0"/>
          <w:numId w:val="0"/>
        </w:numPr>
      </w:pPr>
      <w:r>
        <w:rPr/>
        <w:t xml:space="preserve">附录：复现说明、文件清单和核心代码索引</w:t>
      </w:r>
    </w:p>
    <w:p>
      <w:pPr>
        <w:pStyle w:val="a4"/>
      </w:pPr>
      <w:r>
        <w:rPr/>
        <w:t xml:space="preserve">随文支撑材料包含各小问的计算与绘图代码、参数登记、运行配置和按正式图号命名的图片。运行顺序为先完成合成验证，再对碳化硅和硅数据分别执行主计算，随后使用相应结果进行扰动、消融与绘图；每次运行使用独立输出目录，不覆盖原结果。</w:t>
      </w:r>
    </w:p>
    <w:p>
      <w:pPr>
        <w:pStyle w:val="a4"/>
      </w:pPr>
      <w:r>
        <w:rPr/>
        <w:t xml:space="preserve">原始竞赛附件因分发许可未确认，不随包提供，应从题目发布方合法取得并核对材料、入射角、列含义与数据版本。支撑材料运行说明列出所需输入及目录关系；其中程序接口与依赖进行了静态检查，本次没有执行全数据集复算。由此，论文交付与软件检查完成不等于已验证在另一台机器上数值完全复现。</w:t>
      </w:r>
    </w:p>
    <w:sectPr w:rsidR="00BD5DB4" w:rsidRPr="00394F00" w:rsidSect="00A65EAD">
      <w:headerReference w:type="even" r:id="rIdAutoMM5"/>
      <w:headerReference w:type="default" r:id="rIdAutoMM6"/>
      <w:headerReference w:type="first" r:id="rIdAutoMM7"/>
      <w:footerReference w:type="even" r:id="rIdAutoMM8"/>
      <w:footerReference w:type="default" r:id="rIdAutoMM9"/>
      <w:footerReference w:type="first" r:id="rIdAutoMM10"/>
      <w:pgSz w:w="11906" w:h="16838"/>
      <w:pgMar w:top="1418" w:right="1418" w:bottom="1418" w:left="1418" w:header="851" w:footer="992" w:gutter="0"/>
      <w:pgNumType w:start="1"/>
      <w:cols w:space="425"/>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Microsoft YaHei UI Light">
    <w:panose1 w:val="020B0502040204020203"/>
    <w:charset w:val="86"/>
    <w:family w:val="swiss"/>
    <w:pitch w:val="variable"/>
    <w:sig w:usb0="80000287" w:usb1="2ACF0010" w:usb2="00000016" w:usb3="00000000" w:csb0="0004001F" w:csb1="00000000"/>
  </w:font>
  <w:font w:name="楷体">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D26DC0"/>
    <w:multiLevelType w:val="multilevel"/>
    <w:tmpl w:val="35D26DC0"/>
    <w:lvl w:ilvl="0">
      <w:start w:val="1"/>
      <w:numFmt w:val="decimal"/>
      <w:pStyle w:val="a"/>
      <w:suff w:val="nothing"/>
      <w:lvlText w:val="[%1] "/>
      <w:lvlJc w:val="left"/>
      <w:pPr>
        <w:ind w:left="0" w:firstLine="0"/>
      </w:pPr>
      <w:rPr>
        <w:rFonts w:hint="eastAsia"/>
      </w:rPr>
    </w:lvl>
    <w:lvl w:ilvl="1">
      <w:start w:val="1"/>
      <w:numFmt w:val="lowerLetter"/>
      <w:lvlText w:val="%2)"/>
      <w:lvlJc w:val="left"/>
      <w:pPr>
        <w:ind w:left="1320" w:hanging="420"/>
      </w:pPr>
      <w:rPr>
        <w:rFonts w:hint="eastAsia"/>
      </w:rPr>
    </w:lvl>
    <w:lvl w:ilvl="2">
      <w:start w:val="1"/>
      <w:numFmt w:val="lowerRoman"/>
      <w:lvlText w:val="%3."/>
      <w:lvlJc w:val="right"/>
      <w:pPr>
        <w:ind w:left="1740" w:hanging="420"/>
      </w:pPr>
      <w:rPr>
        <w:rFonts w:hint="eastAsia"/>
      </w:rPr>
    </w:lvl>
    <w:lvl w:ilvl="3">
      <w:start w:val="1"/>
      <w:numFmt w:val="decimal"/>
      <w:lvlText w:val="%4."/>
      <w:lvlJc w:val="left"/>
      <w:pPr>
        <w:ind w:left="2160" w:hanging="420"/>
      </w:pPr>
      <w:rPr>
        <w:rFonts w:hint="eastAsia"/>
      </w:rPr>
    </w:lvl>
    <w:lvl w:ilvl="4">
      <w:start w:val="1"/>
      <w:numFmt w:val="lowerLetter"/>
      <w:lvlText w:val="%5)"/>
      <w:lvlJc w:val="left"/>
      <w:pPr>
        <w:ind w:left="2580" w:hanging="420"/>
      </w:pPr>
      <w:rPr>
        <w:rFonts w:hint="eastAsia"/>
      </w:rPr>
    </w:lvl>
    <w:lvl w:ilvl="5">
      <w:start w:val="1"/>
      <w:numFmt w:val="lowerRoman"/>
      <w:lvlText w:val="%6."/>
      <w:lvlJc w:val="right"/>
      <w:pPr>
        <w:ind w:left="3000" w:hanging="420"/>
      </w:pPr>
      <w:rPr>
        <w:rFonts w:hint="eastAsia"/>
      </w:rPr>
    </w:lvl>
    <w:lvl w:ilvl="6">
      <w:start w:val="1"/>
      <w:numFmt w:val="decimal"/>
      <w:lvlText w:val="%7."/>
      <w:lvlJc w:val="left"/>
      <w:pPr>
        <w:ind w:left="3420" w:hanging="420"/>
      </w:pPr>
      <w:rPr>
        <w:rFonts w:hint="eastAsia"/>
      </w:rPr>
    </w:lvl>
    <w:lvl w:ilvl="7">
      <w:start w:val="1"/>
      <w:numFmt w:val="lowerLetter"/>
      <w:lvlText w:val="%8)"/>
      <w:lvlJc w:val="left"/>
      <w:pPr>
        <w:ind w:left="3840" w:hanging="420"/>
      </w:pPr>
      <w:rPr>
        <w:rFonts w:hint="eastAsia"/>
      </w:rPr>
    </w:lvl>
    <w:lvl w:ilvl="8">
      <w:start w:val="1"/>
      <w:numFmt w:val="lowerRoman"/>
      <w:lvlText w:val="%9."/>
      <w:lvlJc w:val="right"/>
      <w:pPr>
        <w:ind w:left="4260" w:hanging="420"/>
      </w:pPr>
      <w:rPr>
        <w:rFonts w:hint="eastAsia"/>
      </w:rPr>
    </w:lvl>
  </w:abstractNum>
  <w:abstractNum w:abstractNumId="1" w15:restartNumberingAfterBreak="0">
    <w:nsid w:val="524A2909"/>
    <w:multiLevelType w:val="multilevel"/>
    <w:tmpl w:val="A4C4812E"/>
    <w:lvl w:ilvl="0">
      <w:start w:val="1"/>
      <w:numFmt w:val="chineseCountingThousand"/>
      <w:pStyle w:val="1"/>
      <w:suff w:val="space"/>
      <w:lvlText w:val="%1、"/>
      <w:lvlJc w:val="left"/>
      <w:pPr>
        <w:ind w:left="0" w:firstLine="0"/>
      </w:pPr>
      <w:rPr>
        <w:rFonts w:ascii="Times New Roman" w:eastAsia="黑体" w:hAnsi="Times New Roman" w:hint="default"/>
        <w:b w:val="0"/>
        <w:i w:val="0"/>
        <w:sz w:val="28"/>
      </w:rPr>
    </w:lvl>
    <w:lvl w:ilvl="1">
      <w:start w:val="1"/>
      <w:numFmt w:val="decimal"/>
      <w:pStyle w:val="2"/>
      <w:isLgl/>
      <w:suff w:val="space"/>
      <w:lvlText w:val="%1.%2 "/>
      <w:lvlJc w:val="left"/>
      <w:pPr>
        <w:ind w:left="0" w:firstLine="0"/>
      </w:pPr>
      <w:rPr>
        <w:rFonts w:hint="eastAsia"/>
      </w:rPr>
    </w:lvl>
    <w:lvl w:ilvl="2">
      <w:start w:val="1"/>
      <w:numFmt w:val="decimal"/>
      <w:pStyle w:val="3"/>
      <w:isLgl/>
      <w:suff w:val="nothing"/>
      <w:lvlText w:val="%1.%2.%3 "/>
      <w:lvlJc w:val="left"/>
      <w:pPr>
        <w:ind w:left="0" w:firstLine="0"/>
      </w:pPr>
      <w:rPr>
        <w:rFonts w:ascii="Times New Roman" w:eastAsia="黑体" w:hAnsi="Times New Roman" w:hint="default"/>
        <w:b w:val="0"/>
        <w:i w:val="0"/>
        <w:sz w:val="24"/>
      </w:rPr>
    </w:lvl>
    <w:lvl w:ilvl="3">
      <w:start w:val="1"/>
      <w:numFmt w:val="decimal"/>
      <w:pStyle w:val="4"/>
      <w:suff w:val="nothing"/>
      <w:lvlText w:val="%1.%2.%3.%4 "/>
      <w:lvlJc w:val="left"/>
      <w:pPr>
        <w:ind w:left="0" w:firstLine="0"/>
      </w:pPr>
      <w:rPr>
        <w:rFonts w:ascii="Times New Roman" w:eastAsia="宋体" w:hAnsi="Times New Roman" w:hint="default"/>
        <w:b/>
        <w:i w:val="0"/>
        <w:sz w:val="24"/>
      </w:rPr>
    </w:lvl>
    <w:lvl w:ilvl="4">
      <w:start w:val="1"/>
      <w:numFmt w:val="decimal"/>
      <w:pStyle w:val="5"/>
      <w:suff w:val="nothing"/>
      <w:lvlText w:val="%1.%2.%3.%4.%5 "/>
      <w:lvlJc w:val="left"/>
      <w:pPr>
        <w:ind w:left="0" w:firstLine="0"/>
      </w:pPr>
      <w:rPr>
        <w:rFonts w:ascii="Times New Roman" w:eastAsia="宋体" w:hAnsi="Times New Roman" w:hint="default"/>
        <w:b/>
        <w:i w:val="0"/>
        <w:sz w:val="24"/>
      </w:rPr>
    </w:lvl>
    <w:lvl w:ilvl="5">
      <w:start w:val="1"/>
      <w:numFmt w:val="decimal"/>
      <w:pStyle w:val="6"/>
      <w:suff w:val="nothing"/>
      <w:lvlText w:val="(%6) "/>
      <w:lvlJc w:val="left"/>
      <w:pPr>
        <w:ind w:left="0" w:firstLine="0"/>
      </w:pPr>
      <w:rPr>
        <w:rFonts w:ascii="Times New Roman" w:eastAsia="宋体" w:hAnsi="Times New Roman" w:hint="default"/>
        <w:b/>
        <w:i w:val="0"/>
        <w:sz w:val="24"/>
      </w:rPr>
    </w:lvl>
    <w:lvl w:ilvl="6">
      <w:start w:val="1"/>
      <w:numFmt w:val="decimal"/>
      <w:pStyle w:val="7"/>
      <w:suff w:val="space"/>
      <w:lvlText w:val="%7)"/>
      <w:lvlJc w:val="left"/>
      <w:pPr>
        <w:ind w:left="0" w:firstLine="0"/>
      </w:pPr>
      <w:rPr>
        <w:rFonts w:ascii="Times New Roman" w:eastAsia="宋体" w:hAnsi="Times New Roman" w:hint="default"/>
        <w:b/>
        <w:i w:val="0"/>
        <w:sz w:val="24"/>
      </w:rPr>
    </w:lvl>
    <w:lvl w:ilvl="7">
      <w:start w:val="1"/>
      <w:numFmt w:val="decimal"/>
      <w:lvlRestart w:val="0"/>
      <w:pStyle w:val="a0"/>
      <w:suff w:val="nothing"/>
      <w:lvlText w:val="表%8 "/>
      <w:lvlJc w:val="left"/>
      <w:pPr>
        <w:ind w:left="0" w:firstLine="0"/>
      </w:pPr>
      <w:rPr>
        <w:rFonts w:ascii="Times New Roman" w:eastAsia="宋体" w:hAnsi="Times New Roman" w:hint="default"/>
        <w:b/>
        <w:i w:val="0"/>
        <w:sz w:val="22"/>
      </w:rPr>
    </w:lvl>
    <w:lvl w:ilvl="8">
      <w:start w:val="1"/>
      <w:numFmt w:val="decimal"/>
      <w:lvlRestart w:val="0"/>
      <w:pStyle w:val="a1"/>
      <w:suff w:val="nothing"/>
      <w:lvlText w:val="图%9 "/>
      <w:lvlJc w:val="left"/>
      <w:pPr>
        <w:ind w:left="0" w:firstLine="0"/>
      </w:pPr>
      <w:rPr>
        <w:rFonts w:ascii="Times New Roman" w:eastAsia="宋体" w:hAnsi="Times New Roman" w:hint="default"/>
        <w:b/>
        <w:i w:val="0"/>
        <w:sz w:val="22"/>
      </w:rPr>
    </w:lvl>
  </w:abstractNum>
  <w:abstractNum w:abstractNumId="2" w15:restartNumberingAfterBreak="0">
    <w:nsid w:val="599B5506"/>
    <w:multiLevelType w:val="multilevel"/>
    <w:tmpl w:val="599B5506"/>
    <w:lvl w:ilvl="0">
      <w:start w:val="1"/>
      <w:numFmt w:val="bullet"/>
      <w:pStyle w:val="a2"/>
      <w:suff w:val="space"/>
      <w:lvlText w:val=""/>
      <w:lvlJc w:val="left"/>
      <w:pPr>
        <w:ind w:left="417" w:hanging="177"/>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3" w15:restartNumberingAfterBreak="0">
    <w:nsid w:val="67CA0C48"/>
    <w:multiLevelType w:val="multilevel"/>
    <w:tmpl w:val="67CA0C48"/>
    <w:lvl w:ilvl="0">
      <w:start w:val="1"/>
      <w:numFmt w:val="decimal"/>
      <w:pStyle w:val="Step"/>
      <w:suff w:val="nothing"/>
      <w:lvlText w:val="Step %1 "/>
      <w:lvlJc w:val="left"/>
      <w:pPr>
        <w:ind w:left="695" w:hanging="695"/>
      </w:pPr>
      <w:rPr>
        <w:rFonts w:hint="eastAsia"/>
        <w:b/>
        <w:i w:val="0"/>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4" w15:restartNumberingAfterBreak="0">
    <w:nsid w:val="6FD87C1A"/>
    <w:multiLevelType w:val="multilevel"/>
    <w:tmpl w:val="6FD87C1A"/>
    <w:lvl w:ilvl="0">
      <w:start w:val="1"/>
      <w:numFmt w:val="decimal"/>
      <w:pStyle w:val="a3"/>
      <w:suff w:val="space"/>
      <w:lvlText w:val="(%1)"/>
      <w:lvlJc w:val="left"/>
      <w:pPr>
        <w:ind w:left="585" w:hanging="347"/>
      </w:pPr>
      <w:rPr>
        <w:rFonts w:ascii="Times New Roman" w:hAnsi="Times New Roman" w:hint="eastAsia"/>
        <w:b w:val="0"/>
        <w:bCs w:val="0"/>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lowerLetter"/>
      <w:lvlText w:val="%2)"/>
      <w:lvlJc w:val="left"/>
      <w:pPr>
        <w:ind w:left="1078" w:hanging="420"/>
      </w:pPr>
    </w:lvl>
    <w:lvl w:ilvl="2">
      <w:start w:val="1"/>
      <w:numFmt w:val="lowerRoman"/>
      <w:lvlText w:val="%3."/>
      <w:lvlJc w:val="right"/>
      <w:pPr>
        <w:ind w:left="1498" w:hanging="420"/>
      </w:pPr>
    </w:lvl>
    <w:lvl w:ilvl="3">
      <w:start w:val="1"/>
      <w:numFmt w:val="decimal"/>
      <w:lvlText w:val="%4."/>
      <w:lvlJc w:val="left"/>
      <w:pPr>
        <w:ind w:left="1918" w:hanging="420"/>
      </w:pPr>
    </w:lvl>
    <w:lvl w:ilvl="4">
      <w:start w:val="1"/>
      <w:numFmt w:val="lowerLetter"/>
      <w:lvlText w:val="%5)"/>
      <w:lvlJc w:val="left"/>
      <w:pPr>
        <w:ind w:left="2338" w:hanging="420"/>
      </w:pPr>
    </w:lvl>
    <w:lvl w:ilvl="5">
      <w:start w:val="1"/>
      <w:numFmt w:val="lowerRoman"/>
      <w:lvlText w:val="%6."/>
      <w:lvlJc w:val="right"/>
      <w:pPr>
        <w:ind w:left="2758" w:hanging="420"/>
      </w:pPr>
    </w:lvl>
    <w:lvl w:ilvl="6">
      <w:start w:val="1"/>
      <w:numFmt w:val="decimal"/>
      <w:lvlText w:val="%7."/>
      <w:lvlJc w:val="left"/>
      <w:pPr>
        <w:ind w:left="3178" w:hanging="420"/>
      </w:pPr>
    </w:lvl>
    <w:lvl w:ilvl="7">
      <w:start w:val="1"/>
      <w:numFmt w:val="lowerLetter"/>
      <w:lvlText w:val="%8)"/>
      <w:lvlJc w:val="left"/>
      <w:pPr>
        <w:ind w:left="3598" w:hanging="420"/>
      </w:pPr>
    </w:lvl>
    <w:lvl w:ilvl="8">
      <w:start w:val="1"/>
      <w:numFmt w:val="lowerRoman"/>
      <w:lvlText w:val="%9."/>
      <w:lvlJc w:val="right"/>
      <w:pPr>
        <w:ind w:left="4018" w:hanging="420"/>
      </w:pPr>
    </w:lvl>
  </w:abstractNum>
  <w:abstractNum w:abstractNumId="5" w15:restartNumberingAfterBreak="0">
    <w:nsid w:val="5D10FC79"/>
    <w:multiLevelType w:val="multilevel"/>
    <w:tmpl w:val="A4C4812E"/>
    <w:lvl w:ilvl="0">
      <w:start w:val="1"/>
      <w:numFmt w:val="chineseCountingThousand"/>
      <w:suff w:val="space"/>
      <w:lvlText w:val="%1、"/>
      <w:lvlJc w:val="left"/>
      <w:pPr>
        <w:ind w:left="0" w:firstLine="0"/>
      </w:pPr>
      <w:rPr>
        <w:rFonts w:ascii="Times New Roman" w:eastAsia="黑体" w:hAnsi="Times New Roman" w:hint="default"/>
        <w:b w:val="0"/>
        <w:i w:val="0"/>
        <w:sz w:val="28"/>
      </w:rPr>
    </w:lvl>
    <w:lvl w:ilvl="1">
      <w:start w:val="1"/>
      <w:numFmt w:val="decimal"/>
      <w:isLgl/>
      <w:suff w:val="space"/>
      <w:lvlText w:val="%1.%2 "/>
      <w:lvlJc w:val="left"/>
      <w:pPr>
        <w:ind w:left="0" w:firstLine="0"/>
      </w:pPr>
      <w:rPr>
        <w:rFonts w:hint="eastAsia"/>
      </w:rPr>
    </w:lvl>
    <w:lvl w:ilvl="2">
      <w:start w:val="1"/>
      <w:numFmt w:val="decimal"/>
      <w:isLgl/>
      <w:suff w:val="nothing"/>
      <w:lvlText w:val="%1.%2.%3 "/>
      <w:lvlJc w:val="left"/>
      <w:pPr>
        <w:ind w:left="0" w:firstLine="0"/>
      </w:pPr>
      <w:rPr>
        <w:rFonts w:ascii="Times New Roman" w:eastAsia="黑体" w:hAnsi="Times New Roman" w:hint="default"/>
        <w:b w:val="0"/>
        <w:i w:val="0"/>
        <w:sz w:val="24"/>
      </w:rPr>
    </w:lvl>
    <w:lvl w:ilvl="3">
      <w:start w:val="1"/>
      <w:numFmt w:val="decimal"/>
      <w:suff w:val="nothing"/>
      <w:lvlText w:val="%1.%2.%3.%4 "/>
      <w:lvlJc w:val="left"/>
      <w:pPr>
        <w:ind w:left="0" w:firstLine="0"/>
      </w:pPr>
      <w:rPr>
        <w:rFonts w:ascii="Times New Roman" w:eastAsia="宋体" w:hAnsi="Times New Roman" w:hint="default"/>
        <w:b/>
        <w:i w:val="0"/>
        <w:sz w:val="24"/>
      </w:rPr>
    </w:lvl>
    <w:lvl w:ilvl="4">
      <w:start w:val="1"/>
      <w:numFmt w:val="decimal"/>
      <w:suff w:val="nothing"/>
      <w:lvlText w:val="%1.%2.%3.%4.%5 "/>
      <w:lvlJc w:val="left"/>
      <w:pPr>
        <w:ind w:left="0" w:firstLine="0"/>
      </w:pPr>
      <w:rPr>
        <w:rFonts w:ascii="Times New Roman" w:eastAsia="宋体" w:hAnsi="Times New Roman" w:hint="default"/>
        <w:b/>
        <w:i w:val="0"/>
        <w:sz w:val="24"/>
      </w:rPr>
    </w:lvl>
    <w:lvl w:ilvl="5">
      <w:start w:val="1"/>
      <w:numFmt w:val="decimal"/>
      <w:suff w:val="nothing"/>
      <w:lvlText w:val="(%6) "/>
      <w:lvlJc w:val="left"/>
      <w:pPr>
        <w:ind w:left="0" w:firstLine="0"/>
      </w:pPr>
      <w:rPr>
        <w:rFonts w:ascii="Times New Roman" w:eastAsia="宋体" w:hAnsi="Times New Roman" w:hint="default"/>
        <w:b/>
        <w:i w:val="0"/>
        <w:sz w:val="24"/>
      </w:rPr>
    </w:lvl>
    <w:lvl w:ilvl="6">
      <w:start w:val="1"/>
      <w:numFmt w:val="decimal"/>
      <w:suff w:val="space"/>
      <w:lvlText w:val="%7)"/>
      <w:lvlJc w:val="left"/>
      <w:pPr>
        <w:ind w:left="0" w:firstLine="0"/>
      </w:pPr>
      <w:rPr>
        <w:rFonts w:ascii="Times New Roman" w:eastAsia="宋体" w:hAnsi="Times New Roman" w:hint="default"/>
        <w:b/>
        <w:i w:val="0"/>
        <w:sz w:val="24"/>
      </w:rPr>
    </w:lvl>
    <w:lvl w:ilvl="7">
      <w:start w:val="1"/>
      <w:numFmt w:val="decimal"/>
      <w:lvlRestart w:val="0"/>
      <w:suff w:val="nothing"/>
      <w:lvlText w:val="表%8 "/>
      <w:lvlJc w:val="left"/>
      <w:pPr>
        <w:ind w:left="0" w:firstLine="0"/>
      </w:pPr>
      <w:rPr>
        <w:rFonts w:ascii="Times New Roman" w:eastAsia="宋体" w:hAnsi="Times New Roman" w:hint="default"/>
        <w:b/>
        <w:i w:val="0"/>
        <w:sz w:val="22"/>
      </w:rPr>
    </w:lvl>
    <w:lvl w:ilvl="8">
      <w:start w:val="1"/>
      <w:numFmt w:val="decimal"/>
      <w:lvlRestart w:val="0"/>
      <w:suff w:val="nothing"/>
      <w:lvlText w:val="图%9 "/>
      <w:lvlJc w:val="left"/>
      <w:pPr>
        <w:ind w:left="0" w:firstLine="0"/>
      </w:pPr>
      <w:rPr>
        <w:rFonts w:ascii="Times New Roman" w:eastAsia="宋体" w:hAnsi="Times New Roman" w:hint="default"/>
        <w:b/>
        <w:i w:val="0"/>
        <w:sz w:val="22"/>
      </w:rPr>
    </w:lvl>
  </w:abstractNum>
  <w:abstractNum w:abstractNumId="6" w15:restartNumberingAfterBreak="0">
    <w:nsid w:val="406E1A00"/>
    <w:multiLevelType w:val="multilevel"/>
    <w:tmpl w:val="A4C4812E"/>
    <w:lvl w:ilvl="0">
      <w:start w:val="1"/>
      <w:numFmt w:val="chineseCountingThousand"/>
      <w:suff w:val="space"/>
      <w:lvlText w:val="%1、"/>
      <w:lvlJc w:val="left"/>
      <w:pPr>
        <w:ind w:left="0" w:firstLine="0"/>
      </w:pPr>
      <w:rPr>
        <w:rFonts w:ascii="Times New Roman" w:eastAsia="黑体" w:hAnsi="Times New Roman" w:hint="default"/>
        <w:b w:val="0"/>
        <w:i w:val="0"/>
        <w:sz w:val="28"/>
      </w:rPr>
    </w:lvl>
    <w:lvl w:ilvl="1">
      <w:start w:val="1"/>
      <w:numFmt w:val="decimal"/>
      <w:isLgl/>
      <w:suff w:val="space"/>
      <w:lvlText w:val="%1.%2 "/>
      <w:lvlJc w:val="left"/>
      <w:pPr>
        <w:ind w:left="0" w:firstLine="0"/>
      </w:pPr>
      <w:rPr>
        <w:rFonts w:hint="eastAsia"/>
      </w:rPr>
    </w:lvl>
    <w:lvl w:ilvl="2">
      <w:start w:val="1"/>
      <w:numFmt w:val="decimal"/>
      <w:isLgl/>
      <w:suff w:val="nothing"/>
      <w:lvlText w:val="%1.%2.%3 "/>
      <w:lvlJc w:val="left"/>
      <w:pPr>
        <w:ind w:left="0" w:firstLine="0"/>
      </w:pPr>
      <w:rPr>
        <w:rFonts w:ascii="Times New Roman" w:eastAsia="黑体" w:hAnsi="Times New Roman" w:hint="default"/>
        <w:b w:val="0"/>
        <w:i w:val="0"/>
        <w:sz w:val="24"/>
      </w:rPr>
    </w:lvl>
    <w:lvl w:ilvl="3">
      <w:start w:val="1"/>
      <w:numFmt w:val="decimal"/>
      <w:suff w:val="nothing"/>
      <w:lvlText w:val="%1.%2.%3.%4 "/>
      <w:lvlJc w:val="left"/>
      <w:pPr>
        <w:ind w:left="0" w:firstLine="0"/>
      </w:pPr>
      <w:rPr>
        <w:rFonts w:ascii="Times New Roman" w:eastAsia="宋体" w:hAnsi="Times New Roman" w:hint="default"/>
        <w:b/>
        <w:i w:val="0"/>
        <w:sz w:val="24"/>
      </w:rPr>
    </w:lvl>
    <w:lvl w:ilvl="4">
      <w:start w:val="1"/>
      <w:numFmt w:val="decimal"/>
      <w:suff w:val="nothing"/>
      <w:lvlText w:val="%1.%2.%3.%4.%5 "/>
      <w:lvlJc w:val="left"/>
      <w:pPr>
        <w:ind w:left="0" w:firstLine="0"/>
      </w:pPr>
      <w:rPr>
        <w:rFonts w:ascii="Times New Roman" w:eastAsia="宋体" w:hAnsi="Times New Roman" w:hint="default"/>
        <w:b/>
        <w:i w:val="0"/>
        <w:sz w:val="24"/>
      </w:rPr>
    </w:lvl>
    <w:lvl w:ilvl="5">
      <w:start w:val="1"/>
      <w:numFmt w:val="decimal"/>
      <w:suff w:val="nothing"/>
      <w:lvlText w:val="(%6) "/>
      <w:lvlJc w:val="left"/>
      <w:pPr>
        <w:ind w:left="0" w:firstLine="0"/>
      </w:pPr>
      <w:rPr>
        <w:rFonts w:ascii="Times New Roman" w:eastAsia="宋体" w:hAnsi="Times New Roman" w:hint="default"/>
        <w:b/>
        <w:i w:val="0"/>
        <w:sz w:val="24"/>
      </w:rPr>
    </w:lvl>
    <w:lvl w:ilvl="6">
      <w:start w:val="1"/>
      <w:numFmt w:val="decimal"/>
      <w:suff w:val="space"/>
      <w:lvlText w:val="%7)"/>
      <w:lvlJc w:val="left"/>
      <w:pPr>
        <w:ind w:left="0" w:firstLine="0"/>
      </w:pPr>
      <w:rPr>
        <w:rFonts w:ascii="Times New Roman" w:eastAsia="宋体" w:hAnsi="Times New Roman" w:hint="default"/>
        <w:b/>
        <w:i w:val="0"/>
        <w:sz w:val="24"/>
      </w:rPr>
    </w:lvl>
    <w:lvl w:ilvl="7">
      <w:start w:val="1"/>
      <w:numFmt w:val="decimal"/>
      <w:lvlRestart w:val="0"/>
      <w:suff w:val="nothing"/>
      <w:lvlText w:val="表%8 "/>
      <w:lvlJc w:val="left"/>
      <w:pPr>
        <w:ind w:left="0" w:firstLine="0"/>
      </w:pPr>
      <w:rPr>
        <w:rFonts w:ascii="Times New Roman" w:eastAsia="宋体" w:hAnsi="Times New Roman" w:hint="default"/>
        <w:b/>
        <w:i w:val="0"/>
        <w:sz w:val="22"/>
      </w:rPr>
    </w:lvl>
    <w:lvl w:ilvl="8">
      <w:start w:val="1"/>
      <w:numFmt w:val="decimal"/>
      <w:lvlRestart w:val="0"/>
      <w:suff w:val="nothing"/>
      <w:lvlText w:val="图%9 "/>
      <w:lvlJc w:val="left"/>
      <w:pPr>
        <w:ind w:left="0" w:firstLine="0"/>
      </w:pPr>
      <w:rPr>
        <w:rFonts w:ascii="Times New Roman" w:eastAsia="宋体" w:hAnsi="Times New Roman" w:hint="default"/>
        <w:b/>
        <w:i w:val="0"/>
        <w:sz w:val="22"/>
      </w:rPr>
    </w:lvl>
  </w:abstractNum>
  <w:abstractNum w:abstractNumId="7" w15:restartNumberingAfterBreak="0">
    <w:nsid w:val="96774DB5"/>
    <w:multiLevelType w:val="multilevel"/>
    <w:tmpl w:val="A4C4812E"/>
    <w:lvl w:ilvl="0">
      <w:start w:val="1"/>
      <w:numFmt w:val="chineseCountingThousand"/>
      <w:suff w:val="space"/>
      <w:lvlText w:val="%1、"/>
      <w:lvlJc w:val="left"/>
      <w:pPr>
        <w:ind w:left="0" w:firstLine="0"/>
      </w:pPr>
      <w:rPr>
        <w:rFonts w:ascii="Times New Roman" w:eastAsia="黑体" w:hAnsi="Times New Roman" w:hint="default"/>
        <w:b w:val="0"/>
        <w:i w:val="0"/>
        <w:sz w:val="28"/>
      </w:rPr>
    </w:lvl>
    <w:lvl w:ilvl="1">
      <w:start w:val="1"/>
      <w:numFmt w:val="decimal"/>
      <w:isLgl/>
      <w:suff w:val="space"/>
      <w:lvlText w:val="%1.%2 "/>
      <w:lvlJc w:val="left"/>
      <w:pPr>
        <w:ind w:left="0" w:firstLine="0"/>
      </w:pPr>
      <w:rPr>
        <w:rFonts w:hint="eastAsia"/>
      </w:rPr>
    </w:lvl>
    <w:lvl w:ilvl="2">
      <w:start w:val="1"/>
      <w:numFmt w:val="decimal"/>
      <w:isLgl/>
      <w:suff w:val="nothing"/>
      <w:lvlText w:val="%1.%2.%3 "/>
      <w:lvlJc w:val="left"/>
      <w:pPr>
        <w:ind w:left="0" w:firstLine="0"/>
      </w:pPr>
      <w:rPr>
        <w:rFonts w:ascii="Times New Roman" w:eastAsia="黑体" w:hAnsi="Times New Roman" w:hint="default"/>
        <w:b w:val="0"/>
        <w:i w:val="0"/>
        <w:sz w:val="24"/>
      </w:rPr>
    </w:lvl>
    <w:lvl w:ilvl="3">
      <w:start w:val="1"/>
      <w:numFmt w:val="decimal"/>
      <w:suff w:val="nothing"/>
      <w:lvlText w:val="%1.%2.%3.%4 "/>
      <w:lvlJc w:val="left"/>
      <w:pPr>
        <w:ind w:left="0" w:firstLine="0"/>
      </w:pPr>
      <w:rPr>
        <w:rFonts w:ascii="Times New Roman" w:eastAsia="宋体" w:hAnsi="Times New Roman" w:hint="default"/>
        <w:b/>
        <w:i w:val="0"/>
        <w:sz w:val="24"/>
      </w:rPr>
    </w:lvl>
    <w:lvl w:ilvl="4">
      <w:start w:val="1"/>
      <w:numFmt w:val="decimal"/>
      <w:suff w:val="nothing"/>
      <w:lvlText w:val="%1.%2.%3.%4.%5 "/>
      <w:lvlJc w:val="left"/>
      <w:pPr>
        <w:ind w:left="0" w:firstLine="0"/>
      </w:pPr>
      <w:rPr>
        <w:rFonts w:ascii="Times New Roman" w:eastAsia="宋体" w:hAnsi="Times New Roman" w:hint="default"/>
        <w:b/>
        <w:i w:val="0"/>
        <w:sz w:val="24"/>
      </w:rPr>
    </w:lvl>
    <w:lvl w:ilvl="5">
      <w:start w:val="1"/>
      <w:numFmt w:val="decimal"/>
      <w:suff w:val="nothing"/>
      <w:lvlText w:val="(%6) "/>
      <w:lvlJc w:val="left"/>
      <w:pPr>
        <w:ind w:left="0" w:firstLine="0"/>
      </w:pPr>
      <w:rPr>
        <w:rFonts w:ascii="Times New Roman" w:eastAsia="宋体" w:hAnsi="Times New Roman" w:hint="default"/>
        <w:b/>
        <w:i w:val="0"/>
        <w:sz w:val="24"/>
      </w:rPr>
    </w:lvl>
    <w:lvl w:ilvl="6">
      <w:start w:val="1"/>
      <w:numFmt w:val="decimal"/>
      <w:suff w:val="space"/>
      <w:lvlText w:val="%7)"/>
      <w:lvlJc w:val="left"/>
      <w:pPr>
        <w:ind w:left="0" w:firstLine="0"/>
      </w:pPr>
      <w:rPr>
        <w:rFonts w:ascii="Times New Roman" w:eastAsia="宋体" w:hAnsi="Times New Roman" w:hint="default"/>
        <w:b/>
        <w:i w:val="0"/>
        <w:sz w:val="24"/>
      </w:rPr>
    </w:lvl>
    <w:lvl w:ilvl="7">
      <w:start w:val="1"/>
      <w:numFmt w:val="decimal"/>
      <w:lvlRestart w:val="0"/>
      <w:suff w:val="nothing"/>
      <w:lvlText w:val="表%8 "/>
      <w:lvlJc w:val="left"/>
      <w:pPr>
        <w:ind w:left="0" w:firstLine="0"/>
      </w:pPr>
      <w:rPr>
        <w:rFonts w:ascii="Times New Roman" w:eastAsia="宋体" w:hAnsi="Times New Roman" w:hint="default"/>
        <w:b/>
        <w:i w:val="0"/>
        <w:sz w:val="22"/>
      </w:rPr>
    </w:lvl>
    <w:lvl w:ilvl="8">
      <w:start w:val="1"/>
      <w:numFmt w:val="decimal"/>
      <w:lvlRestart w:val="0"/>
      <w:suff w:val="nothing"/>
      <w:lvlText w:val="图%9 "/>
      <w:lvlJc w:val="left"/>
      <w:pPr>
        <w:ind w:left="0" w:firstLine="0"/>
      </w:pPr>
      <w:rPr>
        <w:rFonts w:ascii="Times New Roman" w:eastAsia="宋体" w:hAnsi="Times New Roman" w:hint="default"/>
        <w:b/>
        <w:i w:val="0"/>
        <w:sz w:val="22"/>
      </w:rPr>
    </w:lvl>
  </w:abstractNum>
  <w:num w:numId="1" w16cid:durableId="2085175948">
    <w:abstractNumId w:val="1"/>
  </w:num>
  <w:num w:numId="2" w16cid:durableId="2782597">
    <w:abstractNumId w:val="2"/>
  </w:num>
  <w:num w:numId="3" w16cid:durableId="35127662">
    <w:abstractNumId w:val="4"/>
  </w:num>
  <w:num w:numId="4" w16cid:durableId="1690378134">
    <w:abstractNumId w:val="0"/>
  </w:num>
  <w:num w:numId="5" w16cid:durableId="871000184">
    <w:abstractNumId w:val="3"/>
    <w:lvlOverride w:ilvl="0">
      <w:lvl w:ilvl="0">
        <w:start w:val="1"/>
        <w:numFmt w:val="decimal"/>
        <w:pStyle w:val="Step"/>
        <w:suff w:val="nothing"/>
        <w:lvlText w:val="Step %1 "/>
        <w:lvlJc w:val="left"/>
        <w:pPr>
          <w:ind w:left="693" w:hanging="693"/>
        </w:pPr>
        <w:rPr>
          <w:rFonts w:hint="eastAsia"/>
          <w:b/>
          <w:i w:val="0"/>
        </w:rPr>
      </w:lvl>
    </w:lvlOverride>
    <w:lvlOverride w:ilvl="1">
      <w:lvl w:ilvl="1" w:tentative="1">
        <w:start w:val="1"/>
        <w:numFmt w:val="lowerLetter"/>
        <w:lvlText w:val="%2)"/>
        <w:lvlJc w:val="left"/>
        <w:pPr>
          <w:ind w:left="840" w:hanging="420"/>
        </w:pPr>
        <w:rPr>
          <w:rFonts w:hint="eastAsia"/>
        </w:rPr>
      </w:lvl>
    </w:lvlOverride>
    <w:lvlOverride w:ilvl="2">
      <w:lvl w:ilvl="2" w:tentative="1">
        <w:start w:val="1"/>
        <w:numFmt w:val="lowerRoman"/>
        <w:lvlText w:val="%3."/>
        <w:lvlJc w:val="right"/>
        <w:pPr>
          <w:ind w:left="1260" w:hanging="420"/>
        </w:pPr>
        <w:rPr>
          <w:rFonts w:hint="eastAsia"/>
        </w:rPr>
      </w:lvl>
    </w:lvlOverride>
    <w:lvlOverride w:ilvl="3">
      <w:lvl w:ilvl="3" w:tentative="1">
        <w:start w:val="1"/>
        <w:numFmt w:val="decimal"/>
        <w:lvlText w:val="%4."/>
        <w:lvlJc w:val="left"/>
        <w:pPr>
          <w:ind w:left="1680" w:hanging="420"/>
        </w:pPr>
        <w:rPr>
          <w:rFonts w:hint="eastAsia"/>
        </w:rPr>
      </w:lvl>
    </w:lvlOverride>
    <w:lvlOverride w:ilvl="4">
      <w:lvl w:ilvl="4" w:tentative="1">
        <w:start w:val="1"/>
        <w:numFmt w:val="lowerLetter"/>
        <w:lvlText w:val="%5)"/>
        <w:lvlJc w:val="left"/>
        <w:pPr>
          <w:ind w:left="2100" w:hanging="420"/>
        </w:pPr>
        <w:rPr>
          <w:rFonts w:hint="eastAsia"/>
        </w:rPr>
      </w:lvl>
    </w:lvlOverride>
    <w:lvlOverride w:ilvl="5">
      <w:lvl w:ilvl="5" w:tentative="1">
        <w:start w:val="1"/>
        <w:numFmt w:val="lowerRoman"/>
        <w:lvlText w:val="%6."/>
        <w:lvlJc w:val="right"/>
        <w:pPr>
          <w:ind w:left="2520" w:hanging="420"/>
        </w:pPr>
        <w:rPr>
          <w:rFonts w:hint="eastAsia"/>
        </w:rPr>
      </w:lvl>
    </w:lvlOverride>
    <w:lvlOverride w:ilvl="6">
      <w:lvl w:ilvl="6" w:tentative="1">
        <w:start w:val="1"/>
        <w:numFmt w:val="decimal"/>
        <w:lvlText w:val="%7."/>
        <w:lvlJc w:val="left"/>
        <w:pPr>
          <w:ind w:left="2940" w:hanging="420"/>
        </w:pPr>
        <w:rPr>
          <w:rFonts w:hint="eastAsia"/>
        </w:rPr>
      </w:lvl>
    </w:lvlOverride>
    <w:lvlOverride w:ilvl="7">
      <w:lvl w:ilvl="7" w:tentative="1">
        <w:start w:val="1"/>
        <w:numFmt w:val="lowerLetter"/>
        <w:lvlText w:val="%8)"/>
        <w:lvlJc w:val="left"/>
        <w:pPr>
          <w:ind w:left="3360" w:hanging="420"/>
        </w:pPr>
        <w:rPr>
          <w:rFonts w:hint="eastAsia"/>
        </w:rPr>
      </w:lvl>
    </w:lvlOverride>
    <w:lvlOverride w:ilvl="8">
      <w:lvl w:ilvl="8" w:tentative="1">
        <w:start w:val="1"/>
        <w:numFmt w:val="lowerRoman"/>
        <w:lvlText w:val="%9."/>
        <w:lvlJc w:val="right"/>
        <w:pPr>
          <w:ind w:left="3780" w:hanging="420"/>
        </w:pPr>
        <w:rPr>
          <w:rFonts w:hint="eastAsia"/>
        </w:rPr>
      </w:lvl>
    </w:lvlOverride>
  </w:num>
  <w:num w:numId="6" w16cid:durableId="1844860583">
    <w:abstractNumId w:val="4"/>
    <w:lvlOverride w:ilvl="0">
      <w:startOverride w:val="1"/>
    </w:lvlOverride>
  </w:num>
  <w:num w:numId="7" w16cid:durableId="1308512653">
    <w:abstractNumId w:val="4"/>
    <w:lvlOverride w:ilvl="0">
      <w:startOverride w:val="1"/>
    </w:lvlOverride>
  </w:num>
  <w:num w:numId="8" w16cid:durableId="193967619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322658983">
    <w:abstractNumId w:val="4"/>
    <w:lvlOverride w:ilvl="0">
      <w:startOverride w:val="1"/>
    </w:lvlOverride>
  </w:num>
  <w:num w:numId="10" w16cid:durableId="121288665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77166754">
    <w:abstractNumId w:val="1"/>
    <w:lvlOverride w:ilvl="0">
      <w:lvl w:ilvl="0">
        <w:start w:val="1"/>
        <w:numFmt w:val="chineseCountingThousand"/>
        <w:pStyle w:val="1"/>
        <w:suff w:val="space"/>
        <w:lvlText w:val="%1、"/>
        <w:lvlJc w:val="left"/>
        <w:pPr>
          <w:ind w:left="0" w:firstLine="0"/>
        </w:pPr>
        <w:rPr>
          <w:rFonts w:ascii="Times New Roman" w:eastAsia="黑体" w:hAnsi="Times New Roman" w:hint="default"/>
          <w:b w:val="0"/>
          <w:i w:val="0"/>
          <w:sz w:val="28"/>
        </w:rPr>
      </w:lvl>
    </w:lvlOverride>
    <w:lvlOverride w:ilvl="1">
      <w:lvl w:ilvl="1">
        <w:start w:val="1"/>
        <w:numFmt w:val="decimal"/>
        <w:pStyle w:val="2"/>
        <w:isLgl/>
        <w:suff w:val="space"/>
        <w:lvlText w:val="%1.%2 "/>
        <w:lvlJc w:val="left"/>
        <w:pPr>
          <w:ind w:left="0" w:firstLine="0"/>
        </w:pPr>
        <w:rPr>
          <w:rFonts w:hint="eastAsia"/>
        </w:rPr>
      </w:lvl>
    </w:lvlOverride>
    <w:lvlOverride w:ilvl="2">
      <w:lvl w:ilvl="2">
        <w:start w:val="1"/>
        <w:numFmt w:val="decimal"/>
        <w:pStyle w:val="3"/>
        <w:isLgl/>
        <w:suff w:val="nothing"/>
        <w:lvlText w:val="%1.%2.%3 "/>
        <w:lvlJc w:val="left"/>
        <w:pPr>
          <w:ind w:left="0" w:firstLine="0"/>
        </w:pPr>
        <w:rPr>
          <w:rFonts w:ascii="Times New Roman" w:eastAsia="黑体" w:hAnsi="Times New Roman" w:hint="default"/>
          <w:b w:val="0"/>
          <w:i w:val="0"/>
          <w:sz w:val="24"/>
        </w:rPr>
      </w:lvl>
    </w:lvlOverride>
    <w:lvlOverride w:ilvl="3">
      <w:lvl w:ilvl="3">
        <w:start w:val="1"/>
        <w:numFmt w:val="decimal"/>
        <w:pStyle w:val="4"/>
        <w:suff w:val="nothing"/>
        <w:lvlText w:val="%1.%2.%3.%4 "/>
        <w:lvlJc w:val="left"/>
        <w:pPr>
          <w:ind w:left="0" w:firstLine="0"/>
        </w:pPr>
        <w:rPr>
          <w:rFonts w:ascii="Times New Roman" w:eastAsia="宋体" w:hAnsi="Times New Roman" w:hint="default"/>
          <w:b/>
          <w:i w:val="0"/>
          <w:sz w:val="24"/>
        </w:rPr>
      </w:lvl>
    </w:lvlOverride>
    <w:lvlOverride w:ilvl="4">
      <w:lvl w:ilvl="4">
        <w:start w:val="1"/>
        <w:numFmt w:val="decimal"/>
        <w:pStyle w:val="5"/>
        <w:suff w:val="nothing"/>
        <w:lvlText w:val="%1.%2.%3.%4.%5 "/>
        <w:lvlJc w:val="left"/>
        <w:pPr>
          <w:ind w:left="0" w:firstLine="0"/>
        </w:pPr>
        <w:rPr>
          <w:rFonts w:ascii="Times New Roman" w:eastAsia="宋体" w:hAnsi="Times New Roman" w:hint="default"/>
          <w:b/>
          <w:i w:val="0"/>
          <w:sz w:val="24"/>
        </w:rPr>
      </w:lvl>
    </w:lvlOverride>
    <w:lvlOverride w:ilvl="5">
      <w:lvl w:ilvl="5">
        <w:start w:val="1"/>
        <w:numFmt w:val="decimal"/>
        <w:pStyle w:val="6"/>
        <w:suff w:val="nothing"/>
        <w:lvlText w:val="(%6) "/>
        <w:lvlJc w:val="left"/>
        <w:pPr>
          <w:ind w:left="0" w:firstLine="0"/>
        </w:pPr>
        <w:rPr>
          <w:rFonts w:ascii="Times New Roman" w:eastAsia="宋体" w:hAnsi="Times New Roman" w:hint="default"/>
          <w:b/>
          <w:i w:val="0"/>
          <w:sz w:val="24"/>
        </w:rPr>
      </w:lvl>
    </w:lvlOverride>
    <w:lvlOverride w:ilvl="6">
      <w:lvl w:ilvl="6">
        <w:start w:val="1"/>
        <w:numFmt w:val="decimal"/>
        <w:pStyle w:val="7"/>
        <w:suff w:val="space"/>
        <w:lvlText w:val="%7)"/>
        <w:lvlJc w:val="left"/>
        <w:pPr>
          <w:ind w:left="0" w:firstLine="0"/>
        </w:pPr>
        <w:rPr>
          <w:rFonts w:ascii="Times New Roman" w:eastAsia="宋体" w:hAnsi="Times New Roman" w:hint="default"/>
          <w:b/>
          <w:i w:val="0"/>
          <w:sz w:val="24"/>
        </w:rPr>
      </w:lvl>
    </w:lvlOverride>
    <w:lvlOverride w:ilvl="7">
      <w:lvl w:ilvl="7">
        <w:start w:val="1"/>
        <w:numFmt w:val="decimal"/>
        <w:lvlRestart w:val="0"/>
        <w:pStyle w:val="a0"/>
        <w:suff w:val="nothing"/>
        <w:lvlText w:val="表%8 "/>
        <w:lvlJc w:val="left"/>
        <w:pPr>
          <w:ind w:left="0" w:firstLine="0"/>
        </w:pPr>
        <w:rPr>
          <w:rFonts w:ascii="Times New Roman" w:eastAsia="宋体" w:hAnsi="Times New Roman" w:hint="default"/>
          <w:b/>
          <w:i w:val="0"/>
          <w:sz w:val="22"/>
        </w:rPr>
      </w:lvl>
    </w:lvlOverride>
    <w:lvlOverride w:ilvl="8">
      <w:lvl w:ilvl="8">
        <w:start w:val="1"/>
        <w:numFmt w:val="decimal"/>
        <w:lvlRestart w:val="0"/>
        <w:pStyle w:val="a1"/>
        <w:suff w:val="nothing"/>
        <w:lvlText w:val="图%9 "/>
        <w:lvlJc w:val="left"/>
        <w:pPr>
          <w:ind w:left="0" w:firstLine="0"/>
        </w:pPr>
        <w:rPr>
          <w:rFonts w:ascii="Times New Roman" w:eastAsia="宋体" w:hAnsi="Times New Roman" w:hint="default"/>
          <w:b/>
          <w:i w:val="0"/>
          <w:sz w:val="22"/>
        </w:rPr>
      </w:lvl>
    </w:lvlOverride>
  </w:num>
  <w:num w:numId="12">
    <w:abstractNumId w:val="5"/>
    <w:lvlOverride w:ilvl="0">
      <w:startOverride w:val="1"/>
    </w:lvlOverride>
    <w:lvlOverride w:ilvl="1">
      <w:startOverride w:val="1"/>
    </w:lvlOverride>
  </w:num>
  <w:num w:numId="13">
    <w:abstractNumId w:val="4"/>
    <w:lvlOverride w:ilvl="0">
      <w:startOverride w:val="1"/>
    </w:lvlOverride>
  </w:num>
  <w:num w:numId="14">
    <w:abstractNumId w:val="6"/>
    <w:lvlOverride w:ilvl="7">
      <w:startOverride w:val="1"/>
    </w:lvlOverride>
  </w:num>
  <w:num w:numId="15">
    <w:abstractNumId w:val="7"/>
    <w:lvlOverride w:ilvl="8">
      <w:startOverride w:val="1"/>
    </w:lvlOverride>
  </w:num>
  <w:num w:numId="16">
    <w:abstractNumId w:val="0"/>
    <w:lvlOverride w:ilvl="0">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60"/>
  <w:embedSystemFonts/>
  <w:hideSpellingErrors/>
  <w:proofState w:grammar="clean" w:spelling="clean"/>
  <w:stylePaneFormatFilter w:val="0004"/>
  <w:doNotTrackMoves/>
  <w:styleLockTheme/>
  <w:styleLockQFSet/>
  <w:autoHyphenation/>
  <w:drawingGridHorizontalSpacing w:val="120"/>
  <w:drawingGridVerticalSpacing w:val="163"/>
  <w:displayHorizontalDrawingGridEvery w:val="0"/>
  <w:displayVerticalDrawingGridEvery w:val="2"/>
  <w:savePreviewPicture/>
  <w:hdrShapeDefaults>
    <o:shapedefaults fillcolor="white" spidmax="2050" v:ext="edit">
      <v:fill color="white"/>
    </o:shapedefaults>
  </w:hdrShapeDefaults>
  <w:rsids>
    <w:rsidRoot w:val="0022434A"/>
    <w:rsid w:val="00000224"/>
    <w:rsid w:val="000005F3"/>
    <w:rsid w:val="00002FA8"/>
    <w:rsid w:val="00003504"/>
    <w:rsid w:val="00006999"/>
    <w:rsid w:val="000071CE"/>
    <w:rsid w:val="0000729B"/>
    <w:rsid w:val="00007755"/>
    <w:rsid w:val="00015476"/>
    <w:rsid w:val="00015721"/>
    <w:rsid w:val="000162F9"/>
    <w:rsid w:val="00016A29"/>
    <w:rsid w:val="000204FB"/>
    <w:rsid w:val="00020C03"/>
    <w:rsid w:val="0002111C"/>
    <w:rsid w:val="000214D8"/>
    <w:rsid w:val="000218CD"/>
    <w:rsid w:val="00022870"/>
    <w:rsid w:val="0002388B"/>
    <w:rsid w:val="00023E42"/>
    <w:rsid w:val="0002426B"/>
    <w:rsid w:val="00025C52"/>
    <w:rsid w:val="000278E4"/>
    <w:rsid w:val="00032CB6"/>
    <w:rsid w:val="00032D99"/>
    <w:rsid w:val="00033777"/>
    <w:rsid w:val="00034782"/>
    <w:rsid w:val="0003588E"/>
    <w:rsid w:val="00035A48"/>
    <w:rsid w:val="00036BED"/>
    <w:rsid w:val="0003710D"/>
    <w:rsid w:val="000373E5"/>
    <w:rsid w:val="00037A92"/>
    <w:rsid w:val="00041398"/>
    <w:rsid w:val="0004344C"/>
    <w:rsid w:val="00044A32"/>
    <w:rsid w:val="000454B1"/>
    <w:rsid w:val="000469FE"/>
    <w:rsid w:val="00050C68"/>
    <w:rsid w:val="00050FA0"/>
    <w:rsid w:val="000538A5"/>
    <w:rsid w:val="00055A69"/>
    <w:rsid w:val="000563FD"/>
    <w:rsid w:val="000564EE"/>
    <w:rsid w:val="00056DC8"/>
    <w:rsid w:val="000600BD"/>
    <w:rsid w:val="00060913"/>
    <w:rsid w:val="0006222F"/>
    <w:rsid w:val="00063A7B"/>
    <w:rsid w:val="00064831"/>
    <w:rsid w:val="00064E16"/>
    <w:rsid w:val="0006501C"/>
    <w:rsid w:val="00065DC7"/>
    <w:rsid w:val="00065E18"/>
    <w:rsid w:val="00065EEA"/>
    <w:rsid w:val="00070BCD"/>
    <w:rsid w:val="000726B2"/>
    <w:rsid w:val="00072953"/>
    <w:rsid w:val="00072BCE"/>
    <w:rsid w:val="0007498B"/>
    <w:rsid w:val="0007498F"/>
    <w:rsid w:val="0007565F"/>
    <w:rsid w:val="0007616E"/>
    <w:rsid w:val="00076BF9"/>
    <w:rsid w:val="00076E44"/>
    <w:rsid w:val="000773A8"/>
    <w:rsid w:val="0007752E"/>
    <w:rsid w:val="00081403"/>
    <w:rsid w:val="000823FE"/>
    <w:rsid w:val="00082A3E"/>
    <w:rsid w:val="00083EBC"/>
    <w:rsid w:val="00085E16"/>
    <w:rsid w:val="000864FC"/>
    <w:rsid w:val="0008762F"/>
    <w:rsid w:val="00090462"/>
    <w:rsid w:val="00090AFA"/>
    <w:rsid w:val="0009128E"/>
    <w:rsid w:val="000942E9"/>
    <w:rsid w:val="000945A6"/>
    <w:rsid w:val="00095C7A"/>
    <w:rsid w:val="000A0004"/>
    <w:rsid w:val="000A183D"/>
    <w:rsid w:val="000A6B4B"/>
    <w:rsid w:val="000B0F02"/>
    <w:rsid w:val="000B3E50"/>
    <w:rsid w:val="000B44DE"/>
    <w:rsid w:val="000B65AD"/>
    <w:rsid w:val="000C38BB"/>
    <w:rsid w:val="000C4CA0"/>
    <w:rsid w:val="000C5D65"/>
    <w:rsid w:val="000C5F1A"/>
    <w:rsid w:val="000C7DAD"/>
    <w:rsid w:val="000D1175"/>
    <w:rsid w:val="000D17DD"/>
    <w:rsid w:val="000D2464"/>
    <w:rsid w:val="000D27ED"/>
    <w:rsid w:val="000D38FF"/>
    <w:rsid w:val="000D7F0A"/>
    <w:rsid w:val="000E2121"/>
    <w:rsid w:val="000E2A60"/>
    <w:rsid w:val="000E4296"/>
    <w:rsid w:val="000E5343"/>
    <w:rsid w:val="000E6536"/>
    <w:rsid w:val="000E66A7"/>
    <w:rsid w:val="000F0018"/>
    <w:rsid w:val="000F51A9"/>
    <w:rsid w:val="000F7754"/>
    <w:rsid w:val="001004C2"/>
    <w:rsid w:val="00101084"/>
    <w:rsid w:val="00105675"/>
    <w:rsid w:val="001069BA"/>
    <w:rsid w:val="00107B50"/>
    <w:rsid w:val="00110607"/>
    <w:rsid w:val="00111E86"/>
    <w:rsid w:val="001131F7"/>
    <w:rsid w:val="00113D9B"/>
    <w:rsid w:val="00116650"/>
    <w:rsid w:val="00116B51"/>
    <w:rsid w:val="001202C8"/>
    <w:rsid w:val="00120927"/>
    <w:rsid w:val="00121D52"/>
    <w:rsid w:val="00123882"/>
    <w:rsid w:val="00124085"/>
    <w:rsid w:val="00124261"/>
    <w:rsid w:val="00124948"/>
    <w:rsid w:val="00125839"/>
    <w:rsid w:val="00126CD4"/>
    <w:rsid w:val="001349AF"/>
    <w:rsid w:val="00135112"/>
    <w:rsid w:val="001366CE"/>
    <w:rsid w:val="0013693A"/>
    <w:rsid w:val="00136E0E"/>
    <w:rsid w:val="00140383"/>
    <w:rsid w:val="0014338C"/>
    <w:rsid w:val="00144764"/>
    <w:rsid w:val="00144822"/>
    <w:rsid w:val="00144C2D"/>
    <w:rsid w:val="00146127"/>
    <w:rsid w:val="00146F24"/>
    <w:rsid w:val="001478AA"/>
    <w:rsid w:val="00151232"/>
    <w:rsid w:val="00152C2C"/>
    <w:rsid w:val="00152CC7"/>
    <w:rsid w:val="00155BCF"/>
    <w:rsid w:val="001609AC"/>
    <w:rsid w:val="00160B3B"/>
    <w:rsid w:val="00160C66"/>
    <w:rsid w:val="00161603"/>
    <w:rsid w:val="0016200A"/>
    <w:rsid w:val="001622F7"/>
    <w:rsid w:val="00162ADD"/>
    <w:rsid w:val="00163350"/>
    <w:rsid w:val="00163B9E"/>
    <w:rsid w:val="00165E02"/>
    <w:rsid w:val="00170FCB"/>
    <w:rsid w:val="00173BBE"/>
    <w:rsid w:val="001747E3"/>
    <w:rsid w:val="001755C4"/>
    <w:rsid w:val="00177316"/>
    <w:rsid w:val="001773BF"/>
    <w:rsid w:val="00177491"/>
    <w:rsid w:val="001776FB"/>
    <w:rsid w:val="00182059"/>
    <w:rsid w:val="00183990"/>
    <w:rsid w:val="00184B6E"/>
    <w:rsid w:val="00186D2F"/>
    <w:rsid w:val="0018731C"/>
    <w:rsid w:val="001900FB"/>
    <w:rsid w:val="001911BF"/>
    <w:rsid w:val="00191B8A"/>
    <w:rsid w:val="00192BDC"/>
    <w:rsid w:val="001944B9"/>
    <w:rsid w:val="001A0456"/>
    <w:rsid w:val="001A0C17"/>
    <w:rsid w:val="001A21BE"/>
    <w:rsid w:val="001A2367"/>
    <w:rsid w:val="001A2B8C"/>
    <w:rsid w:val="001A2BB7"/>
    <w:rsid w:val="001A34A2"/>
    <w:rsid w:val="001A36E3"/>
    <w:rsid w:val="001A37A1"/>
    <w:rsid w:val="001A4C24"/>
    <w:rsid w:val="001A5E62"/>
    <w:rsid w:val="001B053B"/>
    <w:rsid w:val="001B3ED9"/>
    <w:rsid w:val="001B5049"/>
    <w:rsid w:val="001B6AE8"/>
    <w:rsid w:val="001B7391"/>
    <w:rsid w:val="001C065E"/>
    <w:rsid w:val="001C117E"/>
    <w:rsid w:val="001C2ED9"/>
    <w:rsid w:val="001C536B"/>
    <w:rsid w:val="001C5857"/>
    <w:rsid w:val="001D1004"/>
    <w:rsid w:val="001D16BA"/>
    <w:rsid w:val="001D1DF2"/>
    <w:rsid w:val="001D20E8"/>
    <w:rsid w:val="001D2FE6"/>
    <w:rsid w:val="001D321A"/>
    <w:rsid w:val="001D3BD9"/>
    <w:rsid w:val="001D3EA5"/>
    <w:rsid w:val="001D430C"/>
    <w:rsid w:val="001D5DBE"/>
    <w:rsid w:val="001D793B"/>
    <w:rsid w:val="001D7E51"/>
    <w:rsid w:val="001E03F1"/>
    <w:rsid w:val="001E24C1"/>
    <w:rsid w:val="001E2AA3"/>
    <w:rsid w:val="001E3F52"/>
    <w:rsid w:val="001E5102"/>
    <w:rsid w:val="001E63E2"/>
    <w:rsid w:val="001F046D"/>
    <w:rsid w:val="001F06F4"/>
    <w:rsid w:val="001F1ECB"/>
    <w:rsid w:val="001F21E8"/>
    <w:rsid w:val="001F27AE"/>
    <w:rsid w:val="001F2C76"/>
    <w:rsid w:val="001F3660"/>
    <w:rsid w:val="001F3EDE"/>
    <w:rsid w:val="0020056F"/>
    <w:rsid w:val="00200A8A"/>
    <w:rsid w:val="0020129E"/>
    <w:rsid w:val="00211FB1"/>
    <w:rsid w:val="00212875"/>
    <w:rsid w:val="00213F9F"/>
    <w:rsid w:val="00214F0B"/>
    <w:rsid w:val="0021568F"/>
    <w:rsid w:val="002158E9"/>
    <w:rsid w:val="00215E13"/>
    <w:rsid w:val="0021703F"/>
    <w:rsid w:val="00217D77"/>
    <w:rsid w:val="002202DF"/>
    <w:rsid w:val="00220D0E"/>
    <w:rsid w:val="002212CE"/>
    <w:rsid w:val="002217FD"/>
    <w:rsid w:val="002223AE"/>
    <w:rsid w:val="002231C8"/>
    <w:rsid w:val="002232DF"/>
    <w:rsid w:val="0022434A"/>
    <w:rsid w:val="00224B39"/>
    <w:rsid w:val="00224C2E"/>
    <w:rsid w:val="00224E44"/>
    <w:rsid w:val="002253FB"/>
    <w:rsid w:val="00225786"/>
    <w:rsid w:val="00225D7C"/>
    <w:rsid w:val="002272D8"/>
    <w:rsid w:val="00227BCF"/>
    <w:rsid w:val="0023001C"/>
    <w:rsid w:val="002324D0"/>
    <w:rsid w:val="002363D1"/>
    <w:rsid w:val="00237C9C"/>
    <w:rsid w:val="00237DC7"/>
    <w:rsid w:val="00241E0E"/>
    <w:rsid w:val="00244B8C"/>
    <w:rsid w:val="00247834"/>
    <w:rsid w:val="00247E11"/>
    <w:rsid w:val="00250AC0"/>
    <w:rsid w:val="002516F7"/>
    <w:rsid w:val="00254078"/>
    <w:rsid w:val="00254225"/>
    <w:rsid w:val="00255B9D"/>
    <w:rsid w:val="002564F8"/>
    <w:rsid w:val="002605E6"/>
    <w:rsid w:val="0026179C"/>
    <w:rsid w:val="0026287E"/>
    <w:rsid w:val="00262AD7"/>
    <w:rsid w:val="00263E0B"/>
    <w:rsid w:val="00264940"/>
    <w:rsid w:val="002656C4"/>
    <w:rsid w:val="00266FF5"/>
    <w:rsid w:val="00267D4D"/>
    <w:rsid w:val="00273321"/>
    <w:rsid w:val="00275183"/>
    <w:rsid w:val="00275CF6"/>
    <w:rsid w:val="00280254"/>
    <w:rsid w:val="0028050C"/>
    <w:rsid w:val="00281C40"/>
    <w:rsid w:val="00282188"/>
    <w:rsid w:val="00282FED"/>
    <w:rsid w:val="0028535F"/>
    <w:rsid w:val="00293C6C"/>
    <w:rsid w:val="00293F8A"/>
    <w:rsid w:val="002952D9"/>
    <w:rsid w:val="0029568F"/>
    <w:rsid w:val="00297A8C"/>
    <w:rsid w:val="002A3381"/>
    <w:rsid w:val="002A4536"/>
    <w:rsid w:val="002A4ABA"/>
    <w:rsid w:val="002A5980"/>
    <w:rsid w:val="002A5AB2"/>
    <w:rsid w:val="002A6071"/>
    <w:rsid w:val="002B0380"/>
    <w:rsid w:val="002B1400"/>
    <w:rsid w:val="002B27C9"/>
    <w:rsid w:val="002B3260"/>
    <w:rsid w:val="002B4700"/>
    <w:rsid w:val="002B6AE4"/>
    <w:rsid w:val="002B724F"/>
    <w:rsid w:val="002C11EA"/>
    <w:rsid w:val="002C166E"/>
    <w:rsid w:val="002C2DF0"/>
    <w:rsid w:val="002C4109"/>
    <w:rsid w:val="002C413A"/>
    <w:rsid w:val="002C491F"/>
    <w:rsid w:val="002C53EA"/>
    <w:rsid w:val="002D2EEF"/>
    <w:rsid w:val="002D7882"/>
    <w:rsid w:val="002D7CC5"/>
    <w:rsid w:val="002E1DF0"/>
    <w:rsid w:val="002E24CC"/>
    <w:rsid w:val="002E340F"/>
    <w:rsid w:val="002E7A16"/>
    <w:rsid w:val="002E7D7F"/>
    <w:rsid w:val="002F17A5"/>
    <w:rsid w:val="002F35BD"/>
    <w:rsid w:val="002F3822"/>
    <w:rsid w:val="002F62F2"/>
    <w:rsid w:val="002F700C"/>
    <w:rsid w:val="003010A6"/>
    <w:rsid w:val="003029DC"/>
    <w:rsid w:val="00303357"/>
    <w:rsid w:val="00303518"/>
    <w:rsid w:val="0030636F"/>
    <w:rsid w:val="00307852"/>
    <w:rsid w:val="0031136C"/>
    <w:rsid w:val="00312245"/>
    <w:rsid w:val="003124EA"/>
    <w:rsid w:val="0031267F"/>
    <w:rsid w:val="0031352D"/>
    <w:rsid w:val="00315265"/>
    <w:rsid w:val="00320598"/>
    <w:rsid w:val="0032108F"/>
    <w:rsid w:val="00321F55"/>
    <w:rsid w:val="00321FAA"/>
    <w:rsid w:val="003225A3"/>
    <w:rsid w:val="00325D29"/>
    <w:rsid w:val="00326E5A"/>
    <w:rsid w:val="0032783C"/>
    <w:rsid w:val="003301BF"/>
    <w:rsid w:val="00332AA9"/>
    <w:rsid w:val="003356CE"/>
    <w:rsid w:val="00335E47"/>
    <w:rsid w:val="00335F1C"/>
    <w:rsid w:val="003374AF"/>
    <w:rsid w:val="003378C2"/>
    <w:rsid w:val="003400F1"/>
    <w:rsid w:val="003410DC"/>
    <w:rsid w:val="003413A6"/>
    <w:rsid w:val="003416AB"/>
    <w:rsid w:val="00342207"/>
    <w:rsid w:val="00342AB4"/>
    <w:rsid w:val="00344E01"/>
    <w:rsid w:val="00344FE9"/>
    <w:rsid w:val="00346806"/>
    <w:rsid w:val="003506D0"/>
    <w:rsid w:val="003507E0"/>
    <w:rsid w:val="00351608"/>
    <w:rsid w:val="003529A7"/>
    <w:rsid w:val="00354F13"/>
    <w:rsid w:val="0035601A"/>
    <w:rsid w:val="003579FD"/>
    <w:rsid w:val="00360326"/>
    <w:rsid w:val="00360F6E"/>
    <w:rsid w:val="003642F7"/>
    <w:rsid w:val="00366447"/>
    <w:rsid w:val="00371405"/>
    <w:rsid w:val="00371A91"/>
    <w:rsid w:val="00371BFC"/>
    <w:rsid w:val="003745C4"/>
    <w:rsid w:val="00375809"/>
    <w:rsid w:val="003759B0"/>
    <w:rsid w:val="00381D73"/>
    <w:rsid w:val="00382003"/>
    <w:rsid w:val="003821F2"/>
    <w:rsid w:val="0038589B"/>
    <w:rsid w:val="00387060"/>
    <w:rsid w:val="00387286"/>
    <w:rsid w:val="00390DBF"/>
    <w:rsid w:val="0039214D"/>
    <w:rsid w:val="00393C51"/>
    <w:rsid w:val="00394939"/>
    <w:rsid w:val="00394F00"/>
    <w:rsid w:val="00396A23"/>
    <w:rsid w:val="00397A79"/>
    <w:rsid w:val="00397C8B"/>
    <w:rsid w:val="003A0247"/>
    <w:rsid w:val="003A0D09"/>
    <w:rsid w:val="003A1AB9"/>
    <w:rsid w:val="003A1DA2"/>
    <w:rsid w:val="003A37B4"/>
    <w:rsid w:val="003A7120"/>
    <w:rsid w:val="003A76E4"/>
    <w:rsid w:val="003B0008"/>
    <w:rsid w:val="003B05A4"/>
    <w:rsid w:val="003B0A73"/>
    <w:rsid w:val="003B0DA6"/>
    <w:rsid w:val="003B171C"/>
    <w:rsid w:val="003B23C0"/>
    <w:rsid w:val="003B2D85"/>
    <w:rsid w:val="003B450F"/>
    <w:rsid w:val="003B56C8"/>
    <w:rsid w:val="003B60E5"/>
    <w:rsid w:val="003B65AE"/>
    <w:rsid w:val="003B752E"/>
    <w:rsid w:val="003B7A7A"/>
    <w:rsid w:val="003C015C"/>
    <w:rsid w:val="003C1C58"/>
    <w:rsid w:val="003C2A22"/>
    <w:rsid w:val="003D0341"/>
    <w:rsid w:val="003D06C8"/>
    <w:rsid w:val="003D06D7"/>
    <w:rsid w:val="003D1D68"/>
    <w:rsid w:val="003D20A3"/>
    <w:rsid w:val="003D28B1"/>
    <w:rsid w:val="003D3602"/>
    <w:rsid w:val="003D6251"/>
    <w:rsid w:val="003D7532"/>
    <w:rsid w:val="003D784F"/>
    <w:rsid w:val="003E0481"/>
    <w:rsid w:val="003E3C11"/>
    <w:rsid w:val="003E43D3"/>
    <w:rsid w:val="003E4FB7"/>
    <w:rsid w:val="003F14BC"/>
    <w:rsid w:val="003F16F8"/>
    <w:rsid w:val="003F29A7"/>
    <w:rsid w:val="003F39A2"/>
    <w:rsid w:val="003F4848"/>
    <w:rsid w:val="003F4DD0"/>
    <w:rsid w:val="003F4E4F"/>
    <w:rsid w:val="003F577A"/>
    <w:rsid w:val="003F62DC"/>
    <w:rsid w:val="003F7DAF"/>
    <w:rsid w:val="00402D1F"/>
    <w:rsid w:val="00403DB0"/>
    <w:rsid w:val="00404DEF"/>
    <w:rsid w:val="0040521C"/>
    <w:rsid w:val="00405C5A"/>
    <w:rsid w:val="0040793F"/>
    <w:rsid w:val="004106BB"/>
    <w:rsid w:val="004106D6"/>
    <w:rsid w:val="0041086D"/>
    <w:rsid w:val="00413F5F"/>
    <w:rsid w:val="00415577"/>
    <w:rsid w:val="004156B3"/>
    <w:rsid w:val="004157FD"/>
    <w:rsid w:val="00415B7A"/>
    <w:rsid w:val="00417F72"/>
    <w:rsid w:val="00421001"/>
    <w:rsid w:val="0042196B"/>
    <w:rsid w:val="00421D92"/>
    <w:rsid w:val="004222B7"/>
    <w:rsid w:val="00422BAC"/>
    <w:rsid w:val="004237BD"/>
    <w:rsid w:val="00423B06"/>
    <w:rsid w:val="00424B32"/>
    <w:rsid w:val="00424DA3"/>
    <w:rsid w:val="00426285"/>
    <w:rsid w:val="00426C95"/>
    <w:rsid w:val="00430283"/>
    <w:rsid w:val="004308BA"/>
    <w:rsid w:val="004312B3"/>
    <w:rsid w:val="00431F34"/>
    <w:rsid w:val="00434C17"/>
    <w:rsid w:val="004409A2"/>
    <w:rsid w:val="0044159B"/>
    <w:rsid w:val="00443616"/>
    <w:rsid w:val="0044402C"/>
    <w:rsid w:val="004446A1"/>
    <w:rsid w:val="00444CF7"/>
    <w:rsid w:val="00445A33"/>
    <w:rsid w:val="00447322"/>
    <w:rsid w:val="00447BA4"/>
    <w:rsid w:val="004523E6"/>
    <w:rsid w:val="00454A39"/>
    <w:rsid w:val="00456ADB"/>
    <w:rsid w:val="0046149D"/>
    <w:rsid w:val="004619E7"/>
    <w:rsid w:val="00462989"/>
    <w:rsid w:val="00463745"/>
    <w:rsid w:val="00463EE6"/>
    <w:rsid w:val="004668D5"/>
    <w:rsid w:val="0046691F"/>
    <w:rsid w:val="00466D6E"/>
    <w:rsid w:val="00467298"/>
    <w:rsid w:val="00470F6B"/>
    <w:rsid w:val="00472B5C"/>
    <w:rsid w:val="00473862"/>
    <w:rsid w:val="00476D88"/>
    <w:rsid w:val="00477780"/>
    <w:rsid w:val="0048047C"/>
    <w:rsid w:val="004826AF"/>
    <w:rsid w:val="0048320F"/>
    <w:rsid w:val="0048661F"/>
    <w:rsid w:val="00486766"/>
    <w:rsid w:val="004910D0"/>
    <w:rsid w:val="0049344E"/>
    <w:rsid w:val="00497C7B"/>
    <w:rsid w:val="004A0762"/>
    <w:rsid w:val="004A2FC3"/>
    <w:rsid w:val="004A42C9"/>
    <w:rsid w:val="004A42E4"/>
    <w:rsid w:val="004A51C0"/>
    <w:rsid w:val="004A54D1"/>
    <w:rsid w:val="004A5EFA"/>
    <w:rsid w:val="004A608C"/>
    <w:rsid w:val="004A6536"/>
    <w:rsid w:val="004B020A"/>
    <w:rsid w:val="004B0BC3"/>
    <w:rsid w:val="004B22ED"/>
    <w:rsid w:val="004B33CF"/>
    <w:rsid w:val="004B4126"/>
    <w:rsid w:val="004B61D6"/>
    <w:rsid w:val="004B6595"/>
    <w:rsid w:val="004B6B11"/>
    <w:rsid w:val="004C040F"/>
    <w:rsid w:val="004C0F71"/>
    <w:rsid w:val="004C1E8C"/>
    <w:rsid w:val="004C4780"/>
    <w:rsid w:val="004C6327"/>
    <w:rsid w:val="004C6762"/>
    <w:rsid w:val="004C6812"/>
    <w:rsid w:val="004C7DA5"/>
    <w:rsid w:val="004D0D12"/>
    <w:rsid w:val="004D1DDE"/>
    <w:rsid w:val="004D1E14"/>
    <w:rsid w:val="004D2727"/>
    <w:rsid w:val="004D5CCD"/>
    <w:rsid w:val="004D5D0C"/>
    <w:rsid w:val="004E0059"/>
    <w:rsid w:val="004E0BF3"/>
    <w:rsid w:val="004E0D2F"/>
    <w:rsid w:val="004E1E2C"/>
    <w:rsid w:val="004E292D"/>
    <w:rsid w:val="004E4299"/>
    <w:rsid w:val="004F005C"/>
    <w:rsid w:val="004F41D8"/>
    <w:rsid w:val="004F4496"/>
    <w:rsid w:val="004F577A"/>
    <w:rsid w:val="004F5BF0"/>
    <w:rsid w:val="004F6534"/>
    <w:rsid w:val="004F6F8F"/>
    <w:rsid w:val="00500596"/>
    <w:rsid w:val="00501FD1"/>
    <w:rsid w:val="005022F1"/>
    <w:rsid w:val="00503356"/>
    <w:rsid w:val="00503917"/>
    <w:rsid w:val="00503A22"/>
    <w:rsid w:val="00503DD2"/>
    <w:rsid w:val="00506BCA"/>
    <w:rsid w:val="00507034"/>
    <w:rsid w:val="005074FD"/>
    <w:rsid w:val="00510B53"/>
    <w:rsid w:val="00511288"/>
    <w:rsid w:val="00513B06"/>
    <w:rsid w:val="00513BAA"/>
    <w:rsid w:val="005140DC"/>
    <w:rsid w:val="00515298"/>
    <w:rsid w:val="00515BF0"/>
    <w:rsid w:val="00516B90"/>
    <w:rsid w:val="00517BAC"/>
    <w:rsid w:val="00520EB9"/>
    <w:rsid w:val="00521720"/>
    <w:rsid w:val="005221F2"/>
    <w:rsid w:val="00523350"/>
    <w:rsid w:val="00526BA3"/>
    <w:rsid w:val="00534D3A"/>
    <w:rsid w:val="00536E14"/>
    <w:rsid w:val="00537E50"/>
    <w:rsid w:val="005432A7"/>
    <w:rsid w:val="005436D4"/>
    <w:rsid w:val="0054435C"/>
    <w:rsid w:val="0054488E"/>
    <w:rsid w:val="005508E5"/>
    <w:rsid w:val="0055331B"/>
    <w:rsid w:val="0055417A"/>
    <w:rsid w:val="005557E4"/>
    <w:rsid w:val="00555984"/>
    <w:rsid w:val="00556163"/>
    <w:rsid w:val="00556B55"/>
    <w:rsid w:val="00560A9A"/>
    <w:rsid w:val="0056188E"/>
    <w:rsid w:val="00563FCD"/>
    <w:rsid w:val="00566CC1"/>
    <w:rsid w:val="00566D02"/>
    <w:rsid w:val="0056747D"/>
    <w:rsid w:val="0056766E"/>
    <w:rsid w:val="00580D37"/>
    <w:rsid w:val="00582400"/>
    <w:rsid w:val="00584D82"/>
    <w:rsid w:val="00586F3E"/>
    <w:rsid w:val="0058772D"/>
    <w:rsid w:val="005911B9"/>
    <w:rsid w:val="00595AE5"/>
    <w:rsid w:val="00597421"/>
    <w:rsid w:val="005A34A3"/>
    <w:rsid w:val="005A3649"/>
    <w:rsid w:val="005A4318"/>
    <w:rsid w:val="005A5351"/>
    <w:rsid w:val="005B127A"/>
    <w:rsid w:val="005B1A0A"/>
    <w:rsid w:val="005B1E00"/>
    <w:rsid w:val="005B24CE"/>
    <w:rsid w:val="005B5915"/>
    <w:rsid w:val="005B5A29"/>
    <w:rsid w:val="005B7EBC"/>
    <w:rsid w:val="005C0141"/>
    <w:rsid w:val="005C01AA"/>
    <w:rsid w:val="005C1DB5"/>
    <w:rsid w:val="005C217F"/>
    <w:rsid w:val="005C49CA"/>
    <w:rsid w:val="005C59DB"/>
    <w:rsid w:val="005C737E"/>
    <w:rsid w:val="005D0B59"/>
    <w:rsid w:val="005D0B85"/>
    <w:rsid w:val="005D1C47"/>
    <w:rsid w:val="005D24DA"/>
    <w:rsid w:val="005D2A8A"/>
    <w:rsid w:val="005D5D6A"/>
    <w:rsid w:val="005D6C7E"/>
    <w:rsid w:val="005D78EA"/>
    <w:rsid w:val="005E0E84"/>
    <w:rsid w:val="005E22A3"/>
    <w:rsid w:val="005E2CD7"/>
    <w:rsid w:val="005E527F"/>
    <w:rsid w:val="005E6D38"/>
    <w:rsid w:val="005F1F3E"/>
    <w:rsid w:val="005F5C9F"/>
    <w:rsid w:val="005F6577"/>
    <w:rsid w:val="005F68E4"/>
    <w:rsid w:val="005F6A0F"/>
    <w:rsid w:val="005F7E37"/>
    <w:rsid w:val="006011DA"/>
    <w:rsid w:val="00601F76"/>
    <w:rsid w:val="00602633"/>
    <w:rsid w:val="00603912"/>
    <w:rsid w:val="00603ECE"/>
    <w:rsid w:val="00604798"/>
    <w:rsid w:val="00604A47"/>
    <w:rsid w:val="0060510A"/>
    <w:rsid w:val="006059B2"/>
    <w:rsid w:val="0060640F"/>
    <w:rsid w:val="0060773B"/>
    <w:rsid w:val="00610C4C"/>
    <w:rsid w:val="00610D65"/>
    <w:rsid w:val="00612052"/>
    <w:rsid w:val="006140B7"/>
    <w:rsid w:val="006140CA"/>
    <w:rsid w:val="006145FC"/>
    <w:rsid w:val="006146BC"/>
    <w:rsid w:val="00615EB6"/>
    <w:rsid w:val="00617490"/>
    <w:rsid w:val="006206FD"/>
    <w:rsid w:val="00622E67"/>
    <w:rsid w:val="00625162"/>
    <w:rsid w:val="00626F24"/>
    <w:rsid w:val="0062766E"/>
    <w:rsid w:val="006346BF"/>
    <w:rsid w:val="00637074"/>
    <w:rsid w:val="00637A98"/>
    <w:rsid w:val="00640405"/>
    <w:rsid w:val="006425F9"/>
    <w:rsid w:val="00643994"/>
    <w:rsid w:val="00643F19"/>
    <w:rsid w:val="0064480E"/>
    <w:rsid w:val="00645BF0"/>
    <w:rsid w:val="00645D0A"/>
    <w:rsid w:val="0064608E"/>
    <w:rsid w:val="00646F51"/>
    <w:rsid w:val="0065324B"/>
    <w:rsid w:val="00653559"/>
    <w:rsid w:val="006539F9"/>
    <w:rsid w:val="006548C6"/>
    <w:rsid w:val="006560E1"/>
    <w:rsid w:val="0065716E"/>
    <w:rsid w:val="006571FB"/>
    <w:rsid w:val="00657D5E"/>
    <w:rsid w:val="00660752"/>
    <w:rsid w:val="00661333"/>
    <w:rsid w:val="006644BE"/>
    <w:rsid w:val="00666183"/>
    <w:rsid w:val="00667C1F"/>
    <w:rsid w:val="00673082"/>
    <w:rsid w:val="00673452"/>
    <w:rsid w:val="00674497"/>
    <w:rsid w:val="00674E5A"/>
    <w:rsid w:val="00674F98"/>
    <w:rsid w:val="00675804"/>
    <w:rsid w:val="0067733A"/>
    <w:rsid w:val="0068267C"/>
    <w:rsid w:val="0068351C"/>
    <w:rsid w:val="0068436B"/>
    <w:rsid w:val="00692C0E"/>
    <w:rsid w:val="006939B9"/>
    <w:rsid w:val="006A1B57"/>
    <w:rsid w:val="006A330E"/>
    <w:rsid w:val="006A49BD"/>
    <w:rsid w:val="006A61DC"/>
    <w:rsid w:val="006A622E"/>
    <w:rsid w:val="006A7504"/>
    <w:rsid w:val="006B057D"/>
    <w:rsid w:val="006B1434"/>
    <w:rsid w:val="006B2262"/>
    <w:rsid w:val="006B2FA4"/>
    <w:rsid w:val="006B47CA"/>
    <w:rsid w:val="006B6B26"/>
    <w:rsid w:val="006B6E66"/>
    <w:rsid w:val="006B77C6"/>
    <w:rsid w:val="006B7F94"/>
    <w:rsid w:val="006C0AF2"/>
    <w:rsid w:val="006C1716"/>
    <w:rsid w:val="006C5578"/>
    <w:rsid w:val="006C68C2"/>
    <w:rsid w:val="006C6CCC"/>
    <w:rsid w:val="006C711C"/>
    <w:rsid w:val="006C7A2A"/>
    <w:rsid w:val="006D1505"/>
    <w:rsid w:val="006D181D"/>
    <w:rsid w:val="006D19A7"/>
    <w:rsid w:val="006D20A5"/>
    <w:rsid w:val="006D240F"/>
    <w:rsid w:val="006D29F0"/>
    <w:rsid w:val="006D7126"/>
    <w:rsid w:val="006E08EA"/>
    <w:rsid w:val="006E0FCB"/>
    <w:rsid w:val="006E3755"/>
    <w:rsid w:val="006E3835"/>
    <w:rsid w:val="006E5848"/>
    <w:rsid w:val="006E5B51"/>
    <w:rsid w:val="006E70A0"/>
    <w:rsid w:val="006F04FC"/>
    <w:rsid w:val="006F1065"/>
    <w:rsid w:val="006F13E4"/>
    <w:rsid w:val="006F240B"/>
    <w:rsid w:val="006F4763"/>
    <w:rsid w:val="006F4D8E"/>
    <w:rsid w:val="006F5CEF"/>
    <w:rsid w:val="006F6017"/>
    <w:rsid w:val="006F633E"/>
    <w:rsid w:val="006F6787"/>
    <w:rsid w:val="006F7A35"/>
    <w:rsid w:val="00700686"/>
    <w:rsid w:val="00702445"/>
    <w:rsid w:val="00702C69"/>
    <w:rsid w:val="0070447C"/>
    <w:rsid w:val="00704D4B"/>
    <w:rsid w:val="00705805"/>
    <w:rsid w:val="00705BFB"/>
    <w:rsid w:val="00706354"/>
    <w:rsid w:val="00707497"/>
    <w:rsid w:val="00710F48"/>
    <w:rsid w:val="00714BC3"/>
    <w:rsid w:val="00715DC9"/>
    <w:rsid w:val="0071702B"/>
    <w:rsid w:val="00721CA6"/>
    <w:rsid w:val="00723849"/>
    <w:rsid w:val="00723C15"/>
    <w:rsid w:val="00723EC9"/>
    <w:rsid w:val="007261C3"/>
    <w:rsid w:val="007263FE"/>
    <w:rsid w:val="0072657B"/>
    <w:rsid w:val="007279F8"/>
    <w:rsid w:val="00731049"/>
    <w:rsid w:val="0073240C"/>
    <w:rsid w:val="00732700"/>
    <w:rsid w:val="00732ED2"/>
    <w:rsid w:val="0073315A"/>
    <w:rsid w:val="007333C1"/>
    <w:rsid w:val="00733623"/>
    <w:rsid w:val="00734338"/>
    <w:rsid w:val="00734439"/>
    <w:rsid w:val="00735600"/>
    <w:rsid w:val="007368BE"/>
    <w:rsid w:val="0073721D"/>
    <w:rsid w:val="007374FD"/>
    <w:rsid w:val="00740DC9"/>
    <w:rsid w:val="00741430"/>
    <w:rsid w:val="007418DA"/>
    <w:rsid w:val="007474EE"/>
    <w:rsid w:val="00750DD5"/>
    <w:rsid w:val="0075299B"/>
    <w:rsid w:val="00752BF9"/>
    <w:rsid w:val="00754C7E"/>
    <w:rsid w:val="00755501"/>
    <w:rsid w:val="0076076D"/>
    <w:rsid w:val="007608A1"/>
    <w:rsid w:val="0076424A"/>
    <w:rsid w:val="00764CF2"/>
    <w:rsid w:val="00765B7A"/>
    <w:rsid w:val="00767508"/>
    <w:rsid w:val="007713AF"/>
    <w:rsid w:val="00771431"/>
    <w:rsid w:val="00771B34"/>
    <w:rsid w:val="00774180"/>
    <w:rsid w:val="007767F6"/>
    <w:rsid w:val="00777D1A"/>
    <w:rsid w:val="00785A36"/>
    <w:rsid w:val="00786922"/>
    <w:rsid w:val="00787CC5"/>
    <w:rsid w:val="007914BE"/>
    <w:rsid w:val="00791E8E"/>
    <w:rsid w:val="00793C88"/>
    <w:rsid w:val="00794FE7"/>
    <w:rsid w:val="00795C88"/>
    <w:rsid w:val="00795D41"/>
    <w:rsid w:val="007A0DEB"/>
    <w:rsid w:val="007A1EE6"/>
    <w:rsid w:val="007A51E7"/>
    <w:rsid w:val="007A5497"/>
    <w:rsid w:val="007B294C"/>
    <w:rsid w:val="007B2FDA"/>
    <w:rsid w:val="007B31D3"/>
    <w:rsid w:val="007B5C42"/>
    <w:rsid w:val="007B6449"/>
    <w:rsid w:val="007B6C16"/>
    <w:rsid w:val="007C6DB4"/>
    <w:rsid w:val="007D40E9"/>
    <w:rsid w:val="007D7300"/>
    <w:rsid w:val="007E4081"/>
    <w:rsid w:val="007E41BA"/>
    <w:rsid w:val="007E4372"/>
    <w:rsid w:val="007E4577"/>
    <w:rsid w:val="007E472A"/>
    <w:rsid w:val="007E5288"/>
    <w:rsid w:val="007E56FD"/>
    <w:rsid w:val="007E59AF"/>
    <w:rsid w:val="007E61F5"/>
    <w:rsid w:val="007E7A0F"/>
    <w:rsid w:val="007F09B1"/>
    <w:rsid w:val="007F2C8D"/>
    <w:rsid w:val="007F3FA1"/>
    <w:rsid w:val="007F55A8"/>
    <w:rsid w:val="007F74FE"/>
    <w:rsid w:val="008000FC"/>
    <w:rsid w:val="008007AF"/>
    <w:rsid w:val="00805963"/>
    <w:rsid w:val="00810013"/>
    <w:rsid w:val="00810492"/>
    <w:rsid w:val="008105E1"/>
    <w:rsid w:val="00816FE7"/>
    <w:rsid w:val="00820540"/>
    <w:rsid w:val="00820CD2"/>
    <w:rsid w:val="00821167"/>
    <w:rsid w:val="0082266F"/>
    <w:rsid w:val="00825EB5"/>
    <w:rsid w:val="00826519"/>
    <w:rsid w:val="00826C4A"/>
    <w:rsid w:val="00827208"/>
    <w:rsid w:val="008301BB"/>
    <w:rsid w:val="00830445"/>
    <w:rsid w:val="008351C0"/>
    <w:rsid w:val="0083677D"/>
    <w:rsid w:val="00840510"/>
    <w:rsid w:val="00840FCC"/>
    <w:rsid w:val="0084117D"/>
    <w:rsid w:val="0084452F"/>
    <w:rsid w:val="00845282"/>
    <w:rsid w:val="0084583F"/>
    <w:rsid w:val="00846CE2"/>
    <w:rsid w:val="00847C10"/>
    <w:rsid w:val="00850D77"/>
    <w:rsid w:val="00851828"/>
    <w:rsid w:val="00854545"/>
    <w:rsid w:val="008548A9"/>
    <w:rsid w:val="00855A57"/>
    <w:rsid w:val="0085730C"/>
    <w:rsid w:val="008600C6"/>
    <w:rsid w:val="0086099E"/>
    <w:rsid w:val="00861783"/>
    <w:rsid w:val="00863E71"/>
    <w:rsid w:val="00865265"/>
    <w:rsid w:val="00865D54"/>
    <w:rsid w:val="00867123"/>
    <w:rsid w:val="00870C72"/>
    <w:rsid w:val="008715F2"/>
    <w:rsid w:val="0087378D"/>
    <w:rsid w:val="00874B4F"/>
    <w:rsid w:val="00875118"/>
    <w:rsid w:val="008757C8"/>
    <w:rsid w:val="00875A50"/>
    <w:rsid w:val="00876750"/>
    <w:rsid w:val="00877081"/>
    <w:rsid w:val="00877DDB"/>
    <w:rsid w:val="00880536"/>
    <w:rsid w:val="00880DBD"/>
    <w:rsid w:val="008839C1"/>
    <w:rsid w:val="00883E43"/>
    <w:rsid w:val="008849C7"/>
    <w:rsid w:val="0088704D"/>
    <w:rsid w:val="0088796D"/>
    <w:rsid w:val="00890F67"/>
    <w:rsid w:val="0089181C"/>
    <w:rsid w:val="00892EDF"/>
    <w:rsid w:val="0089432F"/>
    <w:rsid w:val="00894DD9"/>
    <w:rsid w:val="00895690"/>
    <w:rsid w:val="00895C2E"/>
    <w:rsid w:val="00897834"/>
    <w:rsid w:val="0089792C"/>
    <w:rsid w:val="00897FD9"/>
    <w:rsid w:val="008A40C2"/>
    <w:rsid w:val="008A51FE"/>
    <w:rsid w:val="008A5B47"/>
    <w:rsid w:val="008A69EB"/>
    <w:rsid w:val="008A71D7"/>
    <w:rsid w:val="008A77B4"/>
    <w:rsid w:val="008A7831"/>
    <w:rsid w:val="008B1460"/>
    <w:rsid w:val="008B1F5F"/>
    <w:rsid w:val="008B251C"/>
    <w:rsid w:val="008B25E1"/>
    <w:rsid w:val="008B2CE0"/>
    <w:rsid w:val="008B3CAE"/>
    <w:rsid w:val="008B5B1F"/>
    <w:rsid w:val="008B6114"/>
    <w:rsid w:val="008C0572"/>
    <w:rsid w:val="008C0972"/>
    <w:rsid w:val="008C14ED"/>
    <w:rsid w:val="008C4BCD"/>
    <w:rsid w:val="008C5A69"/>
    <w:rsid w:val="008C5AB5"/>
    <w:rsid w:val="008C6513"/>
    <w:rsid w:val="008D0AE5"/>
    <w:rsid w:val="008D1F6E"/>
    <w:rsid w:val="008D2C74"/>
    <w:rsid w:val="008D37A5"/>
    <w:rsid w:val="008D445F"/>
    <w:rsid w:val="008D4935"/>
    <w:rsid w:val="008D6B6C"/>
    <w:rsid w:val="008D79D0"/>
    <w:rsid w:val="008E0CF2"/>
    <w:rsid w:val="008E6619"/>
    <w:rsid w:val="008E7B7E"/>
    <w:rsid w:val="008F1069"/>
    <w:rsid w:val="008F21DD"/>
    <w:rsid w:val="00900BE5"/>
    <w:rsid w:val="0090166F"/>
    <w:rsid w:val="00901A63"/>
    <w:rsid w:val="00901D42"/>
    <w:rsid w:val="0090397E"/>
    <w:rsid w:val="00903E66"/>
    <w:rsid w:val="009059FF"/>
    <w:rsid w:val="00905D8F"/>
    <w:rsid w:val="00910004"/>
    <w:rsid w:val="009147E3"/>
    <w:rsid w:val="009155DB"/>
    <w:rsid w:val="00916A8E"/>
    <w:rsid w:val="00917B5F"/>
    <w:rsid w:val="00917CB4"/>
    <w:rsid w:val="009225BE"/>
    <w:rsid w:val="00923260"/>
    <w:rsid w:val="00924004"/>
    <w:rsid w:val="00924134"/>
    <w:rsid w:val="009254E0"/>
    <w:rsid w:val="00925D78"/>
    <w:rsid w:val="00927239"/>
    <w:rsid w:val="00930000"/>
    <w:rsid w:val="00931822"/>
    <w:rsid w:val="00931E72"/>
    <w:rsid w:val="009321F7"/>
    <w:rsid w:val="0093223E"/>
    <w:rsid w:val="009341B5"/>
    <w:rsid w:val="00935B6F"/>
    <w:rsid w:val="00936083"/>
    <w:rsid w:val="00936900"/>
    <w:rsid w:val="00936ACC"/>
    <w:rsid w:val="00937449"/>
    <w:rsid w:val="009374E7"/>
    <w:rsid w:val="0093786C"/>
    <w:rsid w:val="0094072F"/>
    <w:rsid w:val="0094136C"/>
    <w:rsid w:val="00942732"/>
    <w:rsid w:val="00943827"/>
    <w:rsid w:val="00943ACB"/>
    <w:rsid w:val="00946B6B"/>
    <w:rsid w:val="0094772A"/>
    <w:rsid w:val="00955003"/>
    <w:rsid w:val="00956CD2"/>
    <w:rsid w:val="00956EE2"/>
    <w:rsid w:val="009606BB"/>
    <w:rsid w:val="00962F10"/>
    <w:rsid w:val="00971B57"/>
    <w:rsid w:val="00972818"/>
    <w:rsid w:val="009732EF"/>
    <w:rsid w:val="009737FF"/>
    <w:rsid w:val="00975D78"/>
    <w:rsid w:val="0097661A"/>
    <w:rsid w:val="00977E8B"/>
    <w:rsid w:val="00981152"/>
    <w:rsid w:val="00983EBF"/>
    <w:rsid w:val="00985F6E"/>
    <w:rsid w:val="00986CF8"/>
    <w:rsid w:val="0098724F"/>
    <w:rsid w:val="00987388"/>
    <w:rsid w:val="00987903"/>
    <w:rsid w:val="0098790F"/>
    <w:rsid w:val="00990262"/>
    <w:rsid w:val="00990535"/>
    <w:rsid w:val="00991D43"/>
    <w:rsid w:val="009942E2"/>
    <w:rsid w:val="0099472B"/>
    <w:rsid w:val="0099497C"/>
    <w:rsid w:val="0099629B"/>
    <w:rsid w:val="00996571"/>
    <w:rsid w:val="0099676F"/>
    <w:rsid w:val="0099681D"/>
    <w:rsid w:val="009A4284"/>
    <w:rsid w:val="009A472E"/>
    <w:rsid w:val="009A6DE9"/>
    <w:rsid w:val="009B1040"/>
    <w:rsid w:val="009B112D"/>
    <w:rsid w:val="009B1CAB"/>
    <w:rsid w:val="009B7C43"/>
    <w:rsid w:val="009C166B"/>
    <w:rsid w:val="009C20AF"/>
    <w:rsid w:val="009C439D"/>
    <w:rsid w:val="009C5F83"/>
    <w:rsid w:val="009D195D"/>
    <w:rsid w:val="009D2129"/>
    <w:rsid w:val="009D2ADE"/>
    <w:rsid w:val="009D30A4"/>
    <w:rsid w:val="009D352B"/>
    <w:rsid w:val="009D5080"/>
    <w:rsid w:val="009D54B4"/>
    <w:rsid w:val="009D73D6"/>
    <w:rsid w:val="009D7455"/>
    <w:rsid w:val="009E15FC"/>
    <w:rsid w:val="009E1B28"/>
    <w:rsid w:val="009E31FC"/>
    <w:rsid w:val="009E3B68"/>
    <w:rsid w:val="009E4476"/>
    <w:rsid w:val="009E5283"/>
    <w:rsid w:val="009E598E"/>
    <w:rsid w:val="009E637C"/>
    <w:rsid w:val="009E6D43"/>
    <w:rsid w:val="009E7018"/>
    <w:rsid w:val="009F09D2"/>
    <w:rsid w:val="009F1376"/>
    <w:rsid w:val="009F2869"/>
    <w:rsid w:val="009F409A"/>
    <w:rsid w:val="009F48C1"/>
    <w:rsid w:val="009F7A3E"/>
    <w:rsid w:val="00A017F5"/>
    <w:rsid w:val="00A022DB"/>
    <w:rsid w:val="00A02AD8"/>
    <w:rsid w:val="00A03207"/>
    <w:rsid w:val="00A04635"/>
    <w:rsid w:val="00A0488A"/>
    <w:rsid w:val="00A06154"/>
    <w:rsid w:val="00A0729C"/>
    <w:rsid w:val="00A0756B"/>
    <w:rsid w:val="00A1288B"/>
    <w:rsid w:val="00A1496F"/>
    <w:rsid w:val="00A14FD1"/>
    <w:rsid w:val="00A166C1"/>
    <w:rsid w:val="00A16D12"/>
    <w:rsid w:val="00A219A5"/>
    <w:rsid w:val="00A22B57"/>
    <w:rsid w:val="00A23BBE"/>
    <w:rsid w:val="00A24D49"/>
    <w:rsid w:val="00A262DE"/>
    <w:rsid w:val="00A27009"/>
    <w:rsid w:val="00A275AF"/>
    <w:rsid w:val="00A2767F"/>
    <w:rsid w:val="00A31427"/>
    <w:rsid w:val="00A327D8"/>
    <w:rsid w:val="00A32CD7"/>
    <w:rsid w:val="00A35244"/>
    <w:rsid w:val="00A37163"/>
    <w:rsid w:val="00A4083E"/>
    <w:rsid w:val="00A40A25"/>
    <w:rsid w:val="00A429A2"/>
    <w:rsid w:val="00A43F3F"/>
    <w:rsid w:val="00A44AEA"/>
    <w:rsid w:val="00A4520F"/>
    <w:rsid w:val="00A45723"/>
    <w:rsid w:val="00A4601C"/>
    <w:rsid w:val="00A46208"/>
    <w:rsid w:val="00A465E1"/>
    <w:rsid w:val="00A4745B"/>
    <w:rsid w:val="00A475B0"/>
    <w:rsid w:val="00A510F0"/>
    <w:rsid w:val="00A54EA0"/>
    <w:rsid w:val="00A553BD"/>
    <w:rsid w:val="00A5577C"/>
    <w:rsid w:val="00A564D7"/>
    <w:rsid w:val="00A57830"/>
    <w:rsid w:val="00A6066C"/>
    <w:rsid w:val="00A61237"/>
    <w:rsid w:val="00A616E4"/>
    <w:rsid w:val="00A61EC9"/>
    <w:rsid w:val="00A648FC"/>
    <w:rsid w:val="00A653AB"/>
    <w:rsid w:val="00A65EAD"/>
    <w:rsid w:val="00A678F4"/>
    <w:rsid w:val="00A67C4F"/>
    <w:rsid w:val="00A7135C"/>
    <w:rsid w:val="00A7285C"/>
    <w:rsid w:val="00A7480F"/>
    <w:rsid w:val="00A74BD8"/>
    <w:rsid w:val="00A75254"/>
    <w:rsid w:val="00A76B55"/>
    <w:rsid w:val="00A80D7E"/>
    <w:rsid w:val="00A81645"/>
    <w:rsid w:val="00A81759"/>
    <w:rsid w:val="00A82521"/>
    <w:rsid w:val="00A82813"/>
    <w:rsid w:val="00A8418B"/>
    <w:rsid w:val="00A84DFB"/>
    <w:rsid w:val="00A86A37"/>
    <w:rsid w:val="00A905C8"/>
    <w:rsid w:val="00A918FA"/>
    <w:rsid w:val="00A926B4"/>
    <w:rsid w:val="00A93897"/>
    <w:rsid w:val="00A9644B"/>
    <w:rsid w:val="00A9685C"/>
    <w:rsid w:val="00A96D54"/>
    <w:rsid w:val="00AA050D"/>
    <w:rsid w:val="00AA0534"/>
    <w:rsid w:val="00AA0E11"/>
    <w:rsid w:val="00AA15DC"/>
    <w:rsid w:val="00AA1DB5"/>
    <w:rsid w:val="00AA33D9"/>
    <w:rsid w:val="00AA3DE4"/>
    <w:rsid w:val="00AA5352"/>
    <w:rsid w:val="00AA63E6"/>
    <w:rsid w:val="00AA65DA"/>
    <w:rsid w:val="00AA6BB3"/>
    <w:rsid w:val="00AA7223"/>
    <w:rsid w:val="00AB0A0B"/>
    <w:rsid w:val="00AB0C6C"/>
    <w:rsid w:val="00AB201F"/>
    <w:rsid w:val="00AB3254"/>
    <w:rsid w:val="00AC0020"/>
    <w:rsid w:val="00AC24EA"/>
    <w:rsid w:val="00AC42DF"/>
    <w:rsid w:val="00AC6B63"/>
    <w:rsid w:val="00AC79D0"/>
    <w:rsid w:val="00AC7B0C"/>
    <w:rsid w:val="00AC7BA3"/>
    <w:rsid w:val="00AD125A"/>
    <w:rsid w:val="00AD13D7"/>
    <w:rsid w:val="00AD1616"/>
    <w:rsid w:val="00AD2AA7"/>
    <w:rsid w:val="00AD328F"/>
    <w:rsid w:val="00AD4A60"/>
    <w:rsid w:val="00AD629B"/>
    <w:rsid w:val="00AD6FEF"/>
    <w:rsid w:val="00AE246F"/>
    <w:rsid w:val="00AE36AA"/>
    <w:rsid w:val="00AE46EE"/>
    <w:rsid w:val="00AE5043"/>
    <w:rsid w:val="00AE620D"/>
    <w:rsid w:val="00AE63D2"/>
    <w:rsid w:val="00AE73C5"/>
    <w:rsid w:val="00AF0241"/>
    <w:rsid w:val="00AF5A46"/>
    <w:rsid w:val="00AF5CB7"/>
    <w:rsid w:val="00B00125"/>
    <w:rsid w:val="00B00C3C"/>
    <w:rsid w:val="00B034C8"/>
    <w:rsid w:val="00B035EF"/>
    <w:rsid w:val="00B05CB5"/>
    <w:rsid w:val="00B06E0C"/>
    <w:rsid w:val="00B1139C"/>
    <w:rsid w:val="00B11D1E"/>
    <w:rsid w:val="00B11D8B"/>
    <w:rsid w:val="00B129EA"/>
    <w:rsid w:val="00B132FE"/>
    <w:rsid w:val="00B13C77"/>
    <w:rsid w:val="00B15E0D"/>
    <w:rsid w:val="00B208F3"/>
    <w:rsid w:val="00B2219E"/>
    <w:rsid w:val="00B25586"/>
    <w:rsid w:val="00B25B1F"/>
    <w:rsid w:val="00B31438"/>
    <w:rsid w:val="00B316A6"/>
    <w:rsid w:val="00B31E6D"/>
    <w:rsid w:val="00B32891"/>
    <w:rsid w:val="00B3427D"/>
    <w:rsid w:val="00B35B47"/>
    <w:rsid w:val="00B37D4F"/>
    <w:rsid w:val="00B37EB2"/>
    <w:rsid w:val="00B40922"/>
    <w:rsid w:val="00B40AD8"/>
    <w:rsid w:val="00B40FED"/>
    <w:rsid w:val="00B41974"/>
    <w:rsid w:val="00B42AD5"/>
    <w:rsid w:val="00B442F8"/>
    <w:rsid w:val="00B4472C"/>
    <w:rsid w:val="00B4572F"/>
    <w:rsid w:val="00B550D4"/>
    <w:rsid w:val="00B552D4"/>
    <w:rsid w:val="00B5570E"/>
    <w:rsid w:val="00B55D39"/>
    <w:rsid w:val="00B57025"/>
    <w:rsid w:val="00B60CA8"/>
    <w:rsid w:val="00B610B5"/>
    <w:rsid w:val="00B6254F"/>
    <w:rsid w:val="00B648FB"/>
    <w:rsid w:val="00B65189"/>
    <w:rsid w:val="00B6663E"/>
    <w:rsid w:val="00B66A57"/>
    <w:rsid w:val="00B674FF"/>
    <w:rsid w:val="00B70745"/>
    <w:rsid w:val="00B70C96"/>
    <w:rsid w:val="00B7130A"/>
    <w:rsid w:val="00B72229"/>
    <w:rsid w:val="00B73824"/>
    <w:rsid w:val="00B76141"/>
    <w:rsid w:val="00B8020F"/>
    <w:rsid w:val="00B80C2E"/>
    <w:rsid w:val="00B81C37"/>
    <w:rsid w:val="00B82D09"/>
    <w:rsid w:val="00B83688"/>
    <w:rsid w:val="00B838D0"/>
    <w:rsid w:val="00B84056"/>
    <w:rsid w:val="00B8716E"/>
    <w:rsid w:val="00B9178A"/>
    <w:rsid w:val="00B92A0B"/>
    <w:rsid w:val="00B92C00"/>
    <w:rsid w:val="00B93D71"/>
    <w:rsid w:val="00B94398"/>
    <w:rsid w:val="00B94C05"/>
    <w:rsid w:val="00B95FEF"/>
    <w:rsid w:val="00B96D8A"/>
    <w:rsid w:val="00B972A5"/>
    <w:rsid w:val="00BA0DDF"/>
    <w:rsid w:val="00BA1EE7"/>
    <w:rsid w:val="00BA2700"/>
    <w:rsid w:val="00BA4E19"/>
    <w:rsid w:val="00BA5D2E"/>
    <w:rsid w:val="00BA68BD"/>
    <w:rsid w:val="00BA6C2E"/>
    <w:rsid w:val="00BA7F24"/>
    <w:rsid w:val="00BB2EE5"/>
    <w:rsid w:val="00BB2EF2"/>
    <w:rsid w:val="00BB4777"/>
    <w:rsid w:val="00BB5F6F"/>
    <w:rsid w:val="00BB64E4"/>
    <w:rsid w:val="00BB7343"/>
    <w:rsid w:val="00BB7D15"/>
    <w:rsid w:val="00BC0868"/>
    <w:rsid w:val="00BC1C9A"/>
    <w:rsid w:val="00BC3E4B"/>
    <w:rsid w:val="00BC5B75"/>
    <w:rsid w:val="00BC5EC3"/>
    <w:rsid w:val="00BC64A0"/>
    <w:rsid w:val="00BD0F4A"/>
    <w:rsid w:val="00BD2EC7"/>
    <w:rsid w:val="00BD43BD"/>
    <w:rsid w:val="00BD458E"/>
    <w:rsid w:val="00BD52B2"/>
    <w:rsid w:val="00BD5DB4"/>
    <w:rsid w:val="00BD60D2"/>
    <w:rsid w:val="00BD63E8"/>
    <w:rsid w:val="00BD6C1F"/>
    <w:rsid w:val="00BD7037"/>
    <w:rsid w:val="00BD71F5"/>
    <w:rsid w:val="00BE06C2"/>
    <w:rsid w:val="00BE2A7C"/>
    <w:rsid w:val="00BE3E28"/>
    <w:rsid w:val="00BF1781"/>
    <w:rsid w:val="00BF2C88"/>
    <w:rsid w:val="00BF4743"/>
    <w:rsid w:val="00BF5CDD"/>
    <w:rsid w:val="00BF62F5"/>
    <w:rsid w:val="00C0002F"/>
    <w:rsid w:val="00C003AA"/>
    <w:rsid w:val="00C032D3"/>
    <w:rsid w:val="00C03A86"/>
    <w:rsid w:val="00C04468"/>
    <w:rsid w:val="00C05D63"/>
    <w:rsid w:val="00C075B9"/>
    <w:rsid w:val="00C0766A"/>
    <w:rsid w:val="00C0781C"/>
    <w:rsid w:val="00C10736"/>
    <w:rsid w:val="00C11031"/>
    <w:rsid w:val="00C150FB"/>
    <w:rsid w:val="00C15AFE"/>
    <w:rsid w:val="00C1646B"/>
    <w:rsid w:val="00C204CB"/>
    <w:rsid w:val="00C23B33"/>
    <w:rsid w:val="00C2424E"/>
    <w:rsid w:val="00C24DEE"/>
    <w:rsid w:val="00C24EC8"/>
    <w:rsid w:val="00C26530"/>
    <w:rsid w:val="00C27360"/>
    <w:rsid w:val="00C27646"/>
    <w:rsid w:val="00C2770E"/>
    <w:rsid w:val="00C27B43"/>
    <w:rsid w:val="00C27F64"/>
    <w:rsid w:val="00C30E10"/>
    <w:rsid w:val="00C324F1"/>
    <w:rsid w:val="00C4054F"/>
    <w:rsid w:val="00C414D8"/>
    <w:rsid w:val="00C4321E"/>
    <w:rsid w:val="00C43728"/>
    <w:rsid w:val="00C43994"/>
    <w:rsid w:val="00C439EE"/>
    <w:rsid w:val="00C46B31"/>
    <w:rsid w:val="00C47375"/>
    <w:rsid w:val="00C54238"/>
    <w:rsid w:val="00C5473B"/>
    <w:rsid w:val="00C56680"/>
    <w:rsid w:val="00C56926"/>
    <w:rsid w:val="00C57226"/>
    <w:rsid w:val="00C5729E"/>
    <w:rsid w:val="00C608BC"/>
    <w:rsid w:val="00C617C5"/>
    <w:rsid w:val="00C631F8"/>
    <w:rsid w:val="00C63A95"/>
    <w:rsid w:val="00C63BC1"/>
    <w:rsid w:val="00C65773"/>
    <w:rsid w:val="00C65B91"/>
    <w:rsid w:val="00C673EA"/>
    <w:rsid w:val="00C70F00"/>
    <w:rsid w:val="00C71EF4"/>
    <w:rsid w:val="00C72377"/>
    <w:rsid w:val="00C7395F"/>
    <w:rsid w:val="00C760BC"/>
    <w:rsid w:val="00C7711C"/>
    <w:rsid w:val="00C7735A"/>
    <w:rsid w:val="00C80567"/>
    <w:rsid w:val="00C8278B"/>
    <w:rsid w:val="00C84AE4"/>
    <w:rsid w:val="00C87188"/>
    <w:rsid w:val="00C90305"/>
    <w:rsid w:val="00C906A5"/>
    <w:rsid w:val="00C91A2D"/>
    <w:rsid w:val="00C92DF9"/>
    <w:rsid w:val="00C96868"/>
    <w:rsid w:val="00C96B9F"/>
    <w:rsid w:val="00C975CC"/>
    <w:rsid w:val="00C975D0"/>
    <w:rsid w:val="00CA094B"/>
    <w:rsid w:val="00CA0BB6"/>
    <w:rsid w:val="00CA1846"/>
    <w:rsid w:val="00CA2048"/>
    <w:rsid w:val="00CA2915"/>
    <w:rsid w:val="00CA3688"/>
    <w:rsid w:val="00CA4847"/>
    <w:rsid w:val="00CA4B7E"/>
    <w:rsid w:val="00CA5B8E"/>
    <w:rsid w:val="00CB03D4"/>
    <w:rsid w:val="00CB0C26"/>
    <w:rsid w:val="00CB0D6C"/>
    <w:rsid w:val="00CB4EEF"/>
    <w:rsid w:val="00CB5133"/>
    <w:rsid w:val="00CB55CE"/>
    <w:rsid w:val="00CB6407"/>
    <w:rsid w:val="00CC0012"/>
    <w:rsid w:val="00CC0922"/>
    <w:rsid w:val="00CC12A4"/>
    <w:rsid w:val="00CC2787"/>
    <w:rsid w:val="00CC28CA"/>
    <w:rsid w:val="00CC2DF6"/>
    <w:rsid w:val="00CC4DF1"/>
    <w:rsid w:val="00CC5346"/>
    <w:rsid w:val="00CC6270"/>
    <w:rsid w:val="00CC67F2"/>
    <w:rsid w:val="00CC7407"/>
    <w:rsid w:val="00CD1162"/>
    <w:rsid w:val="00CD13A3"/>
    <w:rsid w:val="00CD59D4"/>
    <w:rsid w:val="00CD61F3"/>
    <w:rsid w:val="00CD65C7"/>
    <w:rsid w:val="00CD6AAB"/>
    <w:rsid w:val="00CD7828"/>
    <w:rsid w:val="00CE14A4"/>
    <w:rsid w:val="00CE2445"/>
    <w:rsid w:val="00CE3940"/>
    <w:rsid w:val="00CE5065"/>
    <w:rsid w:val="00CE6EA5"/>
    <w:rsid w:val="00CE7AC8"/>
    <w:rsid w:val="00CE7DBD"/>
    <w:rsid w:val="00CF1DE4"/>
    <w:rsid w:val="00CF38EB"/>
    <w:rsid w:val="00CF4A38"/>
    <w:rsid w:val="00CF5315"/>
    <w:rsid w:val="00CF57FC"/>
    <w:rsid w:val="00CF6AEA"/>
    <w:rsid w:val="00CF7F50"/>
    <w:rsid w:val="00D02803"/>
    <w:rsid w:val="00D032C3"/>
    <w:rsid w:val="00D0465D"/>
    <w:rsid w:val="00D0501D"/>
    <w:rsid w:val="00D07045"/>
    <w:rsid w:val="00D12C36"/>
    <w:rsid w:val="00D14112"/>
    <w:rsid w:val="00D24FFB"/>
    <w:rsid w:val="00D25909"/>
    <w:rsid w:val="00D30F82"/>
    <w:rsid w:val="00D31A92"/>
    <w:rsid w:val="00D3269B"/>
    <w:rsid w:val="00D33026"/>
    <w:rsid w:val="00D3387D"/>
    <w:rsid w:val="00D33B97"/>
    <w:rsid w:val="00D349DE"/>
    <w:rsid w:val="00D35843"/>
    <w:rsid w:val="00D3694B"/>
    <w:rsid w:val="00D36C44"/>
    <w:rsid w:val="00D40FF3"/>
    <w:rsid w:val="00D41747"/>
    <w:rsid w:val="00D43B3F"/>
    <w:rsid w:val="00D46170"/>
    <w:rsid w:val="00D46DA2"/>
    <w:rsid w:val="00D479CE"/>
    <w:rsid w:val="00D509EA"/>
    <w:rsid w:val="00D50F5D"/>
    <w:rsid w:val="00D53B21"/>
    <w:rsid w:val="00D546E0"/>
    <w:rsid w:val="00D54BFC"/>
    <w:rsid w:val="00D55B01"/>
    <w:rsid w:val="00D60E6F"/>
    <w:rsid w:val="00D6484A"/>
    <w:rsid w:val="00D67DE2"/>
    <w:rsid w:val="00D71736"/>
    <w:rsid w:val="00D732D2"/>
    <w:rsid w:val="00D73421"/>
    <w:rsid w:val="00D73B90"/>
    <w:rsid w:val="00D73D72"/>
    <w:rsid w:val="00D7497C"/>
    <w:rsid w:val="00D763E1"/>
    <w:rsid w:val="00D772C8"/>
    <w:rsid w:val="00D77D6C"/>
    <w:rsid w:val="00D80056"/>
    <w:rsid w:val="00D8162D"/>
    <w:rsid w:val="00D82184"/>
    <w:rsid w:val="00D83799"/>
    <w:rsid w:val="00D84927"/>
    <w:rsid w:val="00D875D0"/>
    <w:rsid w:val="00D87B16"/>
    <w:rsid w:val="00D91AC0"/>
    <w:rsid w:val="00D92939"/>
    <w:rsid w:val="00D934BC"/>
    <w:rsid w:val="00D93D8B"/>
    <w:rsid w:val="00D945E6"/>
    <w:rsid w:val="00D9666F"/>
    <w:rsid w:val="00D972BC"/>
    <w:rsid w:val="00D97D5C"/>
    <w:rsid w:val="00DA1A83"/>
    <w:rsid w:val="00DA2711"/>
    <w:rsid w:val="00DA2889"/>
    <w:rsid w:val="00DA415C"/>
    <w:rsid w:val="00DA43F9"/>
    <w:rsid w:val="00DA501E"/>
    <w:rsid w:val="00DA6879"/>
    <w:rsid w:val="00DA7142"/>
    <w:rsid w:val="00DB0473"/>
    <w:rsid w:val="00DB18DF"/>
    <w:rsid w:val="00DB6A42"/>
    <w:rsid w:val="00DB7D97"/>
    <w:rsid w:val="00DC1800"/>
    <w:rsid w:val="00DC34B9"/>
    <w:rsid w:val="00DC3E3C"/>
    <w:rsid w:val="00DD08FB"/>
    <w:rsid w:val="00DD1298"/>
    <w:rsid w:val="00DD170B"/>
    <w:rsid w:val="00DD22A6"/>
    <w:rsid w:val="00DD33D7"/>
    <w:rsid w:val="00DD48AC"/>
    <w:rsid w:val="00DD52D1"/>
    <w:rsid w:val="00DD57E7"/>
    <w:rsid w:val="00DD5F72"/>
    <w:rsid w:val="00DE0F63"/>
    <w:rsid w:val="00DE4DD8"/>
    <w:rsid w:val="00DE5F9C"/>
    <w:rsid w:val="00DF04E3"/>
    <w:rsid w:val="00DF05D5"/>
    <w:rsid w:val="00DF076B"/>
    <w:rsid w:val="00DF1A80"/>
    <w:rsid w:val="00DF62E5"/>
    <w:rsid w:val="00DF6977"/>
    <w:rsid w:val="00DF6D0D"/>
    <w:rsid w:val="00DF7A9F"/>
    <w:rsid w:val="00E00049"/>
    <w:rsid w:val="00E00E87"/>
    <w:rsid w:val="00E012E4"/>
    <w:rsid w:val="00E02A94"/>
    <w:rsid w:val="00E039C7"/>
    <w:rsid w:val="00E03C24"/>
    <w:rsid w:val="00E03D51"/>
    <w:rsid w:val="00E0545B"/>
    <w:rsid w:val="00E05895"/>
    <w:rsid w:val="00E0656D"/>
    <w:rsid w:val="00E10DE6"/>
    <w:rsid w:val="00E113EB"/>
    <w:rsid w:val="00E1191E"/>
    <w:rsid w:val="00E1226B"/>
    <w:rsid w:val="00E12BBA"/>
    <w:rsid w:val="00E20A20"/>
    <w:rsid w:val="00E21215"/>
    <w:rsid w:val="00E22595"/>
    <w:rsid w:val="00E228C1"/>
    <w:rsid w:val="00E22D1C"/>
    <w:rsid w:val="00E23FCB"/>
    <w:rsid w:val="00E253DF"/>
    <w:rsid w:val="00E25E7A"/>
    <w:rsid w:val="00E2635C"/>
    <w:rsid w:val="00E27CBE"/>
    <w:rsid w:val="00E3074D"/>
    <w:rsid w:val="00E31276"/>
    <w:rsid w:val="00E33051"/>
    <w:rsid w:val="00E3579A"/>
    <w:rsid w:val="00E3739F"/>
    <w:rsid w:val="00E40516"/>
    <w:rsid w:val="00E40F09"/>
    <w:rsid w:val="00E40F53"/>
    <w:rsid w:val="00E43ADF"/>
    <w:rsid w:val="00E4404E"/>
    <w:rsid w:val="00E44713"/>
    <w:rsid w:val="00E44B2B"/>
    <w:rsid w:val="00E44C8D"/>
    <w:rsid w:val="00E45B63"/>
    <w:rsid w:val="00E502B5"/>
    <w:rsid w:val="00E52F1B"/>
    <w:rsid w:val="00E54098"/>
    <w:rsid w:val="00E54F60"/>
    <w:rsid w:val="00E577EC"/>
    <w:rsid w:val="00E57EC6"/>
    <w:rsid w:val="00E60A8C"/>
    <w:rsid w:val="00E61244"/>
    <w:rsid w:val="00E6242F"/>
    <w:rsid w:val="00E62AE5"/>
    <w:rsid w:val="00E63415"/>
    <w:rsid w:val="00E644D3"/>
    <w:rsid w:val="00E7152F"/>
    <w:rsid w:val="00E726C2"/>
    <w:rsid w:val="00E73052"/>
    <w:rsid w:val="00E73776"/>
    <w:rsid w:val="00E739D5"/>
    <w:rsid w:val="00E750B0"/>
    <w:rsid w:val="00E75BF6"/>
    <w:rsid w:val="00E75EF7"/>
    <w:rsid w:val="00E76ECC"/>
    <w:rsid w:val="00E77844"/>
    <w:rsid w:val="00E8119C"/>
    <w:rsid w:val="00E831A7"/>
    <w:rsid w:val="00E83689"/>
    <w:rsid w:val="00E84561"/>
    <w:rsid w:val="00E84D5C"/>
    <w:rsid w:val="00E86E4F"/>
    <w:rsid w:val="00E8747B"/>
    <w:rsid w:val="00E928DD"/>
    <w:rsid w:val="00E92924"/>
    <w:rsid w:val="00E96736"/>
    <w:rsid w:val="00E97367"/>
    <w:rsid w:val="00EA1F4D"/>
    <w:rsid w:val="00EA2CE9"/>
    <w:rsid w:val="00EA4DD6"/>
    <w:rsid w:val="00EA5B99"/>
    <w:rsid w:val="00EA5D9A"/>
    <w:rsid w:val="00EB01A1"/>
    <w:rsid w:val="00EB0478"/>
    <w:rsid w:val="00EB1B38"/>
    <w:rsid w:val="00EB42BB"/>
    <w:rsid w:val="00EB43F1"/>
    <w:rsid w:val="00EB46AC"/>
    <w:rsid w:val="00EB494C"/>
    <w:rsid w:val="00EB5AC7"/>
    <w:rsid w:val="00EB6DE8"/>
    <w:rsid w:val="00EC1431"/>
    <w:rsid w:val="00EC1B91"/>
    <w:rsid w:val="00EC2B2A"/>
    <w:rsid w:val="00EC426B"/>
    <w:rsid w:val="00ED017E"/>
    <w:rsid w:val="00ED1AD8"/>
    <w:rsid w:val="00ED3B54"/>
    <w:rsid w:val="00EE0DE8"/>
    <w:rsid w:val="00EE2497"/>
    <w:rsid w:val="00EE2E69"/>
    <w:rsid w:val="00EE31C8"/>
    <w:rsid w:val="00EE4A91"/>
    <w:rsid w:val="00EE4C65"/>
    <w:rsid w:val="00EE61D5"/>
    <w:rsid w:val="00EE6518"/>
    <w:rsid w:val="00EE693F"/>
    <w:rsid w:val="00EE6B02"/>
    <w:rsid w:val="00EE7EBF"/>
    <w:rsid w:val="00EF26DC"/>
    <w:rsid w:val="00EF2A2B"/>
    <w:rsid w:val="00EF40FC"/>
    <w:rsid w:val="00EF421B"/>
    <w:rsid w:val="00EF6121"/>
    <w:rsid w:val="00EF6170"/>
    <w:rsid w:val="00EF6187"/>
    <w:rsid w:val="00EF6284"/>
    <w:rsid w:val="00EF73A0"/>
    <w:rsid w:val="00EF7B9A"/>
    <w:rsid w:val="00F02408"/>
    <w:rsid w:val="00F030BB"/>
    <w:rsid w:val="00F03B03"/>
    <w:rsid w:val="00F04CE2"/>
    <w:rsid w:val="00F05342"/>
    <w:rsid w:val="00F06658"/>
    <w:rsid w:val="00F0691F"/>
    <w:rsid w:val="00F06C44"/>
    <w:rsid w:val="00F079FC"/>
    <w:rsid w:val="00F136F4"/>
    <w:rsid w:val="00F1404F"/>
    <w:rsid w:val="00F162E7"/>
    <w:rsid w:val="00F16C75"/>
    <w:rsid w:val="00F16FB4"/>
    <w:rsid w:val="00F17A21"/>
    <w:rsid w:val="00F21B3B"/>
    <w:rsid w:val="00F22163"/>
    <w:rsid w:val="00F2473E"/>
    <w:rsid w:val="00F2605A"/>
    <w:rsid w:val="00F2683E"/>
    <w:rsid w:val="00F30AEF"/>
    <w:rsid w:val="00F32E98"/>
    <w:rsid w:val="00F33682"/>
    <w:rsid w:val="00F36719"/>
    <w:rsid w:val="00F37112"/>
    <w:rsid w:val="00F37F0D"/>
    <w:rsid w:val="00F40420"/>
    <w:rsid w:val="00F431D1"/>
    <w:rsid w:val="00F44A8F"/>
    <w:rsid w:val="00F4535E"/>
    <w:rsid w:val="00F46513"/>
    <w:rsid w:val="00F46A20"/>
    <w:rsid w:val="00F502FD"/>
    <w:rsid w:val="00F5031F"/>
    <w:rsid w:val="00F5321D"/>
    <w:rsid w:val="00F54C8E"/>
    <w:rsid w:val="00F60571"/>
    <w:rsid w:val="00F60D95"/>
    <w:rsid w:val="00F65625"/>
    <w:rsid w:val="00F6703C"/>
    <w:rsid w:val="00F67E89"/>
    <w:rsid w:val="00F721ED"/>
    <w:rsid w:val="00F72770"/>
    <w:rsid w:val="00F73283"/>
    <w:rsid w:val="00F744F7"/>
    <w:rsid w:val="00F7452C"/>
    <w:rsid w:val="00F76ECB"/>
    <w:rsid w:val="00F77BDD"/>
    <w:rsid w:val="00F81375"/>
    <w:rsid w:val="00F81BAF"/>
    <w:rsid w:val="00F81E86"/>
    <w:rsid w:val="00F825EC"/>
    <w:rsid w:val="00F83B3F"/>
    <w:rsid w:val="00F83C12"/>
    <w:rsid w:val="00F84821"/>
    <w:rsid w:val="00F86854"/>
    <w:rsid w:val="00F86C3D"/>
    <w:rsid w:val="00F9034C"/>
    <w:rsid w:val="00F909A0"/>
    <w:rsid w:val="00F92564"/>
    <w:rsid w:val="00F92E28"/>
    <w:rsid w:val="00F96B5C"/>
    <w:rsid w:val="00F979C8"/>
    <w:rsid w:val="00FA134F"/>
    <w:rsid w:val="00FA16D6"/>
    <w:rsid w:val="00FA2A10"/>
    <w:rsid w:val="00FA2CA5"/>
    <w:rsid w:val="00FA35DC"/>
    <w:rsid w:val="00FA3669"/>
    <w:rsid w:val="00FA5EFC"/>
    <w:rsid w:val="00FA74AC"/>
    <w:rsid w:val="00FA7C79"/>
    <w:rsid w:val="00FB05C2"/>
    <w:rsid w:val="00FB1247"/>
    <w:rsid w:val="00FB1DFF"/>
    <w:rsid w:val="00FB273C"/>
    <w:rsid w:val="00FB54A9"/>
    <w:rsid w:val="00FB7CE4"/>
    <w:rsid w:val="00FC2720"/>
    <w:rsid w:val="00FC33AD"/>
    <w:rsid w:val="00FC3E70"/>
    <w:rsid w:val="00FC3EA3"/>
    <w:rsid w:val="00FC79D2"/>
    <w:rsid w:val="00FC7DDC"/>
    <w:rsid w:val="00FD068D"/>
    <w:rsid w:val="00FD18A1"/>
    <w:rsid w:val="00FD6A72"/>
    <w:rsid w:val="00FD7550"/>
    <w:rsid w:val="00FD760F"/>
    <w:rsid w:val="00FD7F40"/>
    <w:rsid w:val="00FE1225"/>
    <w:rsid w:val="00FE13CE"/>
    <w:rsid w:val="00FE1B04"/>
    <w:rsid w:val="00FE62C9"/>
    <w:rsid w:val="00FE6BD4"/>
    <w:rsid w:val="00FE782F"/>
    <w:rsid w:val="00FF011E"/>
    <w:rsid w:val="00FF05E4"/>
    <w:rsid w:val="00FF08E4"/>
    <w:rsid w:val="00FF3911"/>
    <w:rsid w:val="00FF3B52"/>
    <w:rsid w:val="00FF4445"/>
    <w:rsid w:val="00FF4F1B"/>
    <w:rsid w:val="00FF50C1"/>
    <w:rsid w:val="00FF6578"/>
    <w:rsid w:val="00FF671A"/>
    <w:rsid w:val="00FF6C65"/>
    <w:rsid w:val="00FF6E7C"/>
    <w:rsid w:val="00FF73C0"/>
    <w:rsid w:val="670B7F9C"/>
  </w:rsids>
  <w:shapeDefaults>
    <o:shapedefaults fillcolor="white" spidmax="2050" v:ext="edit">
      <v:fill color="white"/>
    </o:shapedefaults>
    <o:shapelayout v:ext="edit">
      <o:idmap data="2" v:ext="edit"/>
    </o:shapelayout>
  </w:shapeDefaults>
  <w:decimalSymbol w:val="."/>
  <w:listSeparator w:val=","/>
  <w:bordersDoNotSurroundHeader/>
  <w:bordersDoNotSurroundFooter/>
  <w:defaultTabStop w:val="360"/>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9" w:unhideWhenUsed="1"/>
    <w:lsdException w:name="heading 5" w:uiPriority="9" w:unhideWhenUsed="1"/>
    <w:lsdException w:name="heading 6" w:uiPriority="9" w:unhideWhenUsed="1"/>
    <w:lsdException w:name="heading 7"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lsdException w:name="Emphasis" w:uiPriority="20"/>
    <w:lsdException w:name="Document Map" w:semiHidden="1" w:unhideWhenUsed="1"/>
    <w:lsdException w:name="Plain Text" w:uiPriority="0"/>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qFormat/>
    <w:rsid w:val="002516F7"/>
    <w:pPr>
      <w:ind w:firstLineChars="200" w:firstLine="200"/>
      <w:jc w:val="both"/>
    </w:pPr>
    <w:rPr>
      <w:kern w:val="2"/>
      <w:sz w:val="24"/>
      <w:szCs w:val="24"/>
    </w:rPr>
  </w:style>
  <w:style w:type="paragraph" w:styleId="1">
    <w:name w:val="heading 1"/>
    <w:next w:val="a4"/>
    <w:link w:val="10"/>
    <w:qFormat/>
    <w:rsid w:val="001A37A1"/>
    <w:pPr>
      <w:keepNext/>
      <w:keepLines/>
      <w:numPr>
        <w:numId w:val="1"/>
      </w:numPr>
      <w:wordWrap w:val="0"/>
      <w:topLinePunct/>
      <w:spacing w:beforeLines="50" w:before="50" w:afterLines="50" w:after="50"/>
      <w:jc w:val="center"/>
      <w:outlineLvl w:val="0"/>
    </w:pPr>
    <w:rPr>
      <w:rFonts w:eastAsia="黑体"/>
      <w:bCs/>
      <w:kern w:val="44"/>
      <w:sz w:val="28"/>
      <w:szCs w:val="44"/>
    </w:rPr>
  </w:style>
  <w:style w:type="paragraph" w:styleId="2">
    <w:name w:val="heading 2"/>
    <w:next w:val="a4"/>
    <w:link w:val="20"/>
    <w:unhideWhenUsed/>
    <w:qFormat/>
    <w:rsid w:val="000D27ED"/>
    <w:pPr>
      <w:keepNext/>
      <w:keepLines/>
      <w:numPr>
        <w:ilvl w:val="1"/>
        <w:numId w:val="1"/>
      </w:numPr>
      <w:spacing w:beforeLines="50" w:before="50" w:afterLines="50" w:after="50"/>
      <w:outlineLvl w:val="1"/>
    </w:pPr>
    <w:rPr>
      <w:rFonts w:eastAsia="黑体" w:cstheme="majorBidi"/>
      <w:bCs/>
      <w:kern w:val="2"/>
      <w:sz w:val="24"/>
      <w:szCs w:val="32"/>
    </w:rPr>
  </w:style>
  <w:style w:type="paragraph" w:styleId="3">
    <w:name w:val="heading 3"/>
    <w:next w:val="a4"/>
    <w:link w:val="30"/>
    <w:unhideWhenUsed/>
    <w:qFormat/>
    <w:rsid w:val="000D27ED"/>
    <w:pPr>
      <w:keepNext/>
      <w:keepLines/>
      <w:numPr>
        <w:ilvl w:val="2"/>
        <w:numId w:val="1"/>
      </w:numPr>
      <w:spacing w:beforeLines="50" w:before="50" w:afterLines="50" w:after="50"/>
      <w:outlineLvl w:val="2"/>
    </w:pPr>
    <w:rPr>
      <w:rFonts w:eastAsia="黑体"/>
      <w:bCs/>
      <w:kern w:val="2"/>
      <w:sz w:val="24"/>
      <w:szCs w:val="32"/>
    </w:rPr>
  </w:style>
  <w:style w:type="paragraph" w:styleId="4">
    <w:name w:val="heading 4"/>
    <w:next w:val="a4"/>
    <w:link w:val="40"/>
    <w:uiPriority w:val="9"/>
    <w:unhideWhenUsed/>
    <w:pPr>
      <w:keepNext/>
      <w:keepLines/>
      <w:numPr>
        <w:ilvl w:val="3"/>
        <w:numId w:val="1"/>
      </w:numPr>
      <w:spacing w:beforeLines="50" w:before="50" w:afterLines="50" w:after="50"/>
      <w:outlineLvl w:val="3"/>
    </w:pPr>
    <w:rPr>
      <w:rFonts w:cstheme="majorBidi"/>
      <w:b/>
      <w:bCs/>
      <w:kern w:val="2"/>
      <w:sz w:val="24"/>
      <w:szCs w:val="28"/>
    </w:rPr>
  </w:style>
  <w:style w:type="paragraph" w:styleId="5">
    <w:name w:val="heading 5"/>
    <w:next w:val="a4"/>
    <w:link w:val="50"/>
    <w:uiPriority w:val="9"/>
    <w:unhideWhenUsed/>
    <w:pPr>
      <w:keepNext/>
      <w:keepLines/>
      <w:numPr>
        <w:ilvl w:val="4"/>
        <w:numId w:val="1"/>
      </w:numPr>
      <w:spacing w:beforeLines="50" w:before="50" w:afterLines="50" w:after="50"/>
      <w:outlineLvl w:val="4"/>
    </w:pPr>
    <w:rPr>
      <w:b/>
      <w:bCs/>
      <w:kern w:val="2"/>
      <w:sz w:val="24"/>
      <w:szCs w:val="28"/>
    </w:rPr>
  </w:style>
  <w:style w:type="paragraph" w:styleId="6">
    <w:name w:val="heading 6"/>
    <w:basedOn w:val="a4"/>
    <w:next w:val="a4"/>
    <w:link w:val="60"/>
    <w:uiPriority w:val="9"/>
    <w:unhideWhenUsed/>
    <w:pPr>
      <w:keepNext/>
      <w:keepLines/>
      <w:numPr>
        <w:ilvl w:val="5"/>
        <w:numId w:val="1"/>
      </w:numPr>
      <w:ind w:firstLineChars="0"/>
      <w:jc w:val="left"/>
      <w:outlineLvl w:val="5"/>
    </w:pPr>
    <w:rPr>
      <w:rFonts w:cstheme="majorBidi"/>
      <w:b/>
      <w:bCs/>
    </w:rPr>
  </w:style>
  <w:style w:type="paragraph" w:styleId="7">
    <w:name w:val="heading 7"/>
    <w:basedOn w:val="a4"/>
    <w:next w:val="a4"/>
    <w:link w:val="70"/>
    <w:uiPriority w:val="9"/>
    <w:unhideWhenUsed/>
    <w:pPr>
      <w:keepNext/>
      <w:keepLines/>
      <w:numPr>
        <w:ilvl w:val="6"/>
        <w:numId w:val="1"/>
      </w:numPr>
      <w:ind w:firstLineChars="0"/>
      <w:jc w:val="left"/>
      <w:outlineLvl w:val="6"/>
    </w:pPr>
    <w:rPr>
      <w:b/>
      <w:bCs/>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TOC7">
    <w:name w:val="toc 7"/>
    <w:basedOn w:val="a4"/>
    <w:next w:val="a4"/>
    <w:uiPriority w:val="39"/>
    <w:unhideWhenUsed/>
    <w:pPr>
      <w:ind w:leftChars="600" w:left="600" w:firstLineChars="0" w:firstLine="0"/>
    </w:pPr>
  </w:style>
  <w:style w:type="paragraph" w:styleId="a8">
    <w:name w:val="caption"/>
    <w:next w:val="a9"/>
    <w:link w:val="aa"/>
    <w:uiPriority w:val="35"/>
    <w:unhideWhenUsed/>
    <w:pPr>
      <w:spacing w:beforeLines="25" w:before="25" w:afterLines="25" w:after="25" w:line="240" w:lineRule="exact"/>
      <w:jc w:val="center"/>
    </w:pPr>
    <w:rPr>
      <w:rFonts w:cstheme="majorBidi"/>
      <w:b/>
      <w:kern w:val="2"/>
    </w:rPr>
  </w:style>
  <w:style w:type="paragraph" w:customStyle="1" w:styleId="a9">
    <w:name w:val="表格"/>
    <w:link w:val="ab"/>
    <w:qFormat/>
    <w:pPr>
      <w:spacing w:line="360" w:lineRule="exact"/>
    </w:pPr>
    <w:rPr>
      <w:kern w:val="2"/>
      <w:sz w:val="24"/>
      <w:szCs w:val="24"/>
    </w:rPr>
  </w:style>
  <w:style w:type="paragraph" w:styleId="TOC5">
    <w:name w:val="toc 5"/>
    <w:basedOn w:val="a4"/>
    <w:next w:val="a4"/>
    <w:uiPriority w:val="39"/>
    <w:unhideWhenUsed/>
    <w:pPr>
      <w:ind w:leftChars="400" w:left="400" w:firstLineChars="0" w:firstLine="0"/>
    </w:pPr>
  </w:style>
  <w:style w:type="paragraph" w:styleId="TOC3">
    <w:name w:val="toc 3"/>
    <w:next w:val="a4"/>
    <w:uiPriority w:val="39"/>
    <w:unhideWhenUsed/>
    <w:pPr>
      <w:tabs>
        <w:tab w:val="right" w:leader="dot" w:pos="9060"/>
      </w:tabs>
      <w:spacing w:beforeLines="25" w:before="25" w:afterLines="25" w:after="25"/>
      <w:ind w:leftChars="200" w:left="200"/>
      <w:jc w:val="both"/>
    </w:pPr>
    <w:rPr>
      <w:kern w:val="2"/>
      <w:sz w:val="24"/>
      <w:szCs w:val="24"/>
    </w:rPr>
  </w:style>
  <w:style w:type="paragraph" w:styleId="ac">
    <w:name w:val="Plain Text"/>
    <w:basedOn w:val="a4"/>
    <w:link w:val="ad"/>
    <w:pPr>
      <w:widowControl w:val="0"/>
      <w:ind w:firstLineChars="0" w:firstLine="0"/>
    </w:pPr>
    <w:rPr>
      <w:rFonts w:ascii="宋体" w:hAnsi="Courier New" w:cs="Courier New"/>
      <w:szCs w:val="21"/>
    </w:rPr>
  </w:style>
  <w:style w:type="paragraph" w:styleId="TOC8">
    <w:name w:val="toc 8"/>
    <w:basedOn w:val="a4"/>
    <w:next w:val="a4"/>
    <w:uiPriority w:val="39"/>
    <w:semiHidden/>
    <w:unhideWhenUsed/>
    <w:qFormat/>
    <w:pPr>
      <w:ind w:leftChars="700" w:left="700" w:firstLineChars="0" w:firstLine="0"/>
    </w:pPr>
  </w:style>
  <w:style w:type="paragraph" w:styleId="ae">
    <w:name w:val="footer"/>
    <w:basedOn w:val="a4"/>
    <w:link w:val="af"/>
    <w:uiPriority w:val="99"/>
    <w:unhideWhenUsed/>
    <w:pPr>
      <w:tabs>
        <w:tab w:val="center" w:pos="4153"/>
        <w:tab w:val="right" w:pos="8306"/>
      </w:tabs>
      <w:snapToGrid w:val="0"/>
      <w:spacing w:before="60" w:after="60" w:line="240" w:lineRule="atLeast"/>
      <w:ind w:firstLineChars="0" w:firstLine="0"/>
      <w:jc w:val="center"/>
    </w:pPr>
    <w:rPr>
      <w:sz w:val="18"/>
      <w:szCs w:val="18"/>
    </w:rPr>
  </w:style>
  <w:style w:type="paragraph" w:styleId="af0">
    <w:name w:val="header"/>
    <w:basedOn w:val="a4"/>
    <w:link w:val="af1"/>
    <w:uiPriority w:val="99"/>
    <w:unhideWhenUsed/>
    <w:pPr>
      <w:pBdr>
        <w:bottom w:val="single" w:sz="4" w:space="1" w:color="auto"/>
      </w:pBdr>
      <w:tabs>
        <w:tab w:val="center" w:pos="4153"/>
        <w:tab w:val="right" w:pos="8306"/>
      </w:tabs>
      <w:snapToGrid w:val="0"/>
      <w:spacing w:line="240" w:lineRule="atLeast"/>
      <w:jc w:val="center"/>
    </w:pPr>
    <w:rPr>
      <w:sz w:val="18"/>
      <w:szCs w:val="18"/>
    </w:rPr>
  </w:style>
  <w:style w:type="paragraph" w:styleId="TOC1">
    <w:name w:val="toc 1"/>
    <w:next w:val="a4"/>
    <w:uiPriority w:val="39"/>
    <w:unhideWhenUsed/>
    <w:pPr>
      <w:tabs>
        <w:tab w:val="right" w:leader="dot" w:pos="9060"/>
      </w:tabs>
      <w:spacing w:beforeLines="25" w:before="25" w:afterLines="25" w:after="25"/>
      <w:jc w:val="both"/>
    </w:pPr>
    <w:rPr>
      <w:kern w:val="2"/>
      <w:sz w:val="24"/>
      <w:szCs w:val="24"/>
    </w:rPr>
  </w:style>
  <w:style w:type="paragraph" w:styleId="TOC4">
    <w:name w:val="toc 4"/>
    <w:basedOn w:val="a4"/>
    <w:next w:val="a4"/>
    <w:uiPriority w:val="39"/>
    <w:unhideWhenUsed/>
    <w:pPr>
      <w:ind w:leftChars="300" w:left="300" w:firstLineChars="0" w:firstLine="0"/>
    </w:pPr>
  </w:style>
  <w:style w:type="paragraph" w:styleId="af2">
    <w:name w:val="Subtitle"/>
    <w:next w:val="a4"/>
    <w:link w:val="af3"/>
    <w:uiPriority w:val="11"/>
    <w:pPr>
      <w:wordWrap w:val="0"/>
      <w:topLinePunct/>
      <w:spacing w:afterLines="50" w:after="163" w:line="400" w:lineRule="exact"/>
      <w:jc w:val="center"/>
    </w:pPr>
    <w:rPr>
      <w:b/>
      <w:bCs/>
      <w:kern w:val="44"/>
      <w:sz w:val="28"/>
      <w:szCs w:val="44"/>
    </w:rPr>
  </w:style>
  <w:style w:type="paragraph" w:styleId="TOC6">
    <w:name w:val="toc 6"/>
    <w:basedOn w:val="a4"/>
    <w:next w:val="a4"/>
    <w:uiPriority w:val="39"/>
    <w:unhideWhenUsed/>
    <w:pPr>
      <w:ind w:leftChars="500" w:left="500" w:firstLineChars="0" w:firstLine="0"/>
    </w:pPr>
  </w:style>
  <w:style w:type="paragraph" w:styleId="TOC2">
    <w:name w:val="toc 2"/>
    <w:next w:val="a4"/>
    <w:uiPriority w:val="39"/>
    <w:unhideWhenUsed/>
    <w:pPr>
      <w:tabs>
        <w:tab w:val="right" w:leader="dot" w:pos="9060"/>
      </w:tabs>
      <w:spacing w:beforeLines="25" w:before="25" w:afterLines="25" w:after="25"/>
      <w:ind w:leftChars="100" w:left="100"/>
      <w:jc w:val="both"/>
    </w:pPr>
    <w:rPr>
      <w:kern w:val="2"/>
      <w:sz w:val="24"/>
      <w:szCs w:val="24"/>
    </w:rPr>
  </w:style>
  <w:style w:type="paragraph" w:styleId="TOC9">
    <w:name w:val="toc 9"/>
    <w:basedOn w:val="a4"/>
    <w:next w:val="a4"/>
    <w:uiPriority w:val="39"/>
    <w:semiHidden/>
    <w:unhideWhenUsed/>
    <w:qFormat/>
    <w:pPr>
      <w:ind w:leftChars="800" w:left="800" w:firstLineChars="0" w:firstLine="0"/>
    </w:pPr>
  </w:style>
  <w:style w:type="paragraph" w:styleId="af4">
    <w:name w:val="Normal (Web)"/>
    <w:basedOn w:val="a4"/>
    <w:uiPriority w:val="99"/>
    <w:semiHidden/>
    <w:unhideWhenUsed/>
    <w:qFormat/>
    <w:pPr>
      <w:framePr w:wrap="notBeside" w:hAnchor="text" w:y="1"/>
    </w:pPr>
    <w:rPr>
      <w:rFonts w:cs="Times New Roman"/>
    </w:rPr>
  </w:style>
  <w:style w:type="paragraph" w:styleId="af5">
    <w:name w:val="Title"/>
    <w:next w:val="a4"/>
    <w:link w:val="af6"/>
    <w:uiPriority w:val="10"/>
    <w:qFormat/>
    <w:rsid w:val="00303518"/>
    <w:pPr>
      <w:wordWrap w:val="0"/>
      <w:topLinePunct/>
      <w:spacing w:afterLines="50" w:after="50" w:line="400" w:lineRule="exact"/>
      <w:jc w:val="center"/>
      <w:outlineLvl w:val="0"/>
    </w:pPr>
    <w:rPr>
      <w:rFonts w:eastAsia="黑体" w:cstheme="majorBidi"/>
      <w:bCs/>
      <w:kern w:val="2"/>
      <w:sz w:val="32"/>
      <w:szCs w:val="32"/>
    </w:rPr>
  </w:style>
  <w:style w:type="table" w:styleId="af7">
    <w:name w:val="Table Grid"/>
    <w:basedOn w:val="a6"/>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Hyperlink"/>
    <w:basedOn w:val="a5"/>
    <w:uiPriority w:val="99"/>
    <w:unhideWhenUsed/>
    <w:rPr>
      <w:color w:val="0563C1" w:themeColor="hyperlink"/>
      <w:u w:val="single"/>
    </w:rPr>
  </w:style>
  <w:style w:type="character" w:customStyle="1" w:styleId="af6">
    <w:name w:val="标题 字符"/>
    <w:basedOn w:val="a5"/>
    <w:link w:val="af5"/>
    <w:uiPriority w:val="10"/>
    <w:qFormat/>
    <w:rsid w:val="00303518"/>
    <w:rPr>
      <w:rFonts w:eastAsia="黑体" w:cstheme="majorBidi"/>
      <w:bCs/>
      <w:kern w:val="2"/>
      <w:sz w:val="32"/>
      <w:szCs w:val="32"/>
    </w:rPr>
  </w:style>
  <w:style w:type="character" w:customStyle="1" w:styleId="10">
    <w:name w:val="标题 1 字符"/>
    <w:basedOn w:val="a5"/>
    <w:link w:val="1"/>
    <w:rsid w:val="001A37A1"/>
    <w:rPr>
      <w:rFonts w:eastAsia="黑体"/>
      <w:bCs/>
      <w:kern w:val="44"/>
      <w:sz w:val="28"/>
      <w:szCs w:val="44"/>
    </w:rPr>
  </w:style>
  <w:style w:type="character" w:customStyle="1" w:styleId="20">
    <w:name w:val="标题 2 字符"/>
    <w:basedOn w:val="a5"/>
    <w:link w:val="2"/>
    <w:rsid w:val="000D27ED"/>
    <w:rPr>
      <w:rFonts w:eastAsia="黑体" w:cstheme="majorBidi"/>
      <w:bCs/>
      <w:kern w:val="2"/>
      <w:sz w:val="24"/>
      <w:szCs w:val="32"/>
    </w:rPr>
  </w:style>
  <w:style w:type="character" w:customStyle="1" w:styleId="30">
    <w:name w:val="标题 3 字符"/>
    <w:basedOn w:val="a5"/>
    <w:link w:val="3"/>
    <w:rsid w:val="000D27ED"/>
    <w:rPr>
      <w:rFonts w:eastAsia="黑体"/>
      <w:bCs/>
      <w:kern w:val="2"/>
      <w:sz w:val="24"/>
      <w:szCs w:val="32"/>
    </w:rPr>
  </w:style>
  <w:style w:type="character" w:customStyle="1" w:styleId="40">
    <w:name w:val="标题 4 字符"/>
    <w:basedOn w:val="a5"/>
    <w:link w:val="4"/>
    <w:uiPriority w:val="9"/>
    <w:qFormat/>
    <w:rPr>
      <w:rFonts w:cstheme="majorBidi"/>
      <w:b/>
      <w:bCs/>
      <w:szCs w:val="28"/>
    </w:rPr>
  </w:style>
  <w:style w:type="character" w:customStyle="1" w:styleId="50">
    <w:name w:val="标题 5 字符"/>
    <w:basedOn w:val="a5"/>
    <w:link w:val="5"/>
    <w:uiPriority w:val="9"/>
    <w:qFormat/>
    <w:rPr>
      <w:b/>
      <w:bCs/>
      <w:szCs w:val="28"/>
    </w:rPr>
  </w:style>
  <w:style w:type="character" w:customStyle="1" w:styleId="af1">
    <w:name w:val="页眉 字符"/>
    <w:basedOn w:val="a5"/>
    <w:link w:val="af0"/>
    <w:uiPriority w:val="99"/>
    <w:qFormat/>
    <w:rPr>
      <w:sz w:val="18"/>
      <w:szCs w:val="18"/>
    </w:rPr>
  </w:style>
  <w:style w:type="character" w:customStyle="1" w:styleId="af">
    <w:name w:val="页脚 字符"/>
    <w:basedOn w:val="a5"/>
    <w:link w:val="ae"/>
    <w:uiPriority w:val="99"/>
    <w:rPr>
      <w:sz w:val="18"/>
      <w:szCs w:val="18"/>
    </w:rPr>
  </w:style>
  <w:style w:type="paragraph" w:customStyle="1" w:styleId="a2">
    <w:name w:val="无序列表"/>
    <w:link w:val="af9"/>
    <w:pPr>
      <w:numPr>
        <w:numId w:val="2"/>
      </w:numPr>
      <w:spacing w:beforeLines="50" w:before="50" w:afterLines="50" w:after="50"/>
      <w:ind w:left="414" w:hanging="176"/>
      <w:contextualSpacing/>
      <w:jc w:val="both"/>
    </w:pPr>
    <w:rPr>
      <w:kern w:val="2"/>
      <w:sz w:val="24"/>
      <w:szCs w:val="24"/>
    </w:rPr>
  </w:style>
  <w:style w:type="paragraph" w:customStyle="1" w:styleId="TOC10">
    <w:name w:val="TOC 标题1"/>
    <w:next w:val="a4"/>
    <w:uiPriority w:val="39"/>
    <w:unhideWhenUsed/>
    <w:pPr>
      <w:spacing w:afterLines="50" w:after="50" w:line="400" w:lineRule="exact"/>
      <w:jc w:val="center"/>
    </w:pPr>
    <w:rPr>
      <w:rFonts w:asciiTheme="majorHAnsi" w:hAnsiTheme="majorHAnsi" w:cstheme="majorBidi"/>
      <w:b/>
      <w:sz w:val="32"/>
      <w:szCs w:val="32"/>
    </w:rPr>
  </w:style>
  <w:style w:type="character" w:customStyle="1" w:styleId="af9">
    <w:name w:val="无序列表 字符"/>
    <w:basedOn w:val="a5"/>
    <w:link w:val="a2"/>
    <w:qFormat/>
  </w:style>
  <w:style w:type="character" w:customStyle="1" w:styleId="af3">
    <w:name w:val="副标题 字符"/>
    <w:basedOn w:val="a5"/>
    <w:link w:val="af2"/>
    <w:uiPriority w:val="11"/>
    <w:qFormat/>
    <w:rPr>
      <w:b/>
      <w:bCs/>
      <w:kern w:val="44"/>
      <w:sz w:val="28"/>
      <w:szCs w:val="44"/>
    </w:rPr>
  </w:style>
  <w:style w:type="paragraph" w:customStyle="1" w:styleId="a3">
    <w:name w:val="有序列表"/>
    <w:link w:val="afa"/>
    <w:pPr>
      <w:numPr>
        <w:numId w:val="3"/>
      </w:numPr>
      <w:spacing w:beforeLines="50" w:before="120" w:afterLines="50" w:after="120"/>
      <w:contextualSpacing/>
      <w:jc w:val="both"/>
    </w:pPr>
    <w:rPr>
      <w:kern w:val="2"/>
      <w:sz w:val="24"/>
      <w:szCs w:val="24"/>
    </w:rPr>
  </w:style>
  <w:style w:type="table" w:customStyle="1" w:styleId="afb">
    <w:name w:val="三线表"/>
    <w:basedOn w:val="a6"/>
    <w:uiPriority w:val="99"/>
    <w:qFormat/>
    <w:rsid w:val="00BA6C2E"/>
    <w:pPr>
      <w:keepNext/>
      <w:jc w:val="center"/>
    </w:pPr>
    <w:rPr>
      <w:sz w:val="24"/>
    </w:rPr>
    <w:tblPr>
      <w:jc w:val="center"/>
      <w:tblBorders>
        <w:bottom w:val="single" w:sz="12" w:space="0" w:color="auto"/>
      </w:tblBorders>
    </w:tblPr>
    <w:trPr>
      <w:jc w:val="center"/>
    </w:trPr>
    <w:tcPr>
      <w:vAlign w:val="center"/>
    </w:tcPr>
    <w:tblStylePr w:type="firstRow">
      <w:pPr>
        <w:jc w:val="center"/>
      </w:pPr>
      <w:rPr>
        <w:b/>
      </w:rPr>
      <w:tblPr/>
      <w:tcPr>
        <w:tcBorders>
          <w:top w:val="single" w:sz="12" w:space="0" w:color="auto"/>
          <w:bottom w:val="single" w:sz="4" w:space="0" w:color="auto"/>
        </w:tcBorders>
      </w:tcPr>
    </w:tblStylePr>
  </w:style>
  <w:style w:type="character" w:customStyle="1" w:styleId="afa">
    <w:name w:val="有序列表 字符"/>
    <w:basedOn w:val="af9"/>
    <w:link w:val="a3"/>
  </w:style>
  <w:style w:type="character" w:customStyle="1" w:styleId="ab">
    <w:name w:val="表格 字符"/>
    <w:basedOn w:val="a5"/>
    <w:link w:val="a9"/>
    <w:qFormat/>
  </w:style>
  <w:style w:type="character" w:styleId="afc">
    <w:name w:val="Placeholder Text"/>
    <w:basedOn w:val="a5"/>
    <w:uiPriority w:val="99"/>
    <w:semiHidden/>
    <w:rPr>
      <w:color w:val="808080"/>
    </w:rPr>
  </w:style>
  <w:style w:type="paragraph" w:styleId="afd">
    <w:name w:val="List Paragraph"/>
    <w:basedOn w:val="a4"/>
    <w:uiPriority w:val="34"/>
    <w:pPr>
      <w:framePr w:wrap="notBeside" w:hAnchor="text" w:y="1"/>
      <w:ind w:firstLine="420"/>
    </w:pPr>
  </w:style>
  <w:style w:type="table" w:customStyle="1" w:styleId="11">
    <w:name w:val="网格型浅色1"/>
    <w:basedOn w:val="a6"/>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51">
    <w:name w:val="网格表 1 浅色 - 着色 51"/>
    <w:basedOn w:val="a6"/>
    <w:uiPriority w:val="46"/>
    <w:tblPr>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customStyle="1" w:styleId="afe">
    <w:name w:val="行间公式表格"/>
    <w:basedOn w:val="a6"/>
    <w:uiPriority w:val="99"/>
    <w:pPr>
      <w:contextualSpacing/>
    </w:pPr>
    <w:tblPr>
      <w:jc w:val="center"/>
      <w:tblCellMar>
        <w:left w:w="0" w:type="dxa"/>
        <w:right w:w="0" w:type="dxa"/>
      </w:tblCellMar>
    </w:tblPr>
    <w:trPr>
      <w:jc w:val="center"/>
    </w:trPr>
    <w:tcPr>
      <w:vAlign w:val="center"/>
    </w:tcPr>
    <w:tblStylePr w:type="firstRow">
      <w:rPr>
        <w:b w:val="0"/>
      </w:rPr>
    </w:tblStylePr>
  </w:style>
  <w:style w:type="table" w:customStyle="1" w:styleId="110">
    <w:name w:val="无格式表格 11"/>
    <w:basedOn w:val="a6"/>
    <w:uiPriority w:val="4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a">
    <w:name w:val="参考文献"/>
    <w:link w:val="aff"/>
    <w:qFormat/>
    <w:pPr>
      <w:numPr>
        <w:numId w:val="4"/>
      </w:numPr>
      <w:topLinePunct/>
      <w:spacing w:line="360" w:lineRule="exact"/>
    </w:pPr>
    <w:rPr>
      <w:kern w:val="2"/>
      <w:sz w:val="24"/>
      <w:szCs w:val="24"/>
    </w:rPr>
  </w:style>
  <w:style w:type="table" w:customStyle="1" w:styleId="aff0">
    <w:name w:val="代码清单"/>
    <w:basedOn w:val="a6"/>
    <w:uiPriority w:val="99"/>
    <w:qFormat/>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style>
  <w:style w:type="character" w:customStyle="1" w:styleId="aff">
    <w:name w:val="参考文献 字符"/>
    <w:basedOn w:val="a5"/>
    <w:link w:val="a"/>
    <w:qFormat/>
  </w:style>
  <w:style w:type="table" w:customStyle="1" w:styleId="12">
    <w:name w:val="样式1"/>
    <w:basedOn w:val="a6"/>
    <w:uiPriority w:val="99"/>
    <w:qFormat/>
    <w:tblPr>
      <w:jc w:val="center"/>
    </w:tblPr>
    <w:trPr>
      <w:cantSplit/>
      <w:jc w:val="center"/>
    </w:trPr>
    <w:tcPr>
      <w:vAlign w:val="center"/>
    </w:tcPr>
  </w:style>
  <w:style w:type="paragraph" w:customStyle="1" w:styleId="13">
    <w:name w:val="代码清单辅助样式1"/>
    <w:basedOn w:val="a4"/>
    <w:link w:val="14"/>
    <w:pPr>
      <w:framePr w:wrap="notBeside" w:hAnchor="text" w:y="1"/>
      <w:ind w:firstLineChars="0" w:firstLine="0"/>
      <w:jc w:val="center"/>
    </w:pPr>
    <w:rPr>
      <w:b/>
    </w:rPr>
  </w:style>
  <w:style w:type="paragraph" w:customStyle="1" w:styleId="21">
    <w:name w:val="代码清单辅助样式2"/>
    <w:basedOn w:val="a4"/>
    <w:link w:val="22"/>
    <w:pPr>
      <w:framePr w:wrap="notBeside" w:hAnchor="text" w:y="1"/>
      <w:tabs>
        <w:tab w:val="left" w:pos="1611"/>
      </w:tabs>
      <w:ind w:firstLineChars="0" w:firstLine="0"/>
      <w:contextualSpacing/>
      <w:jc w:val="left"/>
    </w:pPr>
  </w:style>
  <w:style w:type="character" w:customStyle="1" w:styleId="14">
    <w:name w:val="代码清单辅助样式1 字符"/>
    <w:basedOn w:val="a5"/>
    <w:link w:val="13"/>
    <w:qFormat/>
    <w:rPr>
      <w:b/>
    </w:rPr>
  </w:style>
  <w:style w:type="paragraph" w:customStyle="1" w:styleId="31">
    <w:name w:val="代码清单辅助样式3"/>
    <w:basedOn w:val="a8"/>
    <w:link w:val="32"/>
    <w:pPr>
      <w:tabs>
        <w:tab w:val="left" w:pos="2095"/>
        <w:tab w:val="center" w:pos="4535"/>
      </w:tabs>
      <w:spacing w:beforeLines="150" w:before="150" w:afterLines="50" w:after="50"/>
    </w:pPr>
    <w:rPr>
      <w:sz w:val="24"/>
      <w:szCs w:val="24"/>
    </w:rPr>
  </w:style>
  <w:style w:type="character" w:customStyle="1" w:styleId="22">
    <w:name w:val="代码清单辅助样式2 字符"/>
    <w:basedOn w:val="a5"/>
    <w:link w:val="21"/>
  </w:style>
  <w:style w:type="character" w:customStyle="1" w:styleId="aa">
    <w:name w:val="题注 字符"/>
    <w:basedOn w:val="a5"/>
    <w:link w:val="a8"/>
    <w:uiPriority w:val="35"/>
    <w:qFormat/>
    <w:rPr>
      <w:rFonts w:cstheme="majorBidi"/>
      <w:b/>
      <w:sz w:val="20"/>
      <w:szCs w:val="20"/>
    </w:rPr>
  </w:style>
  <w:style w:type="character" w:customStyle="1" w:styleId="32">
    <w:name w:val="代码清单辅助样式3 字符"/>
    <w:basedOn w:val="aa"/>
    <w:link w:val="31"/>
    <w:qFormat/>
    <w:rPr>
      <w:rFonts w:cstheme="majorBidi"/>
      <w:b/>
      <w:sz w:val="20"/>
      <w:szCs w:val="20"/>
    </w:rPr>
  </w:style>
  <w:style w:type="paragraph" w:customStyle="1" w:styleId="aff1">
    <w:name w:val="图片"/>
    <w:next w:val="a1"/>
    <w:link w:val="aff2"/>
    <w:qFormat/>
    <w:pPr>
      <w:keepNext/>
      <w:jc w:val="center"/>
    </w:pPr>
    <w:rPr>
      <w:kern w:val="2"/>
      <w:sz w:val="24"/>
      <w:szCs w:val="24"/>
    </w:rPr>
  </w:style>
  <w:style w:type="paragraph" w:customStyle="1" w:styleId="a1">
    <w:name w:val="图注"/>
    <w:basedOn w:val="a0"/>
    <w:next w:val="a4"/>
    <w:link w:val="aff3"/>
    <w:qFormat/>
    <w:pPr>
      <w:numPr>
        <w:ilvl w:val="8"/>
      </w:numPr>
      <w:spacing w:beforeLines="25" w:before="60" w:afterLines="50" w:after="120"/>
    </w:pPr>
  </w:style>
  <w:style w:type="paragraph" w:customStyle="1" w:styleId="a0">
    <w:name w:val="表注"/>
    <w:basedOn w:val="a4"/>
    <w:next w:val="a9"/>
    <w:link w:val="aff4"/>
    <w:qFormat/>
    <w:rsid w:val="00C4321E"/>
    <w:pPr>
      <w:keepNext/>
      <w:numPr>
        <w:ilvl w:val="7"/>
        <w:numId w:val="1"/>
      </w:numPr>
      <w:spacing w:beforeLines="50" w:before="120" w:after="60"/>
      <w:ind w:firstLineChars="0"/>
      <w:jc w:val="center"/>
    </w:pPr>
    <w:rPr>
      <w:b/>
      <w:sz w:val="22"/>
    </w:rPr>
  </w:style>
  <w:style w:type="paragraph" w:customStyle="1" w:styleId="23">
    <w:name w:val="创建图片辅助样式2"/>
    <w:link w:val="24"/>
    <w:pPr>
      <w:spacing w:line="240" w:lineRule="exact"/>
      <w:jc w:val="center"/>
    </w:pPr>
    <w:rPr>
      <w:rFonts w:cstheme="majorBidi"/>
      <w:b/>
      <w:kern w:val="2"/>
    </w:rPr>
  </w:style>
  <w:style w:type="character" w:customStyle="1" w:styleId="aff2">
    <w:name w:val="图片 字符"/>
    <w:basedOn w:val="a5"/>
    <w:link w:val="aff1"/>
    <w:qFormat/>
  </w:style>
  <w:style w:type="character" w:customStyle="1" w:styleId="24">
    <w:name w:val="创建图片辅助样式2 字符"/>
    <w:basedOn w:val="aa"/>
    <w:link w:val="23"/>
    <w:qFormat/>
    <w:rPr>
      <w:rFonts w:cstheme="majorBidi"/>
      <w:b/>
      <w:sz w:val="20"/>
      <w:szCs w:val="20"/>
    </w:rPr>
  </w:style>
  <w:style w:type="paragraph" w:customStyle="1" w:styleId="aff5">
    <w:name w:val="创建表格辅助样式"/>
    <w:basedOn w:val="a8"/>
    <w:next w:val="a9"/>
    <w:link w:val="aff6"/>
    <w:pPr>
      <w:keepNext/>
    </w:pPr>
  </w:style>
  <w:style w:type="character" w:customStyle="1" w:styleId="aff6">
    <w:name w:val="创建表格辅助样式 字符"/>
    <w:basedOn w:val="aa"/>
    <w:link w:val="aff5"/>
    <w:qFormat/>
    <w:rPr>
      <w:rFonts w:cstheme="majorBidi"/>
      <w:b/>
      <w:sz w:val="20"/>
      <w:szCs w:val="20"/>
    </w:rPr>
  </w:style>
  <w:style w:type="paragraph" w:customStyle="1" w:styleId="Step">
    <w:name w:val="Step流程"/>
    <w:link w:val="Step0"/>
    <w:pPr>
      <w:numPr>
        <w:numId w:val="5"/>
      </w:numPr>
      <w:wordWrap w:val="0"/>
      <w:topLinePunct/>
      <w:spacing w:beforeLines="50" w:before="50" w:afterLines="50" w:after="50"/>
      <w:ind w:leftChars="100" w:left="200" w:hangingChars="100" w:hanging="100"/>
      <w:contextualSpacing/>
      <w:jc w:val="both"/>
    </w:pPr>
    <w:rPr>
      <w:kern w:val="2"/>
      <w:sz w:val="24"/>
      <w:szCs w:val="24"/>
    </w:rPr>
  </w:style>
  <w:style w:type="character" w:customStyle="1" w:styleId="Step0">
    <w:name w:val="Step流程 字符"/>
    <w:basedOn w:val="afa"/>
    <w:link w:val="Step"/>
    <w:qFormat/>
  </w:style>
  <w:style w:type="paragraph" w:customStyle="1" w:styleId="41">
    <w:name w:val="代码清单辅助样式4"/>
    <w:link w:val="42"/>
    <w:pPr>
      <w:shd w:val="clear" w:color="auto" w:fill="FFFFFF"/>
      <w:wordWrap w:val="0"/>
      <w:topLinePunct/>
      <w:autoSpaceDE w:val="0"/>
      <w:autoSpaceDN w:val="0"/>
      <w:adjustRightInd w:val="0"/>
      <w:spacing w:line="192" w:lineRule="auto"/>
    </w:pPr>
    <w:rPr>
      <w:kern w:val="2"/>
      <w:sz w:val="21"/>
      <w:szCs w:val="24"/>
    </w:rPr>
  </w:style>
  <w:style w:type="character" w:customStyle="1" w:styleId="42">
    <w:name w:val="代码清单辅助样式4 字符"/>
    <w:basedOn w:val="a5"/>
    <w:link w:val="41"/>
    <w:qFormat/>
    <w:rPr>
      <w:sz w:val="21"/>
      <w:shd w:val="clear" w:color="auto" w:fill="FFFFFF"/>
    </w:rPr>
  </w:style>
  <w:style w:type="character" w:customStyle="1" w:styleId="MTEquationSection">
    <w:name w:val="MTEquationSection"/>
    <w:basedOn w:val="a5"/>
    <w:rPr>
      <w:vanish/>
      <w:color w:val="FF0000"/>
    </w:rPr>
  </w:style>
  <w:style w:type="paragraph" w:customStyle="1" w:styleId="MTDisplayEquation">
    <w:name w:val="MTDisplayEquation"/>
    <w:basedOn w:val="a4"/>
    <w:next w:val="a4"/>
    <w:link w:val="MTDisplayEquation0"/>
    <w:pPr>
      <w:tabs>
        <w:tab w:val="center" w:pos="4540"/>
        <w:tab w:val="right" w:pos="9080"/>
      </w:tabs>
    </w:pPr>
    <w:rPr>
      <w:rFonts w:eastAsia="Microsoft YaHei UI Light"/>
    </w:rPr>
  </w:style>
  <w:style w:type="character" w:customStyle="1" w:styleId="MTDisplayEquation0">
    <w:name w:val="MTDisplayEquation 字符"/>
    <w:basedOn w:val="a5"/>
    <w:link w:val="MTDisplayEquation"/>
    <w:qFormat/>
    <w:rPr>
      <w:rFonts w:eastAsia="Microsoft YaHei UI Light"/>
    </w:rPr>
  </w:style>
  <w:style w:type="paragraph" w:customStyle="1" w:styleId="aff7">
    <w:name w:val="行间公式辅助样式"/>
    <w:next w:val="a4"/>
    <w:link w:val="aff8"/>
    <w:qFormat/>
    <w:pPr>
      <w:jc w:val="center"/>
    </w:pPr>
    <w:rPr>
      <w:kern w:val="2"/>
      <w:sz w:val="24"/>
      <w:szCs w:val="24"/>
    </w:rPr>
  </w:style>
  <w:style w:type="character" w:customStyle="1" w:styleId="aff8">
    <w:name w:val="行间公式辅助样式 字符"/>
    <w:basedOn w:val="a5"/>
    <w:link w:val="aff7"/>
    <w:qFormat/>
  </w:style>
  <w:style w:type="table" w:customStyle="1" w:styleId="MTEBNumberedEquation">
    <w:name w:val="MTEBNumberedEquation"/>
    <w:basedOn w:val="a6"/>
    <w:qFormat/>
    <w:tblPr>
      <w:tblCellSpacing w:w="0" w:type="dxa"/>
    </w:tblPr>
    <w:trPr>
      <w:cantSplit/>
      <w:tblCellSpacing w:w="0" w:type="dxa"/>
    </w:trPr>
    <w:tcPr>
      <w:shd w:val="clear" w:color="auto" w:fill="auto"/>
      <w:tcMar>
        <w:top w:w="0" w:type="dxa"/>
        <w:left w:w="0" w:type="dxa"/>
        <w:bottom w:w="0" w:type="dxa"/>
        <w:right w:w="0" w:type="dxa"/>
      </w:tcMar>
    </w:tcPr>
  </w:style>
  <w:style w:type="character" w:customStyle="1" w:styleId="aff4">
    <w:name w:val="表注 字符"/>
    <w:basedOn w:val="a5"/>
    <w:link w:val="a0"/>
    <w:qFormat/>
    <w:rsid w:val="00C4321E"/>
    <w:rPr>
      <w:b/>
      <w:kern w:val="2"/>
      <w:sz w:val="22"/>
      <w:szCs w:val="24"/>
    </w:rPr>
  </w:style>
  <w:style w:type="character" w:customStyle="1" w:styleId="aff3">
    <w:name w:val="图注 字符"/>
    <w:basedOn w:val="aff4"/>
    <w:link w:val="a1"/>
    <w:qFormat/>
    <w:rPr>
      <w:rFonts w:eastAsia="楷体"/>
      <w:b/>
      <w:kern w:val="2"/>
      <w:sz w:val="22"/>
      <w:szCs w:val="24"/>
    </w:rPr>
  </w:style>
  <w:style w:type="character" w:customStyle="1" w:styleId="60">
    <w:name w:val="标题 6 字符"/>
    <w:basedOn w:val="a5"/>
    <w:link w:val="6"/>
    <w:uiPriority w:val="9"/>
    <w:qFormat/>
    <w:rPr>
      <w:rFonts w:cstheme="majorBidi"/>
      <w:b/>
      <w:bCs/>
    </w:rPr>
  </w:style>
  <w:style w:type="character" w:customStyle="1" w:styleId="70">
    <w:name w:val="标题 7 字符"/>
    <w:basedOn w:val="a5"/>
    <w:link w:val="7"/>
    <w:uiPriority w:val="9"/>
    <w:qFormat/>
    <w:rPr>
      <w:b/>
      <w:bCs/>
    </w:rPr>
  </w:style>
  <w:style w:type="character" w:customStyle="1" w:styleId="ad">
    <w:name w:val="纯文本 字符"/>
    <w:basedOn w:val="a5"/>
    <w:link w:val="ac"/>
    <w:qFormat/>
    <w:rPr>
      <w:rFonts w:ascii="宋体" w:hAnsi="Courier New" w:cs="Courier New"/>
      <w:szCs w:val="21"/>
    </w:rPr>
  </w:style>
  <w:style w:type="paragraph" w:customStyle="1" w:styleId="25">
    <w:name w:val="样式2"/>
    <w:basedOn w:val="af0"/>
    <w:link w:val="26"/>
    <w:pPr>
      <w:widowControl w:val="0"/>
      <w:spacing w:line="240" w:lineRule="auto"/>
      <w:ind w:firstLineChars="0" w:firstLine="0"/>
    </w:pPr>
    <w:rPr>
      <w:rFonts w:cs="Times New Roman"/>
    </w:rPr>
  </w:style>
  <w:style w:type="character" w:customStyle="1" w:styleId="26">
    <w:name w:val="样式2 字符"/>
    <w:basedOn w:val="af1"/>
    <w:link w:val="25"/>
    <w:qFormat/>
    <w:rPr>
      <w:rFonts w:cs="Times New Roman"/>
      <w:sz w:val="18"/>
      <w:szCs w:val="18"/>
    </w:rPr>
  </w:style>
  <w:style w:type="table" w:customStyle="1" w:styleId="33">
    <w:name w:val="样式3"/>
    <w:basedOn w:val="a6"/>
    <w:uiPriority w:val="99"/>
    <w:rsid w:val="00EA2CE9"/>
    <w:tblPr/>
    <w:tblStylePr w:type="firstRow">
      <w:rPr>
        <w:rFonts w:eastAsia="宋体"/>
        <w:b/>
        <w:sz w:val="24"/>
      </w:rPr>
    </w:tblStylePr>
  </w:style>
  <w:style w:type="paragraph" w:customStyle="1" w:styleId="aff9">
    <w:name w:val="图表标题"/>
    <w:basedOn w:val="a4"/>
    <w:next w:val="a4"/>
    <w:rsid w:val="009F7A3E"/>
    <w:pPr>
      <w:widowControl w:val="0"/>
      <w:spacing w:beforeLines="50" w:before="50" w:afterLines="50" w:after="50"/>
      <w:ind w:firstLineChars="0" w:firstLine="0"/>
      <w:jc w:val="center"/>
    </w:pPr>
    <w:rPr>
      <w:b/>
      <w:sz w:val="21"/>
      <w:szCs w:val="21"/>
      <w14:ligatures w14:val="standardContextual"/>
    </w:rPr>
  </w:style>
  <w:style w:type="character" w:customStyle="1" w:styleId="AMEquationSection">
    <w:name w:val="AMEquationSection"/>
    <w:basedOn w:val="a5"/>
    <w:rsid w:val="006D1505"/>
    <w:rPr>
      <w:vanish/>
      <w:color w:val="FF0000"/>
      <w:sz w:val="32"/>
      <w:szCs w:val="48"/>
    </w:rPr>
  </w:style>
  <w:style w:type="paragraph" w:customStyle="1" w:styleId="AMDisplayEquation">
    <w:name w:val="AMDisplayEquation"/>
    <w:basedOn w:val="a4"/>
    <w:next w:val="a4"/>
    <w:link w:val="AMDisplayEquation0"/>
    <w:rsid w:val="006D1505"/>
    <w:pPr>
      <w:tabs>
        <w:tab w:val="center" w:pos="4540"/>
        <w:tab w:val="right" w:pos="9080"/>
      </w:tabs>
      <w:ind w:firstLineChars="0" w:firstLine="0"/>
    </w:pPr>
  </w:style>
  <w:style w:type="character" w:customStyle="1" w:styleId="AMDisplayEquation0">
    <w:name w:val="AMDisplayEquation 字符"/>
    <w:basedOn w:val="a5"/>
    <w:link w:val="AMDisplayEquation"/>
    <w:rsid w:val="006D1505"/>
    <w:rPr>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169292">
      <w:bodyDiv w:val="1"/>
      <w:marLeft w:val="0"/>
      <w:marRight w:val="0"/>
      <w:marTop w:val="0"/>
      <w:marBottom w:val="0"/>
      <w:divBdr>
        <w:top w:val="none" w:sz="0" w:space="0" w:color="auto"/>
        <w:left w:val="none" w:sz="0" w:space="0" w:color="auto"/>
        <w:bottom w:val="none" w:sz="0" w:space="0" w:color="auto"/>
        <w:right w:val="none" w:sz="0" w:space="0" w:color="auto"/>
      </w:divBdr>
    </w:div>
    <w:div w:id="550845196">
      <w:bodyDiv w:val="1"/>
      <w:marLeft w:val="0"/>
      <w:marRight w:val="0"/>
      <w:marTop w:val="0"/>
      <w:marBottom w:val="0"/>
      <w:divBdr>
        <w:top w:val="none" w:sz="0" w:space="0" w:color="auto"/>
        <w:left w:val="none" w:sz="0" w:space="0" w:color="auto"/>
        <w:bottom w:val="none" w:sz="0" w:space="0" w:color="auto"/>
        <w:right w:val="none" w:sz="0" w:space="0" w:color="auto"/>
      </w:divBdr>
    </w:div>
    <w:div w:id="16980026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Type="http://schemas.openxmlformats.org/officeDocument/2006/relationships/settings" Id="rId26" Target="settings.xml"/><Relationship Type="http://schemas.openxmlformats.org/officeDocument/2006/relationships/webSettings" Id="rId25" Target="webSettings.xml"/><Relationship Type="http://schemas.openxmlformats.org/officeDocument/2006/relationships/footnotes" Id="rId22" Target="footnotes.xml"/><Relationship Type="http://schemas.openxmlformats.org/officeDocument/2006/relationships/comments" Id="rId21" Target="comments.xml"/><Relationship Type="http://schemas.openxmlformats.org/officeDocument/2006/relationships/image" Id="rId62" Target="media/rId62.png"/><Relationship Type="http://schemas.openxmlformats.org/officeDocument/2006/relationships/image" Id="rId59" Target="media/rId59.png"/><Relationship Type="http://schemas.openxmlformats.org/officeDocument/2006/relationships/image" Id="rId56" Target="media/rId56.png"/><Relationship Type="http://schemas.openxmlformats.org/officeDocument/2006/relationships/image" Id="rId32" Target="media/rId32.png"/><Relationship Type="http://schemas.openxmlformats.org/officeDocument/2006/relationships/image" Id="rId44" Target="media/rId44.png"/><Relationship Type="http://schemas.openxmlformats.org/officeDocument/2006/relationships/image" Id="rId53" Target="media/rId53.png"/><Relationship Type="http://schemas.openxmlformats.org/officeDocument/2006/relationships/image" Id="rId35" Target="media/rId35.png"/><Relationship Type="http://schemas.openxmlformats.org/officeDocument/2006/relationships/image" Id="rId29" Target="media/rId29.png"/><Relationship Type="http://schemas.openxmlformats.org/officeDocument/2006/relationships/image" Id="rId47" Target="media/rId47.png"/><Relationship Type="http://schemas.openxmlformats.org/officeDocument/2006/relationships/image" Id="rId50" Target="media/rId50.png"/><Relationship Type="http://schemas.openxmlformats.org/officeDocument/2006/relationships/image" Id="rId41" Target="media/rId41.png"/><Relationship Type="http://schemas.openxmlformats.org/officeDocument/2006/relationships/image" Id="rId38" Target="media/rId38.png"/><Relationship Type="http://schemas.openxmlformats.org/officeDocument/2006/relationships/image" Id="rId101" Target="media/rId101.png"/><Relationship Type="http://schemas.openxmlformats.org/officeDocument/2006/relationships/image" Id="rId95" Target="media/rId95.png"/><Relationship Type="http://schemas.openxmlformats.org/officeDocument/2006/relationships/image" Id="rId98" Target="media/rId98.png"/><Relationship Type="http://schemas.openxmlformats.org/officeDocument/2006/relationships/image" Id="rId74" Target="media/rId74.png"/><Relationship Type="http://schemas.openxmlformats.org/officeDocument/2006/relationships/image" Id="rId83" Target="media/rId83.png"/><Relationship Type="http://schemas.openxmlformats.org/officeDocument/2006/relationships/image" Id="rId92" Target="media/rId92.png"/><Relationship Type="http://schemas.openxmlformats.org/officeDocument/2006/relationships/image" Id="rId68" Target="media/rId68.png"/><Relationship Type="http://schemas.openxmlformats.org/officeDocument/2006/relationships/image" Id="rId86" Target="media/rId86.png"/><Relationship Type="http://schemas.openxmlformats.org/officeDocument/2006/relationships/image" Id="rId65" Target="media/rId65.png"/><Relationship Type="http://schemas.openxmlformats.org/officeDocument/2006/relationships/image" Id="rId77" Target="media/rId77.png"/><Relationship Type="http://schemas.openxmlformats.org/officeDocument/2006/relationships/image" Id="rId89" Target="media/rId89.png"/><Relationship Type="http://schemas.openxmlformats.org/officeDocument/2006/relationships/image" Id="rId71" Target="media/rId71.png"/><Relationship Type="http://schemas.openxmlformats.org/officeDocument/2006/relationships/image" Id="rId80" Target="media/rId80.png"/><Relationship Type="http://schemas.openxmlformats.org/officeDocument/2006/relationships/image" Id="rId140" Target="media/rId140.png"/><Relationship Type="http://schemas.openxmlformats.org/officeDocument/2006/relationships/image" Id="rId134" Target="media/rId134.png"/><Relationship Type="http://schemas.openxmlformats.org/officeDocument/2006/relationships/image" Id="rId137" Target="media/rId137.png"/><Relationship Type="http://schemas.openxmlformats.org/officeDocument/2006/relationships/image" Id="rId113" Target="media/rId113.png"/><Relationship Type="http://schemas.openxmlformats.org/officeDocument/2006/relationships/image" Id="rId122" Target="media/rId122.png"/><Relationship Type="http://schemas.openxmlformats.org/officeDocument/2006/relationships/image" Id="rId107" Target="media/rId107.png"/><Relationship Type="http://schemas.openxmlformats.org/officeDocument/2006/relationships/image" Id="rId131" Target="media/rId131.png"/><Relationship Type="http://schemas.openxmlformats.org/officeDocument/2006/relationships/image" Id="rId104" Target="media/rId104.png"/><Relationship Type="http://schemas.openxmlformats.org/officeDocument/2006/relationships/image" Id="rId116" Target="media/rId116.png"/><Relationship Type="http://schemas.openxmlformats.org/officeDocument/2006/relationships/image" Id="rId128" Target="media/rId128.png"/><Relationship Type="http://schemas.openxmlformats.org/officeDocument/2006/relationships/image" Id="rId125" Target="media/rId125.png"/><Relationship Type="http://schemas.openxmlformats.org/officeDocument/2006/relationships/image" Id="rId110" Target="media/rId110.png"/><Relationship Type="http://schemas.openxmlformats.org/officeDocument/2006/relationships/image" Id="rId119" Target="media/rId119.png"/><Relationship Id="rIdAutoMM1" Type="http://schemas.openxmlformats.org/officeDocument/2006/relationships/styles" Target="styles.xml"/><Relationship Id="rIdAutoMM2" Type="http://schemas.openxmlformats.org/officeDocument/2006/relationships/numbering" Target="numbering.xml"/><Relationship Id="rIdAutoMM3" Type="http://schemas.openxmlformats.org/officeDocument/2006/relationships/fontTable" Target="fontTable.xml"/><Relationship Id="rIdAutoMM4" Type="http://schemas.openxmlformats.org/officeDocument/2006/relationships/theme" Target="theme/theme1.xml"/><Relationship Id="rIdAutoMM5" Type="http://schemas.openxmlformats.org/officeDocument/2006/relationships/header" Target="automm_template/word/header1.xml"/><Relationship Id="rIdAutoMM6" Type="http://schemas.openxmlformats.org/officeDocument/2006/relationships/header" Target="automm_template/word/header4.xml"/><Relationship Id="rIdAutoMM7" Type="http://schemas.openxmlformats.org/officeDocument/2006/relationships/header" Target="automm_template/word/header3.xml"/><Relationship Id="rIdAutoMM8" Type="http://schemas.openxmlformats.org/officeDocument/2006/relationships/footer" Target="automm_template/word/footer1.xml"/><Relationship Id="rIdAutoMM9" Type="http://schemas.openxmlformats.org/officeDocument/2006/relationships/footer" Target="automm_template/word/footer4.xml"/><Relationship Id="rIdAutoMM10" Type="http://schemas.openxmlformats.org/officeDocument/2006/relationships/footer" Target="automm_template/word/footer3.xml"/></Relationships>
</file>

<file path=word/_rels/footnotes.xml.rels><?xml version="1.0" encoding="UTF-8"?><Relationships xmlns="http://schemas.openxmlformats.org/package/2006/relationships" />
</file>

<file path=word/_rels/settings.xml.rels><?xml version='1.0' encoding='UTF-8' standalone='yes'?>
<Relationships xmlns="http://schemas.openxmlformats.org/package/2006/relationships"/>
</file>

<file path=word/automm_template/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BC17C8" w14:textId="77777777" w:rsidR="009F7A3E" w:rsidRDefault="009F7A3E">
    <w:pPr>
      <w:pStyle w:val="ae"/>
    </w:pPr>
  </w:p>
</w:ftr>
</file>

<file path=word/automm_template/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A9907F" w14:textId="77777777" w:rsidR="009F7A3E" w:rsidRDefault="009F7A3E">
    <w:pPr>
      <w:pStyle w:val="ae"/>
    </w:pPr>
  </w:p>
</w:ftr>
</file>

<file path=word/automm_template/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56178621"/>
      <w:docPartObj>
        <w:docPartGallery w:val="Page Numbers (Bottom of Page)"/>
        <w:docPartUnique/>
      </w:docPartObj>
    </w:sdtPr>
    <w:sdtContent>
      <w:p w14:paraId="20149D07" w14:textId="219C3F3E" w:rsidR="001A21BE" w:rsidRDefault="001A21BE" w:rsidP="00A65EAD">
        <w:pPr>
          <w:pStyle w:val="ae"/>
          <w:spacing w:after="120"/>
        </w:pPr>
        <w:r>
          <w:fldChar w:fldCharType="begin"/>
        </w:r>
        <w:r>
          <w:instrText>PAGE   \* MERGEFORMAT</w:instrText>
        </w:r>
        <w:r>
          <w:fldChar w:fldCharType="separate"/>
        </w:r>
        <w:r w:rsidR="00B8020F" w:rsidRPr="00B8020F">
          <w:rPr>
            <w:noProof/>
            <w:lang w:val="zh-CN"/>
          </w:rPr>
          <w:t>4</w:t>
        </w:r>
        <w:r>
          <w:fldChar w:fldCharType="end"/>
        </w:r>
      </w:p>
    </w:sdtContent>
  </w:sdt>
</w:ftr>
</file>

<file path=word/automm_template/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CCDD68" w14:textId="77777777" w:rsidR="009F7A3E" w:rsidRDefault="009F7A3E">
    <w:pPr>
      <w:pStyle w:val="af0"/>
      <w:ind w:firstLine="360"/>
    </w:pPr>
  </w:p>
</w:hdr>
</file>

<file path=word/automm_template/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B7CA08" w14:textId="77777777" w:rsidR="009F7A3E" w:rsidRDefault="009F7A3E">
    <w:pPr>
      <w:pStyle w:val="af0"/>
      <w:ind w:firstLine="360"/>
    </w:pPr>
  </w:p>
</w:hdr>
</file>

<file path=word/automm_template/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7BCE47" w14:textId="77777777" w:rsidR="00BD5DB4" w:rsidRDefault="00BD5DB4" w:rsidP="00C975CC">
    <w:pPr>
      <w:spacing w:before="60" w:after="60"/>
      <w:ind w:firstLine="480"/>
    </w:pPr>
  </w:p>
</w:hdr>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论文_报告_模板_20220401_v5.dotm</Template>
  <TotalTime>479</TotalTime>
  <Pages>7</Pages>
  <Words>355</Words>
  <Characters>2027</Characters>
  <Application>Microsoft Office Word</Application>
  <DocSecurity>0</DocSecurity>
  <Lines>16</Lines>
  <Paragraphs>4</Paragraphs>
  <ScaleCrop>false</ScaleCrop>
  <Company/>
  <LinksUpToDate>false</LinksUpToDate>
  <CharactersWithSpaces>2378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2026-08-31T09:10:53Z</dcterms:created>
  <dcterms:modified xsi:type="dcterms:W3CDTF">2026-08-31T09:10:53Z</dcterms:modified>
</cp:coreProperties>
</file>

<file path=docProps/custom.xml><?xml version="1.0" encoding="utf-8"?>
<Properties xmlns="http://schemas.openxmlformats.org/officeDocument/2006/custom-properties" xmlns:vt="http://schemas.openxmlformats.org/officeDocument/2006/docPropsVTypes"/>
</file>