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247BA0"/>
          <w:sz w:val="40"/>
        </w:rPr>
        <w:t>2026 年第三季度</w:t>
      </w:r>
    </w:p>
    <w:p>
      <w:pPr>
        <w:jc w:val="center"/>
      </w:pPr>
      <w:r>
        <w:rPr>
          <w:rFonts w:ascii="Noto Sans CJK SC" w:hAnsi="Noto Sans CJK SC" w:eastAsia="Noto Sans CJK SC"/>
          <w:b/>
          <w:color w:val="123B62"/>
          <w:sz w:val="56"/>
        </w:rPr>
        <w:t>门店运营分析报告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B6B7A"/>
          <w:sz w:val="22"/>
        </w:rPr>
        <w:t>运营管理部  |  统计周期：2026 年 7 月 1 日至 9 月 30 日</w:t>
      </w:r>
    </w:p>
    <w:p/>
    <w:p/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7370"/>
            <w:shd w:fill="EAF1F7"/>
            <w:tcMar>
              <w:top w:w="180" w:type="dxa"/>
              <w:start w:w="260" w:type="dxa"/>
              <w:bottom w:w="180" w:type="dxa"/>
              <w:end w:w="260" w:type="dxa"/>
            </w:tcMar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123B62"/>
                <w:sz w:val="21"/>
              </w:rPr>
              <w:t>编制说明：本报告使用合理的示例数据，仅用于管理分析演示，不代表真实经营结果。</w:t>
            </w:r>
          </w:p>
        </w:tc>
      </w:tr>
    </w:tbl>
    <w:p>
      <w:r>
        <w:br w:type="page"/>
      </w:r>
    </w:p>
    <w:p>
      <w:pPr>
        <w:spacing w:before="260" w:after="120"/>
      </w:pPr>
      <w:r>
        <w:rPr>
          <w:rFonts w:ascii="Noto Sans CJK SC" w:hAnsi="Noto Sans CJK SC" w:eastAsia="Noto Sans CJK SC"/>
          <w:b/>
          <w:color w:val="123B62"/>
          <w:sz w:val="30"/>
        </w:rPr>
        <w:t>一、执行摘要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b w:val="0"/>
          <w:color w:val="203040"/>
          <w:sz w:val="21"/>
        </w:rPr>
        <w:t>2026 年第三季度，4 家门店合计实现营收 1,400.0 万元，累计客流 175,750 人次，加权平均客单价 79.66 元/人次。整体呈现“旗舰店拉动规模、中心店保持稳态、社区店承压、商圈店具备效率改善空间”的结构性特征。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fill="EAF1F7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47BA0"/>
                <w:sz w:val="18"/>
              </w:rPr>
              <w:t>关键规模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3B62"/>
                <w:sz w:val="32"/>
              </w:rPr>
              <w:t>1,400.0 万元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5B6B7A"/>
                <w:sz w:val="17"/>
              </w:rPr>
              <w:t>季度总营收</w:t>
            </w:r>
          </w:p>
        </w:tc>
        <w:tc>
          <w:tcPr>
            <w:tcW w:type="dxa" w:w="3118"/>
            <w:shd w:fill="EAF1F7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47BA0"/>
                <w:sz w:val="18"/>
              </w:rPr>
              <w:t>经营效率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3B62"/>
                <w:sz w:val="32"/>
              </w:rPr>
              <w:t>79.66 元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5B6B7A"/>
                <w:sz w:val="17"/>
              </w:rPr>
              <w:t>加权平均客单价</w:t>
            </w:r>
          </w:p>
        </w:tc>
        <w:tc>
          <w:tcPr>
            <w:tcW w:type="dxa" w:w="3118"/>
            <w:shd w:fill="EAF1F7"/>
            <w:tcMar>
              <w:top w:w="150" w:type="dxa"/>
              <w:start w:w="140" w:type="dxa"/>
              <w:bottom w:w="150" w:type="dxa"/>
              <w:end w:w="140" w:type="dxa"/>
            </w:tcMar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47BA0"/>
                <w:sz w:val="18"/>
              </w:rPr>
              <w:t>主要矛盾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3B62"/>
                <w:sz w:val="32"/>
              </w:rPr>
              <w:t>营收差距 258 万元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5B6B7A"/>
                <w:sz w:val="17"/>
              </w:rPr>
              <w:t>旗舰店与社区店差额</w:t>
            </w:r>
          </w:p>
        </w:tc>
      </w:tr>
    </w:tbl>
    <w:p>
      <w:pPr>
        <w:spacing w:before="160" w:after="120"/>
      </w:pPr>
      <w:r>
        <w:rPr>
          <w:rFonts w:ascii="Noto Sans CJK SC" w:hAnsi="Noto Sans CJK SC" w:eastAsia="Noto Sans CJK SC"/>
          <w:b/>
          <w:color w:val="123B62"/>
          <w:sz w:val="24"/>
        </w:rPr>
        <w:t>管理层需关注的三项判断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/>
          <w:color w:val="123B62"/>
          <w:sz w:val="21"/>
        </w:rPr>
        <w:t>规模集中：</w:t>
      </w:r>
      <w:r>
        <w:rPr>
          <w:rFonts w:ascii="Noto Sans CJK SC" w:hAnsi="Noto Sans CJK SC" w:eastAsia="Noto Sans CJK SC"/>
          <w:b w:val="0"/>
          <w:color w:val="203040"/>
          <w:sz w:val="21"/>
        </w:rPr>
        <w:t>旗舰店以 486.0 万元营收贡献 34.7%，是当前增长与服务能力配置的关键承载点。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/>
          <w:color w:val="123B62"/>
          <w:sz w:val="21"/>
        </w:rPr>
        <w:t>效率分化：</w:t>
      </w:r>
      <w:r>
        <w:rPr>
          <w:rFonts w:ascii="Noto Sans CJK SC" w:hAnsi="Noto Sans CJK SC" w:eastAsia="Noto Sans CJK SC"/>
          <w:b w:val="0"/>
          <w:color w:val="203040"/>
          <w:sz w:val="21"/>
        </w:rPr>
        <w:t>中心店客单价 80.00 元，高于整体均值；社区店客单价 63.33 元，是拖累单位产出的主要来源。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/>
          <w:color w:val="123B62"/>
          <w:sz w:val="21"/>
        </w:rPr>
        <w:t>增长抓手明确：</w:t>
      </w:r>
      <w:r>
        <w:rPr>
          <w:rFonts w:ascii="Noto Sans CJK SC" w:hAnsi="Noto Sans CJK SC" w:eastAsia="Noto Sans CJK SC"/>
          <w:b w:val="0"/>
          <w:color w:val="203040"/>
          <w:sz w:val="21"/>
        </w:rPr>
        <w:t>社区店需优先修复客单价，商圈店需同步提升客流与连带销售，避免仅依靠折扣引流。</w:t>
      </w:r>
    </w:p>
    <w:p>
      <w:pPr>
        <w:spacing w:before="260" w:after="120"/>
      </w:pPr>
      <w:r>
        <w:rPr>
          <w:rFonts w:ascii="Noto Sans CJK SC" w:hAnsi="Noto Sans CJK SC" w:eastAsia="Noto Sans CJK SC"/>
          <w:b/>
          <w:color w:val="123B62"/>
          <w:sz w:val="30"/>
        </w:rPr>
        <w:t>二、核心经营数据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color w:val="203040"/>
          <w:sz w:val="21"/>
        </w:rPr>
        <w:t>口径说明：营收以万元计，客流为季度到店人次，客单价=营收÷客流；合计行客单价为加权平均值。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86"/>
            <w:shd w:fill="123B62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门店</w:t>
            </w:r>
          </w:p>
        </w:tc>
        <w:tc>
          <w:tcPr>
            <w:tcW w:type="dxa" w:w="2041"/>
            <w:shd w:fill="123B62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营收（万元）</w:t>
            </w:r>
          </w:p>
        </w:tc>
        <w:tc>
          <w:tcPr>
            <w:tcW w:type="dxa" w:w="2268"/>
            <w:shd w:fill="123B62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客流（人次）</w:t>
            </w:r>
          </w:p>
        </w:tc>
        <w:tc>
          <w:tcPr>
            <w:tcW w:type="dxa" w:w="2466"/>
            <w:shd w:fill="123B62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客单价（元/人次）</w:t>
            </w:r>
          </w:p>
        </w:tc>
      </w:tr>
      <w:tr>
        <w:tc>
          <w:tcPr>
            <w:tcW w:type="dxa" w:w="1786"/>
            <w:shd w:fill="FFFFFF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旗舰店</w:t>
            </w:r>
          </w:p>
        </w:tc>
        <w:tc>
          <w:tcPr>
            <w:tcW w:type="dxa" w:w="2041"/>
            <w:shd w:fill="FFFFFF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486.0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54,000</w:t>
            </w:r>
          </w:p>
        </w:tc>
        <w:tc>
          <w:tcPr>
            <w:tcW w:type="dxa" w:w="2466"/>
            <w:shd w:fill="FFFFFF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90.00</w:t>
            </w:r>
          </w:p>
        </w:tc>
      </w:tr>
      <w:tr>
        <w:tc>
          <w:tcPr>
            <w:tcW w:type="dxa" w:w="1786"/>
            <w:shd w:fill="F6F8FB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中心店</w:t>
            </w:r>
          </w:p>
        </w:tc>
        <w:tc>
          <w:tcPr>
            <w:tcW w:type="dxa" w:w="2041"/>
            <w:shd w:fill="F6F8FB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372.0</w:t>
            </w:r>
          </w:p>
        </w:tc>
        <w:tc>
          <w:tcPr>
            <w:tcW w:type="dxa" w:w="2268"/>
            <w:shd w:fill="F6F8FB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46,500</w:t>
            </w:r>
          </w:p>
        </w:tc>
        <w:tc>
          <w:tcPr>
            <w:tcW w:type="dxa" w:w="2466"/>
            <w:shd w:fill="F6F8FB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80.00</w:t>
            </w:r>
          </w:p>
        </w:tc>
      </w:tr>
      <w:tr>
        <w:tc>
          <w:tcPr>
            <w:tcW w:type="dxa" w:w="1786"/>
            <w:shd w:fill="FFFFFF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社区店</w:t>
            </w:r>
          </w:p>
        </w:tc>
        <w:tc>
          <w:tcPr>
            <w:tcW w:type="dxa" w:w="2041"/>
            <w:shd w:fill="FFFFFF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228.0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36,000</w:t>
            </w:r>
          </w:p>
        </w:tc>
        <w:tc>
          <w:tcPr>
            <w:tcW w:type="dxa" w:w="2466"/>
            <w:shd w:fill="FFFFFF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63.33</w:t>
            </w:r>
          </w:p>
        </w:tc>
      </w:tr>
      <w:tr>
        <w:tc>
          <w:tcPr>
            <w:tcW w:type="dxa" w:w="1786"/>
            <w:shd w:fill="F6F8FB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商圈店</w:t>
            </w:r>
          </w:p>
        </w:tc>
        <w:tc>
          <w:tcPr>
            <w:tcW w:type="dxa" w:w="2041"/>
            <w:shd w:fill="F6F8FB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314.0</w:t>
            </w:r>
          </w:p>
        </w:tc>
        <w:tc>
          <w:tcPr>
            <w:tcW w:type="dxa" w:w="2268"/>
            <w:shd w:fill="F6F8FB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39,250</w:t>
            </w:r>
          </w:p>
        </w:tc>
        <w:tc>
          <w:tcPr>
            <w:tcW w:type="dxa" w:w="2466"/>
            <w:shd w:fill="F6F8FB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80.00</w:t>
            </w:r>
          </w:p>
        </w:tc>
      </w:tr>
      <w:tr>
        <w:tc>
          <w:tcPr>
            <w:tcW w:type="dxa" w:w="1786"/>
            <w:shd w:fill="DCE8F2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23B62"/>
                <w:sz w:val="19"/>
              </w:rPr>
              <w:t>合计/加权平均</w:t>
            </w:r>
          </w:p>
        </w:tc>
        <w:tc>
          <w:tcPr>
            <w:tcW w:type="dxa" w:w="2041"/>
            <w:shd w:fill="DCE8F2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23B62"/>
                <w:sz w:val="19"/>
              </w:rPr>
              <w:t>1,400.0</w:t>
            </w:r>
          </w:p>
        </w:tc>
        <w:tc>
          <w:tcPr>
            <w:tcW w:type="dxa" w:w="2268"/>
            <w:shd w:fill="DCE8F2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23B62"/>
                <w:sz w:val="19"/>
              </w:rPr>
              <w:t>175,750</w:t>
            </w:r>
          </w:p>
        </w:tc>
        <w:tc>
          <w:tcPr>
            <w:tcW w:type="dxa" w:w="2466"/>
            <w:shd w:fill="DCE8F2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23B62"/>
                <w:sz w:val="19"/>
              </w:rPr>
              <w:t>79.66</w:t>
            </w:r>
          </w:p>
        </w:tc>
      </w:tr>
    </w:tbl>
    <w:p>
      <w:pPr>
        <w:spacing w:before="260" w:after="120"/>
      </w:pPr>
      <w:r>
        <w:rPr>
          <w:rFonts w:ascii="Noto Sans CJK SC" w:hAnsi="Noto Sans CJK SC" w:eastAsia="Noto Sans CJK SC"/>
          <w:b/>
          <w:color w:val="123B62"/>
          <w:sz w:val="30"/>
        </w:rPr>
        <w:t>三、营收对比与经营解读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986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6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B6B7A"/>
          <w:sz w:val="18"/>
        </w:rPr>
        <w:t>图 1  各门店营收对比（数据单位：万元）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color w:val="203040"/>
          <w:sz w:val="21"/>
        </w:rPr>
        <w:t>图表显示，旗舰店营收居首，较社区店高 258.0 万元；中心店与商圈店分别处于第二、第三梯队。营收排名与客流规模大体一致，但客单价差异说明不同门店仍存在可改善的交易质量空间。</w:t>
      </w:r>
    </w:p>
    <w:p>
      <w:pPr>
        <w:spacing w:before="260" w:after="120"/>
      </w:pPr>
      <w:r>
        <w:rPr>
          <w:rFonts w:ascii="Noto Sans CJK SC" w:hAnsi="Noto Sans CJK SC" w:eastAsia="Noto Sans CJK SC"/>
          <w:b/>
          <w:color w:val="123B62"/>
          <w:sz w:val="30"/>
        </w:rPr>
        <w:t>四、问题分析</w:t>
      </w:r>
    </w:p>
    <w:p>
      <w:pPr>
        <w:spacing w:before="100" w:after="40"/>
      </w:pPr>
      <w:r>
        <w:rPr>
          <w:rFonts w:ascii="Noto Sans CJK SC" w:hAnsi="Noto Sans CJK SC" w:eastAsia="Noto Sans CJK SC"/>
          <w:b/>
          <w:color w:val="123B62"/>
          <w:sz w:val="22"/>
        </w:rPr>
        <w:t>1. 门店经营表现不均衡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color w:val="203040"/>
          <w:sz w:val="21"/>
        </w:rPr>
        <w:t>旗舰店与社区店营收相差 258.0 万元，约为社区店营收的 1.13 倍。规模差异会放大资源配置与人员能力的差距，需避免低效门店长期陷入“低客流、低客单”的循环。</w:t>
      </w:r>
    </w:p>
    <w:p>
      <w:pPr>
        <w:spacing w:before="100" w:after="40"/>
      </w:pPr>
      <w:r>
        <w:rPr>
          <w:rFonts w:ascii="Noto Sans CJK SC" w:hAnsi="Noto Sans CJK SC" w:eastAsia="Noto Sans CJK SC"/>
          <w:b/>
          <w:color w:val="123B62"/>
          <w:sz w:val="22"/>
        </w:rPr>
        <w:t>2. 社区店单位产出偏低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color w:val="203040"/>
          <w:sz w:val="21"/>
        </w:rPr>
        <w:t>社区店客单价 63.33 元，较整体加权均值低 16.33 元，较中心店低 16.67 元。问题重点不是单纯客流，而是商品组合、连带销售和会员触达的转化质量。</w:t>
      </w:r>
    </w:p>
    <w:p>
      <w:pPr>
        <w:spacing w:before="100" w:after="40"/>
      </w:pPr>
      <w:r>
        <w:rPr>
          <w:rFonts w:ascii="Noto Sans CJK SC" w:hAnsi="Noto Sans CJK SC" w:eastAsia="Noto Sans CJK SC"/>
          <w:b/>
          <w:color w:val="123B62"/>
          <w:sz w:val="22"/>
        </w:rPr>
        <w:t>3. 商圈店流量价值有待释放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color w:val="203040"/>
          <w:sz w:val="21"/>
        </w:rPr>
        <w:t>商圈店客流为 39,250 人次，低于中心店 7,250 人次；客单价 80.00 元与中心店持平。其短板更偏向稳定获客和高峰时段承接，应以商圈联合活动与排班匹配提升来客规模。</w:t>
      </w:r>
    </w:p>
    <w:p>
      <w:pPr>
        <w:spacing w:before="100" w:after="40"/>
      </w:pPr>
      <w:r>
        <w:rPr>
          <w:rFonts w:ascii="Noto Sans CJK SC" w:hAnsi="Noto Sans CJK SC" w:eastAsia="Noto Sans CJK SC"/>
          <w:b/>
          <w:color w:val="123B62"/>
          <w:sz w:val="22"/>
        </w:rPr>
        <w:t>4. 领先门店经验尚未机制化复制</w:t>
      </w:r>
    </w:p>
    <w:p>
      <w:pPr>
        <w:spacing w:after="100" w:line="324" w:lineRule="auto"/>
      </w:pPr>
      <w:r>
        <w:rPr>
          <w:rFonts w:ascii="Noto Sans CJK SC" w:hAnsi="Noto Sans CJK SC" w:eastAsia="Noto Sans CJK SC"/>
          <w:b w:val="0"/>
          <w:color w:val="203040"/>
          <w:sz w:val="21"/>
        </w:rPr>
        <w:t>旗舰店的客流和营收均领先，但报告数据不足以证明做法已被标准化。若不提炼导购话术、陈列组合与会员召回节奏，其他门店难以复用成熟打法。</w:t>
      </w:r>
    </w:p>
    <w:p>
      <w:pPr>
        <w:spacing w:before="260" w:after="120"/>
      </w:pPr>
      <w:r>
        <w:rPr>
          <w:rFonts w:ascii="Noto Sans CJK SC" w:hAnsi="Noto Sans CJK SC" w:eastAsia="Noto Sans CJK SC"/>
          <w:b/>
          <w:color w:val="123B62"/>
          <w:sz w:val="30"/>
        </w:rPr>
        <w:t>五、改进建议与行动计划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389"/>
            <w:shd w:fill="123B62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行动周期</w:t>
            </w:r>
          </w:p>
        </w:tc>
        <w:tc>
          <w:tcPr>
            <w:tcW w:type="dxa" w:w="4054"/>
            <w:shd w:fill="123B62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1843"/>
            <w:shd w:fill="123B62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责任方向</w:t>
            </w:r>
          </w:p>
        </w:tc>
        <w:tc>
          <w:tcPr>
            <w:tcW w:type="dxa" w:w="1843"/>
            <w:shd w:fill="123B62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衡量指标</w:t>
            </w:r>
          </w:p>
        </w:tc>
      </w:tr>
      <w:tr>
        <w:tc>
          <w:tcPr>
            <w:tcW w:type="dxa" w:w="1389"/>
            <w:shd w:fill="FFFFFF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7"/>
              </w:rPr>
              <w:t>短期（30 天）</w:t>
            </w:r>
          </w:p>
        </w:tc>
        <w:tc>
          <w:tcPr>
            <w:tcW w:type="dxa" w:w="4054"/>
            <w:shd w:fill="FFFFFF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7"/>
              </w:rPr>
              <w:t>社区店开展高毛利组合陈列、加购话术训练与会员券二次触达；每周复盘重点 SKU 连带率。</w:t>
            </w:r>
          </w:p>
        </w:tc>
        <w:tc>
          <w:tcPr>
            <w:tcW w:type="dxa" w:w="1843"/>
            <w:shd w:fill="FFFFFF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7"/>
              </w:rPr>
              <w:t>店长、商品运营</w:t>
            </w:r>
          </w:p>
        </w:tc>
        <w:tc>
          <w:tcPr>
            <w:tcW w:type="dxa" w:w="1843"/>
            <w:shd w:fill="FFFFFF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7"/>
              </w:rPr>
              <w:t>客单价提升至 ≥68 元；会员复购率提升 ≥3 个百分点</w:t>
            </w:r>
          </w:p>
        </w:tc>
      </w:tr>
      <w:tr>
        <w:tc>
          <w:tcPr>
            <w:tcW w:type="dxa" w:w="1389"/>
            <w:shd w:fill="F6F8FB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7"/>
              </w:rPr>
              <w:t>短期（30 天）</w:t>
            </w:r>
          </w:p>
        </w:tc>
        <w:tc>
          <w:tcPr>
            <w:tcW w:type="dxa" w:w="4054"/>
            <w:shd w:fill="F6F8FB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7"/>
              </w:rPr>
              <w:t>商圈店按午间、晚间高峰重排班，叠加周边办公楼/商户定向引流。</w:t>
            </w:r>
          </w:p>
        </w:tc>
        <w:tc>
          <w:tcPr>
            <w:tcW w:type="dxa" w:w="1843"/>
            <w:shd w:fill="F6F8FB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7"/>
              </w:rPr>
              <w:t>店长、区域运营</w:t>
            </w:r>
          </w:p>
        </w:tc>
        <w:tc>
          <w:tcPr>
            <w:tcW w:type="dxa" w:w="1843"/>
            <w:shd w:fill="F6F8FB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7"/>
              </w:rPr>
              <w:t>周均客流较当前季度日均基线提升 ≥8%</w:t>
            </w:r>
          </w:p>
        </w:tc>
      </w:tr>
      <w:tr>
        <w:tc>
          <w:tcPr>
            <w:tcW w:type="dxa" w:w="1389"/>
            <w:shd w:fill="FFFFFF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7"/>
              </w:rPr>
              <w:t>中期（60 天）</w:t>
            </w:r>
          </w:p>
        </w:tc>
        <w:tc>
          <w:tcPr>
            <w:tcW w:type="dxa" w:w="4054"/>
            <w:shd w:fill="FFFFFF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7"/>
              </w:rPr>
              <w:t>提炼旗舰店陈列、导购和会员召回 SOP，在中心店、商圈店进行两周试运行并复盘。</w:t>
            </w:r>
          </w:p>
        </w:tc>
        <w:tc>
          <w:tcPr>
            <w:tcW w:type="dxa" w:w="1843"/>
            <w:shd w:fill="FFFFFF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7"/>
              </w:rPr>
              <w:t>区域经理、培训负责人</w:t>
            </w:r>
          </w:p>
        </w:tc>
        <w:tc>
          <w:tcPr>
            <w:tcW w:type="dxa" w:w="1843"/>
            <w:shd w:fill="FFFFFF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7"/>
              </w:rPr>
              <w:t>试点门店连带率提升 ≥5%；SOP 执行达成率 ≥90%</w:t>
            </w:r>
          </w:p>
        </w:tc>
      </w:tr>
      <w:tr>
        <w:tc>
          <w:tcPr>
            <w:tcW w:type="dxa" w:w="1389"/>
            <w:shd w:fill="F6F8FB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7"/>
              </w:rPr>
              <w:t>季度内持续</w:t>
            </w:r>
          </w:p>
        </w:tc>
        <w:tc>
          <w:tcPr>
            <w:tcW w:type="dxa" w:w="4054"/>
            <w:shd w:fill="F6F8FB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7"/>
              </w:rPr>
              <w:t>建立门店周经营看板，围绕营收、客流、客单价、连带率和会员复购开展红黄灯管理。</w:t>
            </w:r>
          </w:p>
        </w:tc>
        <w:tc>
          <w:tcPr>
            <w:tcW w:type="dxa" w:w="1843"/>
            <w:shd w:fill="F6F8FB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7"/>
              </w:rPr>
              <w:t>运营管理部、各店长</w:t>
            </w:r>
          </w:p>
        </w:tc>
        <w:tc>
          <w:tcPr>
            <w:tcW w:type="dxa" w:w="1843"/>
            <w:shd w:fill="F6F8FB"/>
            <w:vAlign w:val="center"/>
            <w:tcBorders>
              <w:top w:val="single" w:sz="6" w:color="D7E0E9"/>
              <w:left w:val="single" w:sz="6" w:color="D7E0E9"/>
              <w:bottom w:val="single" w:sz="6" w:color="D7E0E9"/>
              <w:right w:val="single" w:sz="6" w:color="D7E0E9"/>
            </w:tcBorders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3040"/>
                <w:sz w:val="17"/>
              </w:rPr>
              <w:t>四店周复盘覆盖率 100%；异常指标 48 小时内形成纠偏动作</w:t>
            </w:r>
          </w:p>
        </w:tc>
      </w:tr>
    </w:tbl>
    <w:p>
      <w:pPr>
        <w:spacing w:before="260" w:after="120"/>
      </w:pPr>
      <w:r>
        <w:rPr>
          <w:rFonts w:ascii="Noto Sans CJK SC" w:hAnsi="Noto Sans CJK SC" w:eastAsia="Noto Sans CJK SC"/>
          <w:b/>
          <w:color w:val="123B62"/>
          <w:sz w:val="30"/>
        </w:rPr>
        <w:t>六、结论与下季度跟踪机制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/>
          <w:color w:val="123B62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color w:val="203040"/>
          <w:sz w:val="21"/>
        </w:rPr>
        <w:t>旗舰店稳规模，复制成熟经营打法。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/>
          <w:color w:val="123B62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color w:val="203040"/>
          <w:sz w:val="21"/>
        </w:rPr>
        <w:t>社区店提客单，商圈店扩有效客流。</w:t>
      </w:r>
    </w:p>
    <w:p>
      <w:pPr>
        <w:pStyle w:val="ListBullet"/>
        <w:spacing w:after="80" w:line="300" w:lineRule="auto"/>
      </w:pPr>
      <w:r>
        <w:rPr>
          <w:rFonts w:ascii="Noto Sans CJK SC" w:hAnsi="Noto Sans CJK SC" w:eastAsia="Noto Sans CJK SC"/>
          <w:b/>
          <w:color w:val="123B62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color w:val="203040"/>
          <w:sz w:val="21"/>
        </w:rPr>
        <w:t>周月季联动复盘，追踪五项核心指标。</w:t>
      </w:r>
    </w:p>
    <w:p>
      <w:pPr>
        <w:jc w:val="right"/>
      </w:pPr>
      <w:r>
        <w:rPr>
          <w:rFonts w:ascii="Noto Sans CJK SC" w:hAnsi="Noto Sans CJK SC" w:eastAsia="Noto Sans CJK SC"/>
          <w:b w:val="0"/>
          <w:color w:val="5B6B7A"/>
          <w:sz w:val="17"/>
        </w:rPr>
        <w:t>数据来源：示例经营数据；分析口径：季度累计。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B6B7A"/>
        <w:sz w:val="17"/>
      </w:rPr>
      <w:t xml:space="preserve">示例数据，仅用于管理分析演示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B6B7A"/>
        <w:sz w:val="17"/>
      </w:rPr>
      <w:t>内部管理资料 | 2026 年第三季度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