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19 — Prototipe 3: Pemantauan SEC/IKE Ternormalisasi &amp; Detektor Anomali (Fase 4)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12 Oktober 2026 · </w:t>
      </w:r>
      <w:r>
        <w:rPr>
          <w:rFonts w:ascii="Calibri" w:hAnsi="Calibri"/>
          <w:b/>
          <w:i w:val="0"/>
          <w:color w:val="212121"/>
          <w:sz w:val="21"/>
        </w:rPr>
        <w:t>Engine: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app/engines/sec_monitor.py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(Engine ⑩b; Engine ⑩ bulanan/IKE gedung tetap ada) · </w:t>
      </w:r>
      <w:r>
        <w:rPr>
          <w:rFonts w:ascii="Calibri" w:hAnsi="Calibri"/>
          <w:b/>
          <w:i w:val="0"/>
          <w:color w:val="212121"/>
          <w:sz w:val="21"/>
        </w:rPr>
        <w:t>Migrasi: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019_energy_operation_logs.sql</w:t>
      </w:r>
      <w:r>
        <w:rPr>
          <w:rFonts w:ascii="Calibri" w:hAnsi="Calibri"/>
          <w:b w:val="0"/>
          <w:i w:val="0"/>
          <w:color w:val="212121"/>
          <w:sz w:val="21"/>
        </w:rPr>
        <w:t xml:space="preserve"> · </w:t>
      </w:r>
      <w:r>
        <w:rPr>
          <w:rFonts w:ascii="Calibri" w:hAnsi="Calibri"/>
          <w:b/>
          <w:i w:val="0"/>
          <w:color w:val="212121"/>
          <w:sz w:val="21"/>
        </w:rPr>
        <w:t>Riset: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docs/15</w:t>
      </w:r>
      <w:r>
        <w:rPr>
          <w:rFonts w:ascii="Calibri" w:hAnsi="Calibri"/>
          <w:b w:val="0"/>
          <w:i w:val="0"/>
          <w:color w:val="212121"/>
          <w:sz w:val="21"/>
        </w:rPr>
        <w:t xml:space="preserve"> §8</w:t>
      </w:r>
    </w:p>
    <w:p>
      <w:pPr>
        <w:pStyle w:val="Heading2"/>
      </w:pPr>
      <w:r/>
      <w:r>
        <w:rPr>
          <w:color w:val="2E7D32"/>
        </w:rPr>
        <w:t>1. Data masuk</w:t>
      </w:r>
    </w:p>
    <w:p>
      <w:r>
        <w:rPr>
          <w:rFonts w:ascii="Calibri" w:hAnsi="Calibri"/>
          <w:b w:val="0"/>
          <w:i w:val="0"/>
          <w:color w:val="212121"/>
          <w:sz w:val="21"/>
        </w:rPr>
        <w:t>Log harian/shift (</w:t>
      </w:r>
      <w:r>
        <w:rPr>
          <w:rFonts w:ascii="Consolas" w:hAnsi="Consolas"/>
          <w:b w:val="0"/>
          <w:i w:val="0"/>
          <w:color w:val="00695C"/>
          <w:sz w:val="20"/>
        </w:rPr>
        <w:t>energy_operation_logs</w:t>
      </w:r>
      <w:r>
        <w:rPr>
          <w:rFonts w:ascii="Calibri" w:hAnsi="Calibri"/>
          <w:b w:val="0"/>
          <w:i w:val="0"/>
          <w:color w:val="212121"/>
          <w:sz w:val="21"/>
        </w:rPr>
        <w:t>) berisi: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kWh total, kWh pengering, kWh hammer mill;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solar (L), bahan bakar biomassa (kg + komoditas);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jam operasi, ton produk, kadar air umpan, kapasitas terpasang (t/jam).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Input bisa satu log lewat form atau banyak log sekaligus dengan tempel CSV. Pengiriman idempoten per </w:t>
      </w:r>
      <w:r>
        <w:rPr>
          <w:rFonts w:ascii="Consolas" w:hAnsi="Consolas"/>
          <w:b w:val="0"/>
          <w:i w:val="0"/>
          <w:color w:val="00695C"/>
          <w:sz w:val="20"/>
        </w:rPr>
        <w:t>client_event_id</w:t>
      </w:r>
      <w:r>
        <w:rPr>
          <w:rFonts w:ascii="Calibri" w:hAnsi="Calibri"/>
          <w:b w:val="0"/>
          <w:i w:val="0"/>
          <w:color w:val="212121"/>
          <w:sz w:val="21"/>
        </w:rPr>
        <w:t>, dan slot (fasilitas, tanggal, shift) yang sudah ada tidak ditimpa. Form memakai antrean offline yang sudah ada.</w:t>
      </w:r>
    </w:p>
    <w:p>
      <w:pPr>
        <w:pStyle w:val="Heading2"/>
      </w:pPr>
      <w:r/>
      <w:r>
        <w:rPr>
          <w:color w:val="2E7D32"/>
        </w:rPr>
        <w:t>2. Metode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Langkah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Rumus / aturan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 [MJ] = kWh·3,6 + solar·36,0 MJ/L + biomassa·LHV_ar (dari master)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IPCC 2006 NCV solar 43,0 MJ/kg × 0,84 kg/L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 aktual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 / ton produk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protokol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Baseline (EnB)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 ≈ β_h·jam + β_t·ton + β_w·air diuapkan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 50006:2023 (*relevant variables*)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β_w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energi pengeringan per kg air (3,0 MJ/kg, parameter):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dari fisika, bukan regresi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Thek &amp; Obernberger 2004 (2,9–4,0 MJ/kg)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β_h (beban tetap/jam)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daya idle terukur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(tang ampere saat mesin jalan kosong), atau NNLS bila utilisasi di periode acuan bervariasi ≥ 10 %. Bila tidak keduanya, sistem memberi peringatan eksplisit.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audit energi lapangan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Normalisasi beban parsial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EnPI = E aktual / E model; SEC ternormalisasi = E model / ton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DOE EnPI tool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Batas bergerak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residual relatif &gt; rata-rata bergerak (7 log normal) +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2σ peringatan / 3σ aksi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σ minimum = σ baseline; log yang dialarm tidak ikut ke rata-rata.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Montgomery 2019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Degradasi pelan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CUSUM residual (k = 0,5σ, h = 5σ) dan median 5 log terakhir &gt; 1σ, sehingga lonjakan tunggal bukan drift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Page 1954; docs/15 §8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3. Indikator pemborosan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Pengering, bahan basah.</w:t>
      </w:r>
      <w:r>
        <w:rPr>
          <w:rFonts w:ascii="Calibri" w:hAnsi="Calibri"/>
          <w:b w:val="0"/>
          <w:i w:val="0"/>
          <w:color w:val="212121"/>
          <w:sz w:val="21"/>
        </w:rPr>
        <w:t xml:space="preserve"> Energi = β_w × (air diuapkan − air pada MC acuan pembelian).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Secara model energi ini "wajar", karena kadar air adalah *relevant variable*, sehingga tidak dihitung sebagai alarm.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Namun energi ini </w:t>
      </w:r>
      <w:r>
        <w:rPr>
          <w:rFonts w:ascii="Calibri" w:hAnsi="Calibri"/>
          <w:b/>
          <w:i w:val="0"/>
          <w:color w:val="212121"/>
          <w:sz w:val="21"/>
        </w:rPr>
        <w:t>dilaporkan terpisah</w:t>
      </w:r>
      <w:r>
        <w:rPr>
          <w:rFonts w:ascii="Calibri" w:hAnsi="Calibri"/>
          <w:b w:val="0"/>
          <w:i w:val="0"/>
          <w:color w:val="212121"/>
          <w:sz w:val="21"/>
        </w:rPr>
        <w:t xml:space="preserve"> sebagai pemborosan yang dapat dikendalikan di hulu: refraksi pengepul, penjemuran, gudang beratap.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Contoh uji: MC 24 % vs acuan 12 % menghabiskan ±47 % energi hari itu.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Hammer mill.</w:t>
      </w:r>
      <w:r>
        <w:rPr>
          <w:rFonts w:ascii="Calibri" w:hAnsi="Calibri"/>
          <w:b w:val="0"/>
          <w:i w:val="0"/>
          <w:color w:val="212121"/>
          <w:sz w:val="21"/>
        </w:rPr>
        <w:t xml:space="preserve"> kWh/t dibandingkan median baseline (literatur 13–20 kWh/t pada saringan 6,4 mm):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naik &gt; 25 % dengan kadar air normal → "gesekan/aus" (hammer tumpul, saringan sobek/tersumbat, bearing/sabuk);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naik bersama kadar air tinggi → "basah, keringkan dulu".</w:t>
      </w:r>
    </w:p>
    <w:p>
      <w:pPr>
        <w:pStyle w:val="Heading2"/>
      </w:pPr>
      <w:r/>
      <w:r>
        <w:rPr>
          <w:color w:val="2E7D32"/>
        </w:rPr>
        <w:t>4. Rekomendasi audit energi (ISO 50001:2018)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Kartu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Klausul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Tekan kadar air bahan masuk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8.1 Pengendalian operasional · 6.3 Tinjauan energi (SEU pengering)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Perawatan hammer mill / keringkan sebelum giling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8.1 · 10.2 Perbaikan berkelanjutan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Investigasi log anomali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9.1 Pemantauan · 10.1 Tindakan korektif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Degradasi efisiensi persisten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10.2 · 6.5 EnB (penyesuaian non-rutin)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Kumpulkan bahan dulu, operasikan penuh (utilisasi &lt; 60 %)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6.2 Sasaran energi · 8.1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5. Uji</w:t>
      </w:r>
    </w:p>
    <w:p>
      <w:r>
        <w:rPr>
          <w:rFonts w:ascii="Consolas" w:hAnsi="Consolas"/>
          <w:b w:val="0"/>
          <w:i w:val="0"/>
          <w:color w:val="00695C"/>
          <w:sz w:val="20"/>
        </w:rPr>
        <w:t>tests/test_sec_monitor.py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Skenario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Beban parsial 40 %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SEC mentah naik &gt; 30 %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tanpa alarm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(EnPI ≈ 1)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Injeksi konsumsi +35 %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alarm aksi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Bahan basah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indikator pengering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Hammer aus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indikator gesekan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Utilisasi acuan konstan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peringatan, atau daya idle dipakai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Drift +1,2 %/hari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terdeteksi CUSUM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ingest idempoten &amp; analisis per peran</w:t>
            </w:r>
          </w:p>
        </w:tc>
      </w:tr>
    </w:tbl>
    <w:p/>
    <w:p>
      <w:r>
        <w:rPr>
          <w:rFonts w:ascii="Consolas" w:hAnsi="Consolas"/>
          <w:b w:val="0"/>
          <w:i w:val="0"/>
          <w:color w:val="00695C"/>
          <w:sz w:val="20"/>
        </w:rPr>
        <w:t>tests/e2e_multibiomass.spec.ts</w:t>
      </w:r>
      <w:r>
        <w:rPr>
          <w:rFonts w:ascii="Calibri" w:hAnsi="Calibri"/>
          <w:b w:val="0"/>
          <w:i w:val="0"/>
          <w:color w:val="212121"/>
          <w:sz w:val="21"/>
        </w:rPr>
        <w:t xml:space="preserve">: impor CSV 30 hari menghasilkan alarm aksi di hari lonjakan, tidak ada alarm di hari beban parsial, </w:t>
      </w:r>
      <w:r>
        <w:rPr>
          <w:rFonts w:ascii="Calibri" w:hAnsi="Calibri"/>
          <w:b/>
          <w:i w:val="0"/>
          <w:color w:val="212121"/>
          <w:sz w:val="21"/>
        </w:rPr>
        <w:t>bukan</w:t>
      </w:r>
      <w:r>
        <w:rPr>
          <w:rFonts w:ascii="Calibri" w:hAnsi="Calibri"/>
          <w:b w:val="0"/>
          <w:i w:val="0"/>
          <w:color w:val="212121"/>
          <w:sz w:val="21"/>
        </w:rPr>
        <w:t xml:space="preserve"> "drift" untuk lonjakan tunggal, ada kartu ISO 50001, dan grafik tampil.</w:t>
      </w:r>
    </w:p>
    <w:p>
      <w:pPr>
        <w:pStyle w:val="Heading2"/>
      </w:pPr>
      <w:r/>
      <w:r>
        <w:rPr>
          <w:color w:val="2E7D32"/>
        </w:rPr>
        <w:t>6. Catatan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Minimal 8 log; idealnya ≥ 14 log acuan yang mencakup variasi beban.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Ukur daya idle sekali per mesin (dan setelah penggantian peralatan) agar normalisasi beban parsial andal.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Engine ⑩ bulanan (IKE gedung, Permen ESDM 13/2012) tetap dipakai untuk penilaian gedung. Prototipe 3 khusus untuk beban proses.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