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18 — Prototipe 2: Energi Riil Basis Kadar Air Lapangan &amp; Pohon Keputusan Teknologi (Fase 3)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12 Oktober 2026 · </w:t>
      </w:r>
      <w:r>
        <w:rPr>
          <w:rFonts w:ascii="Calibri" w:hAnsi="Calibri"/>
          <w:b/>
          <w:i w:val="0"/>
          <w:color w:val="212121"/>
          <w:sz w:val="21"/>
        </w:rPr>
        <w:t>Engine: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app/engines/conversion_energy.py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(Engine ⑨b, pelengkap Engine ⑨ WtE generik) · </w:t>
      </w:r>
      <w:r>
        <w:rPr>
          <w:rFonts w:ascii="Calibri" w:hAnsi="Calibri"/>
          <w:b/>
          <w:i w:val="0"/>
          <w:color w:val="212121"/>
          <w:sz w:val="21"/>
        </w:rPr>
        <w:t>Riset: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docs/15</w:t>
      </w:r>
      <w:r>
        <w:rPr>
          <w:rFonts w:ascii="Calibri" w:hAnsi="Calibri"/>
          <w:b w:val="0"/>
          <w:i w:val="0"/>
          <w:color w:val="212121"/>
          <w:sz w:val="21"/>
        </w:rPr>
        <w:t xml:space="preserve"> §3–5</w:t>
      </w:r>
    </w:p>
    <w:p>
      <w:pPr>
        <w:pStyle w:val="Heading2"/>
      </w:pPr>
      <w:r/>
      <w:r>
        <w:rPr>
          <w:color w:val="2E7D32"/>
        </w:rPr>
        <w:t>1. Rumus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Besaran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Rumus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kalor as-received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LHV_ar = LHV_db·(1 − MC) −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2,443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·MC (MJ/kg, MC fraksi)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 18125:2017 (24,43 J/g per % air). Protokol menulis 2,442; selisihnya &lt; 0,05 %, dan 2,443 dipakai agar konsisten dengan ISO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Energi termal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E_th [GJ] = massa [kg] × LHV_ar / 1000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Listrik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E_el [MWh] = massa [kg] × LHV_ar × η / 3600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protokol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η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turbin uap kecil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22 %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sistem terintegrasi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28 %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co-firing PLTU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36 %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(parameter)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IRENA 2012; IRENA-ETSAP E21 (co-firing 36–44 %)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CO₂ dihindari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E_el × EF grid JAMALI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0,87 tCO₂/MWh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Kepmen ESDM 163.K/2021 (CM, data 2019); bukan batas PTBAE 0,911–1,297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Pengeringan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diuapkan ke MC kerja rute × 3,0 MJ/kg (≈ 1,2 × panas laten) dikurangkan dari energi rute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limbah.drying_mj_per_kg_water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2. Pohon keputusan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Produk karbon/silika bernilai tinggi?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SiO₂ abu ≥ 85 % dan abu ≥ 12 % → pirolisis lambat: </w:t>
      </w:r>
      <w:r>
        <w:rPr>
          <w:rFonts w:ascii="Calibri" w:hAnsi="Calibri"/>
          <w:b/>
          <w:i w:val="0"/>
          <w:color w:val="212121"/>
          <w:sz w:val="21"/>
        </w:rPr>
        <w:t>biochar + bio-silika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(sekam).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FC ≥ 20 % dan abu ≤ 3 % → pirolisis: </w:t>
      </w:r>
      <w:r>
        <w:rPr>
          <w:rFonts w:ascii="Calibri" w:hAnsi="Calibri"/>
          <w:b/>
          <w:i w:val="0"/>
          <w:color w:val="212121"/>
          <w:sz w:val="21"/>
        </w:rPr>
        <w:t>arang/karbon aktif</w:t>
      </w:r>
      <w:r>
        <w:rPr>
          <w:rFonts w:ascii="Calibri" w:hAnsi="Calibri"/>
          <w:b w:val="0"/>
          <w:i w:val="0"/>
          <w:color w:val="212121"/>
          <w:sz w:val="21"/>
        </w:rPr>
        <w:t xml:space="preserve"> (tempurung). Di Indonesia keduanya bernilai jauh di atas listrik.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Lolos spesifikasi co-firing dan dekat PLTU?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Syarat: GCV ar ≥ 3.009 kcal/kg, MC ≤ 25 %, Cl ≤ 0,2 %, indeks alkali ≤ 0,34, jarak ≤ 150 km (parameter). Spesifikasi mengacu pada woodchip PLTU Teluk Sirih.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→ </w:t>
      </w:r>
      <w:r>
        <w:rPr>
          <w:rFonts w:ascii="Calibri" w:hAnsi="Calibri"/>
          <w:b/>
          <w:i w:val="0"/>
          <w:color w:val="212121"/>
          <w:sz w:val="21"/>
        </w:rPr>
        <w:t>Co-firing PLTU</w:t>
      </w:r>
      <w:r>
        <w:rPr>
          <w:rFonts w:ascii="Calibri" w:hAnsi="Calibri"/>
          <w:b w:val="0"/>
          <w:i w:val="0"/>
          <w:color w:val="212121"/>
          <w:sz w:val="21"/>
        </w:rPr>
        <w:t>, rute dengan η tertinggi.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Skala ≥ 50 t/hari, MC ≤ 55 %, abu ≤ 20 %?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</w:t>
      </w:r>
      <w:r>
        <w:rPr>
          <w:rFonts w:ascii="Calibri" w:hAnsi="Calibri"/>
          <w:b/>
          <w:i w:val="0"/>
          <w:color w:val="212121"/>
          <w:sz w:val="21"/>
        </w:rPr>
        <w:t>pembakaran langsung + turbin uap</w:t>
      </w:r>
      <w:r>
        <w:rPr>
          <w:rFonts w:ascii="Calibri" w:hAnsi="Calibri"/>
          <w:b w:val="0"/>
          <w:i w:val="0"/>
          <w:color w:val="212121"/>
          <w:sz w:val="21"/>
        </w:rPr>
        <w:t>, misalnya boiler ampas tebu di pabrik gula.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Abu ≤ 6 %, MC dapat dikeringkan, skala 2–25 t/hari?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</w:t>
      </w:r>
      <w:r>
        <w:rPr>
          <w:rFonts w:ascii="Calibri" w:hAnsi="Calibri"/>
          <w:b/>
          <w:i w:val="0"/>
          <w:color w:val="212121"/>
          <w:sz w:val="21"/>
        </w:rPr>
        <w:t>gasifikasi + mesin gas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Selain itu → </w:t>
      </w:r>
      <w:r>
        <w:rPr>
          <w:rFonts w:ascii="Calibri" w:hAnsi="Calibri"/>
          <w:b/>
          <w:i w:val="0"/>
          <w:color w:val="212121"/>
          <w:sz w:val="21"/>
        </w:rPr>
        <w:t>pembakaran skala kecil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panas proses.</w:t>
      </w:r>
    </w:p>
    <w:p>
      <w:r>
        <w:rPr>
          <w:rFonts w:ascii="Calibri" w:hAnsi="Calibri"/>
          <w:b w:val="0"/>
          <w:i w:val="0"/>
          <w:color w:val="212121"/>
          <w:sz w:val="21"/>
        </w:rPr>
        <w:t>Setiap rute menampilkan daftar cek ✅/⛔ beserta angkanya, jadi pengguna melihat alasan rute lain tidak dipilih.</w:t>
      </w:r>
    </w:p>
    <w:p>
      <w:pPr>
        <w:pStyle w:val="Heading2"/>
      </w:pPr>
      <w:r/>
      <w:r>
        <w:rPr>
          <w:color w:val="2E7D32"/>
        </w:rPr>
        <w:t>3. Hasil uji (data master literatur)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Kasus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Rute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 1.000 t/bln, MC 12 %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Pirolisis (biochar + bio-silika)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LHV_ar 12,3 MJ/kg; setara ±751 MWh/bln pada η 22 % bila dibakar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Serbuk sengon kering (MC 20 %) 40 km dari PLTU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Co-firing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Gagal co-firing bila MC 45 % atau jarak 400 km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Ampas tebu 3.000 t/bln (MC 50 %)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Pembakaran langsung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LHV_ar hanya 7,5 MJ/kg; energi pengeringan besar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 300 t/bln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Gasifikasi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Peringatan: indeks alkali &gt; 0,34 → campur dengan bahan rendah alkali (Prototipe 1)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4. API &amp; UI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POST /api/v1/factory/conversion/analyse</w:t>
      </w:r>
      <w:r>
        <w:rPr>
          <w:rFonts w:ascii="Calibri" w:hAnsi="Calibri"/>
          <w:b w:val="0"/>
          <w:i w:val="0"/>
          <w:color w:val="212121"/>
          <w:sz w:val="21"/>
        </w:rPr>
        <w:t xml:space="preserve"> (pabrik/admin; auditor baca): input komoditas, tonase per bulan, MC aktual (kosong = tipikal master), jarak ke PLTU.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UI pabrik: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kartu LHV ar (MJ dan kcal), energi termal GJ/bulan, listrik pada η 22/28/36 %, dan CO₂ dihindari;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jejak pohon keputusan;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tabel semua rute beserta syarat dan hasilnya (MWh, tCO₂, GJ pengeringan, biochar/bio-silika, atau panas).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**Parameter baru (</w:t>
      </w:r>
      <w:r>
        <w:rPr>
          <w:rFonts w:ascii="Consolas" w:hAnsi="Consolas"/>
          <w:b w:val="0"/>
          <w:i w:val="0"/>
          <w:color w:val="00695C"/>
          <w:sz w:val="20"/>
        </w:rPr>
        <w:t>limbah.*</w:t>
      </w:r>
      <w:r>
        <w:rPr>
          <w:rFonts w:ascii="Calibri" w:hAnsi="Calibri"/>
          <w:b w:val="0"/>
          <w:i w:val="0"/>
          <w:color w:val="212121"/>
          <w:sz w:val="21"/>
        </w:rPr>
        <w:t xml:space="preserve">):** </w:t>
      </w:r>
      <w:r>
        <w:rPr>
          <w:rFonts w:ascii="Consolas" w:hAnsi="Consolas"/>
          <w:b w:val="0"/>
          <w:i w:val="0"/>
          <w:color w:val="00695C"/>
          <w:sz w:val="20"/>
        </w:rPr>
        <w:t>eta_el_steam_small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eta_el_integrated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eta_el_cofiring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cofiring_gcv_min_kcal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cofiring_mc_max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cofiring_max_km</w:t>
      </w:r>
      <w:r>
        <w:rPr>
          <w:rFonts w:ascii="Calibri" w:hAnsi="Calibri"/>
          <w:b w:val="0"/>
          <w:i w:val="0"/>
          <w:color w:val="212121"/>
          <w:sz w:val="21"/>
        </w:rPr>
        <w:t>. Sumber EF grid dipertegas.</w:t>
      </w:r>
    </w:p>
    <w:p>
      <w:pPr>
        <w:pStyle w:val="Heading2"/>
      </w:pPr>
      <w:r/>
      <w:r>
        <w:rPr>
          <w:color w:val="2E7D32"/>
        </w:rPr>
        <w:t>5. Uji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tests/test_conversion_energy.py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(4): rumus protokol (LHV_ar, E_el, CO₂), bahan basah dan biaya pengeringan, pohon keputusan sesuai praktik lapangan, endpoint dan hak akses.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tests/e2e_multibiomass.spec.ts</w:t>
      </w:r>
      <w:r>
        <w:rPr>
          <w:rFonts w:ascii="Calibri" w:hAnsi="Calibri"/>
          <w:b w:val="0"/>
          <w:i w:val="0"/>
          <w:color w:val="212121"/>
          <w:sz w:val="21"/>
        </w:rPr>
        <w:t>: sekam → pirolisis; serbuk kering dekat PLTU → co-firing.</w:t>
      </w:r>
    </w:p>
    <w:p>
      <w:pPr>
        <w:pStyle w:val="Heading2"/>
      </w:pPr>
      <w:r/>
      <w:r>
        <w:rPr>
          <w:color w:val="2E7D32"/>
        </w:rPr>
        <w:t>6. Keterbatasan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Emisi dihindari ≠ removal karbon. Keduanya dilaporkan terpisah (GHG Protocol LSR); karbon biochar diklaim lewat alur F11.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Biaya modal (IRENA: stoker USD 1.880–4.260/kW) belum masuk ke keputusan. Ini kandidat lanjutan untuk analisis NPV.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Rincian OM/BM terpisah untuk JAMALI belum tersedia di sumber terbuka. Perbarui parameter EF bila ESDM menerbitkan nilai baru.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