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D00DF">
      <w:pPr>
        <w:widowControl w:val="0"/>
        <w:spacing w:after="0" w:line="240" w:lineRule="auto"/>
        <w:jc w:val="center"/>
        <w:rPr>
          <w:rFonts w:hint="eastAsia" w:ascii="宋体" w:hAnsi="宋体" w:eastAsia="宋体" w:cs="Times New Roman"/>
          <w:color w:val="000000"/>
          <w:kern w:val="2"/>
          <w:sz w:val="21"/>
          <w:szCs w:val="21"/>
          <w:lang w:eastAsia="zh-CN"/>
        </w:rPr>
      </w:pPr>
      <w:r>
        <w:rPr>
          <w:rFonts w:hint="eastAsia" w:ascii="宋体" w:hAnsi="宋体" w:eastAsia="宋体" w:cs="Times New Roman"/>
          <w:color w:val="000000"/>
          <w:kern w:val="2"/>
          <w:sz w:val="21"/>
          <w:szCs w:val="21"/>
          <w:lang w:eastAsia="zh-CN"/>
        </w:rPr>
        <w:drawing>
          <wp:inline distT="0" distB="0" distL="114300" distR="114300">
            <wp:extent cx="2682875" cy="648970"/>
            <wp:effectExtent l="0" t="0" r="9525" b="11430"/>
            <wp:docPr id="8"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logo"/>
                    <pic:cNvPicPr>
                      <a:picLocks noChangeAspect="1"/>
                    </pic:cNvPicPr>
                  </pic:nvPicPr>
                  <pic:blipFill>
                    <a:blip r:embed="rId7"/>
                    <a:srcRect l="20284" b="-197"/>
                    <a:stretch>
                      <a:fillRect/>
                    </a:stretch>
                  </pic:blipFill>
                  <pic:spPr>
                    <a:xfrm>
                      <a:off x="0" y="0"/>
                      <a:ext cx="2682875" cy="648970"/>
                    </a:xfrm>
                    <a:prstGeom prst="rect">
                      <a:avLst/>
                    </a:prstGeom>
                    <a:noFill/>
                    <a:ln>
                      <a:noFill/>
                    </a:ln>
                  </pic:spPr>
                </pic:pic>
              </a:graphicData>
            </a:graphic>
          </wp:inline>
        </w:drawing>
      </w:r>
    </w:p>
    <w:p w14:paraId="3D4037C4">
      <w:pPr>
        <w:widowControl w:val="0"/>
        <w:spacing w:after="0" w:line="240" w:lineRule="auto"/>
        <w:jc w:val="center"/>
        <w:rPr>
          <w:rFonts w:hint="eastAsia" w:ascii="宋体" w:hAnsi="宋体" w:eastAsia="宋体" w:cs="Times New Roman"/>
          <w:color w:val="000000"/>
          <w:kern w:val="2"/>
          <w:sz w:val="21"/>
          <w:szCs w:val="21"/>
          <w:lang w:eastAsia="zh-CN"/>
        </w:rPr>
      </w:pPr>
      <w:r>
        <w:rPr>
          <w:rFonts w:hint="eastAsia" w:ascii="宋体" w:hAnsi="宋体" w:eastAsia="宋体" w:cs="Times New Roman"/>
          <w:color w:val="000000"/>
          <w:kern w:val="2"/>
          <w:sz w:val="21"/>
          <w:szCs w:val="21"/>
          <w:lang w:eastAsia="zh-CN"/>
        </w:rPr>
        <w:t>本科毕业设计说明书</w:t>
      </w:r>
    </w:p>
    <w:p w14:paraId="302FA257">
      <w:pPr>
        <w:widowControl w:val="0"/>
        <w:spacing w:after="0" w:line="240" w:lineRule="auto"/>
        <w:jc w:val="center"/>
        <w:rPr>
          <w:rFonts w:hint="eastAsia" w:ascii="宋体" w:hAnsi="宋体" w:eastAsia="宋体" w:cs="Times New Roman"/>
          <w:color w:val="000000"/>
          <w:kern w:val="2"/>
          <w:sz w:val="21"/>
          <w:szCs w:val="21"/>
          <w:lang w:eastAsia="zh-CN"/>
        </w:rPr>
      </w:pPr>
      <w:r>
        <w:rPr>
          <w:rFonts w:hint="eastAsia" w:ascii="宋体" w:hAnsi="宋体" w:eastAsia="宋体" w:cs="Times New Roman"/>
          <w:color w:val="000000"/>
          <w:kern w:val="2"/>
          <w:sz w:val="21"/>
          <w:szCs w:val="21"/>
          <w:lang w:eastAsia="zh-CN"/>
        </w:rPr>
        <w:t>（*届）</w:t>
      </w:r>
    </w:p>
    <w:p w14:paraId="6F0E6C0B">
      <w:pPr>
        <w:widowControl w:val="0"/>
        <w:spacing w:after="0" w:line="240" w:lineRule="auto"/>
        <w:jc w:val="center"/>
        <w:rPr>
          <w:rFonts w:hint="eastAsia" w:ascii="宋体" w:hAnsi="宋体" w:eastAsia="宋体" w:cs="Times New Roman"/>
          <w:color w:val="000000"/>
          <w:kern w:val="2"/>
          <w:sz w:val="21"/>
          <w:szCs w:val="21"/>
          <w:lang w:eastAsia="zh-CN"/>
        </w:rPr>
      </w:pPr>
      <w:r>
        <w:rPr>
          <w:rFonts w:hint="eastAsia" w:ascii="宋体" w:hAnsi="宋体" w:eastAsia="宋体" w:cs="Times New Roman"/>
          <w:color w:val="000000"/>
          <w:kern w:val="2"/>
          <w:sz w:val="21"/>
          <w:szCs w:val="21"/>
          <w:lang w:eastAsia="zh-CN"/>
        </w:rPr>
        <w:drawing>
          <wp:inline distT="0" distB="0" distL="114300" distR="114300">
            <wp:extent cx="1415415" cy="1415415"/>
            <wp:effectExtent l="0" t="0" r="6985" b="6985"/>
            <wp:docPr id="9"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图形logo"/>
                    <pic:cNvPicPr>
                      <a:picLocks noChangeAspect="1"/>
                    </pic:cNvPicPr>
                  </pic:nvPicPr>
                  <pic:blipFill>
                    <a:blip r:embed="rId8"/>
                    <a:stretch>
                      <a:fillRect/>
                    </a:stretch>
                  </pic:blipFill>
                  <pic:spPr>
                    <a:xfrm>
                      <a:off x="0" y="0"/>
                      <a:ext cx="1415415" cy="1415415"/>
                    </a:xfrm>
                    <a:prstGeom prst="rect">
                      <a:avLst/>
                    </a:prstGeom>
                    <a:noFill/>
                    <a:ln>
                      <a:noFill/>
                    </a:ln>
                  </pic:spPr>
                </pic:pic>
              </a:graphicData>
            </a:graphic>
          </wp:inline>
        </w:drawing>
      </w:r>
    </w:p>
    <w:p w14:paraId="5B7EB355"/>
    <w:p w14:paraId="41326A0C">
      <w:pPr>
        <w:widowControl w:val="0"/>
        <w:spacing w:after="0" w:line="360" w:lineRule="auto"/>
        <w:jc w:val="center"/>
        <w:rPr>
          <w:rFonts w:hint="eastAsia" w:ascii="黑体" w:hAnsi="宋体" w:eastAsia="黑体" w:cs="华文中宋"/>
          <w:color w:val="000000"/>
          <w:kern w:val="0"/>
          <w:sz w:val="32"/>
          <w:szCs w:val="32"/>
          <w:lang w:eastAsia="zh-CN"/>
        </w:rPr>
      </w:pPr>
      <w:r>
        <w:rPr>
          <w:rFonts w:ascii="黑体" w:hAnsi="宋体" w:eastAsia="黑体" w:cs="华文中宋"/>
          <w:color w:val="000000"/>
          <w:kern w:val="0"/>
          <w:sz w:val="32"/>
          <w:szCs w:val="32"/>
          <w:lang w:eastAsia="zh-CN"/>
        </w:rPr>
        <w:t>智慧社区多源数据融合的车位动态调度与共享系统设</w:t>
      </w:r>
      <w:r>
        <w:rPr>
          <w:rFonts w:hint="eastAsia" w:ascii="黑体" w:hAnsi="宋体" w:eastAsia="黑体" w:cs="华文中宋"/>
          <w:color w:val="000000"/>
          <w:kern w:val="0"/>
          <w:sz w:val="32"/>
          <w:szCs w:val="32"/>
          <w:lang w:eastAsia="zh-CN"/>
        </w:rPr>
        <w:t>计</w:t>
      </w:r>
    </w:p>
    <w:p w14:paraId="68A02050">
      <w:pPr>
        <w:widowControl w:val="0"/>
        <w:spacing w:after="0" w:line="240" w:lineRule="auto"/>
        <w:jc w:val="center"/>
        <w:rPr>
          <w:rFonts w:hint="eastAsia" w:ascii="Times New Roman" w:hAnsi="Times New Roman" w:eastAsia="宋体" w:cs="Times New Roman"/>
          <w:color w:val="000000"/>
          <w:kern w:val="2"/>
          <w:sz w:val="32"/>
          <w:szCs w:val="32"/>
          <w:lang w:eastAsia="zh-CN"/>
        </w:rPr>
      </w:pPr>
      <w:r>
        <w:rPr>
          <w:rFonts w:hint="eastAsia" w:ascii="Times New Roman" w:hAnsi="Times New Roman" w:eastAsia="宋体" w:cs="Times New Roman"/>
          <w:color w:val="000000"/>
          <w:kern w:val="2"/>
          <w:sz w:val="32"/>
          <w:szCs w:val="32"/>
          <w:lang w:eastAsia="zh-CN"/>
        </w:rPr>
        <w:t>Design of a Dynamic Parking Dispatch and Sharing System for Smart Communities Based on Multi-Source Data Fusion</w:t>
      </w:r>
    </w:p>
    <w:p w14:paraId="32509B3F">
      <w:pPr>
        <w:widowControl w:val="0"/>
        <w:spacing w:after="0" w:line="240" w:lineRule="auto"/>
        <w:jc w:val="center"/>
        <w:rPr>
          <w:rFonts w:hint="eastAsia" w:ascii="Times New Roman" w:hAnsi="Times New Roman" w:eastAsia="宋体" w:cs="Times New Roman"/>
          <w:color w:val="000000"/>
          <w:kern w:val="2"/>
          <w:sz w:val="32"/>
          <w:szCs w:val="32"/>
          <w:lang w:eastAsia="zh-CN"/>
        </w:rPr>
      </w:pPr>
    </w:p>
    <w:p w14:paraId="0FC1A00F">
      <w:pPr>
        <w:widowControl w:val="0"/>
        <w:spacing w:after="0" w:line="240" w:lineRule="auto"/>
        <w:jc w:val="center"/>
        <w:rPr>
          <w:rFonts w:hint="eastAsia" w:ascii="Times New Roman" w:hAnsi="Times New Roman" w:eastAsia="宋体" w:cs="Times New Roman"/>
          <w:color w:val="000000"/>
          <w:kern w:val="2"/>
          <w:sz w:val="32"/>
          <w:szCs w:val="32"/>
          <w:lang w:eastAsia="zh-CN"/>
        </w:rPr>
      </w:pPr>
    </w:p>
    <w:p w14:paraId="5138C80A">
      <w:pPr>
        <w:widowControl w:val="0"/>
        <w:spacing w:after="0" w:line="240" w:lineRule="auto"/>
        <w:jc w:val="both"/>
        <w:rPr>
          <w:rFonts w:hint="eastAsia" w:ascii="Times New Roman" w:hAnsi="Times New Roman" w:eastAsia="宋体" w:cs="Times New Roman"/>
          <w:color w:val="000000"/>
          <w:kern w:val="2"/>
          <w:sz w:val="32"/>
          <w:szCs w:val="32"/>
          <w:lang w:eastAsia="zh-CN"/>
        </w:rPr>
      </w:pPr>
    </w:p>
    <w:p w14:paraId="3988777B">
      <w:pPr>
        <w:widowControl w:val="0"/>
        <w:spacing w:after="0" w:line="240" w:lineRule="auto"/>
        <w:jc w:val="center"/>
        <w:rPr>
          <w:rFonts w:hint="eastAsia" w:ascii="Times New Roman" w:hAnsi="Times New Roman" w:eastAsia="宋体" w:cs="Times New Roman"/>
          <w:color w:val="000000"/>
          <w:kern w:val="2"/>
          <w:sz w:val="32"/>
          <w:szCs w:val="32"/>
          <w:lang w:eastAsia="zh-CN"/>
        </w:rPr>
      </w:pPr>
    </w:p>
    <w:p w14:paraId="1FD40559">
      <w:pPr>
        <w:widowControl w:val="0"/>
        <w:spacing w:after="0" w:line="360" w:lineRule="auto"/>
        <w:ind w:firstLine="2080" w:firstLineChars="650"/>
        <w:jc w:val="both"/>
        <w:rPr>
          <w:rFonts w:hint="eastAsia" w:ascii="楷体_GB2312" w:hAnsi="宋体" w:eastAsia="楷体_GB2312" w:cs="Times New Roman"/>
          <w:color w:val="000000"/>
          <w:kern w:val="2"/>
          <w:sz w:val="32"/>
          <w:szCs w:val="32"/>
          <w:lang w:eastAsia="zh-CN"/>
        </w:rPr>
      </w:pPr>
      <w:r>
        <w:rPr>
          <w:rFonts w:hint="eastAsia" w:ascii="楷体_GB2312" w:hAnsi="宋体" w:eastAsia="楷体_GB2312" w:cs="Times New Roman"/>
          <w:color w:val="000000"/>
          <w:kern w:val="2"/>
          <w:sz w:val="32"/>
          <w:szCs w:val="32"/>
          <w:lang w:eastAsia="zh-CN"/>
        </w:rPr>
        <w:t>学院（部）：</w:t>
      </w:r>
      <w:r>
        <w:rPr>
          <w:rFonts w:hint="eastAsia" w:ascii="楷体_GB2312" w:hAnsi="宋体" w:eastAsia="楷体_GB2312" w:cs="Times New Roman"/>
          <w:color w:val="000000"/>
          <w:kern w:val="2"/>
          <w:sz w:val="32"/>
          <w:szCs w:val="32"/>
          <w:lang w:val="en-US" w:eastAsia="zh-CN"/>
        </w:rPr>
        <w:t>数学与大数据学院</w:t>
      </w:r>
      <w:r>
        <w:rPr>
          <w:rFonts w:hint="eastAsia" w:ascii="楷体_GB2312" w:hAnsi="宋体" w:eastAsia="楷体_GB2312" w:cs="Times New Roman"/>
          <w:color w:val="000000"/>
          <w:kern w:val="2"/>
          <w:sz w:val="32"/>
          <w:szCs w:val="32"/>
          <w:lang w:eastAsia="zh-CN"/>
        </w:rPr>
        <w:t xml:space="preserve">               </w:t>
      </w:r>
    </w:p>
    <w:p w14:paraId="60AC4EFF">
      <w:pPr>
        <w:widowControl w:val="0"/>
        <w:spacing w:after="0" w:line="360" w:lineRule="auto"/>
        <w:ind w:firstLine="2080" w:firstLineChars="650"/>
        <w:jc w:val="both"/>
        <w:rPr>
          <w:rFonts w:hint="eastAsia" w:ascii="楷体_GB2312" w:hAnsi="宋体" w:eastAsia="楷体_GB2312" w:cs="Times New Roman"/>
          <w:color w:val="000000"/>
          <w:kern w:val="2"/>
          <w:sz w:val="32"/>
          <w:szCs w:val="32"/>
          <w:lang w:eastAsia="zh-CN"/>
        </w:rPr>
      </w:pPr>
      <w:r>
        <w:rPr>
          <w:rFonts w:hint="eastAsia" w:ascii="楷体_GB2312" w:hAnsi="宋体" w:eastAsia="楷体_GB2312" w:cs="Times New Roman"/>
          <w:color w:val="000000"/>
          <w:kern w:val="2"/>
          <w:sz w:val="32"/>
          <w:szCs w:val="32"/>
          <w:lang w:eastAsia="zh-CN"/>
        </w:rPr>
        <w:t>专业班级：</w:t>
      </w:r>
      <w:r>
        <w:rPr>
          <w:rFonts w:hint="eastAsia" w:ascii="楷体_GB2312" w:hAnsi="宋体" w:eastAsia="楷体_GB2312" w:cs="Times New Roman"/>
          <w:color w:val="000000"/>
          <w:kern w:val="2"/>
          <w:sz w:val="32"/>
          <w:szCs w:val="32"/>
          <w:lang w:val="en-US" w:eastAsia="zh-CN"/>
        </w:rPr>
        <w:t>大数据22-5</w:t>
      </w:r>
      <w:r>
        <w:rPr>
          <w:rFonts w:hint="eastAsia" w:ascii="楷体_GB2312" w:hAnsi="宋体" w:eastAsia="楷体_GB2312" w:cs="Times New Roman"/>
          <w:color w:val="000000"/>
          <w:kern w:val="2"/>
          <w:sz w:val="32"/>
          <w:szCs w:val="32"/>
          <w:lang w:eastAsia="zh-CN"/>
        </w:rPr>
        <w:t xml:space="preserve">                </w:t>
      </w:r>
    </w:p>
    <w:p w14:paraId="57586F85">
      <w:pPr>
        <w:widowControl w:val="0"/>
        <w:spacing w:after="0" w:line="360" w:lineRule="auto"/>
        <w:ind w:firstLine="2080" w:firstLineChars="650"/>
        <w:jc w:val="both"/>
        <w:rPr>
          <w:rFonts w:hint="eastAsia" w:ascii="楷体_GB2312" w:hAnsi="宋体" w:eastAsia="楷体_GB2312" w:cs="Times New Roman"/>
          <w:color w:val="000000"/>
          <w:kern w:val="2"/>
          <w:sz w:val="32"/>
          <w:szCs w:val="32"/>
          <w:lang w:eastAsia="zh-CN"/>
        </w:rPr>
      </w:pPr>
      <w:r>
        <w:rPr>
          <w:rFonts w:hint="eastAsia" w:ascii="楷体_GB2312" w:hAnsi="宋体" w:eastAsia="楷体_GB2312" w:cs="Times New Roman"/>
          <w:color w:val="000000"/>
          <w:kern w:val="2"/>
          <w:sz w:val="32"/>
          <w:szCs w:val="32"/>
          <w:lang w:eastAsia="zh-CN"/>
        </w:rPr>
        <w:t>学生姓名：</w:t>
      </w:r>
      <w:r>
        <w:rPr>
          <w:rFonts w:hint="eastAsia" w:ascii="楷体_GB2312" w:hAnsi="宋体" w:eastAsia="楷体_GB2312" w:cs="Times New Roman"/>
          <w:color w:val="000000"/>
          <w:kern w:val="2"/>
          <w:sz w:val="32"/>
          <w:szCs w:val="32"/>
          <w:lang w:val="en-US" w:eastAsia="zh-CN"/>
        </w:rPr>
        <w:t>陈炎</w:t>
      </w:r>
      <w:r>
        <w:rPr>
          <w:rFonts w:hint="eastAsia" w:ascii="楷体_GB2312" w:hAnsi="宋体" w:eastAsia="楷体_GB2312" w:cs="Times New Roman"/>
          <w:color w:val="000000"/>
          <w:kern w:val="2"/>
          <w:sz w:val="32"/>
          <w:szCs w:val="32"/>
          <w:lang w:eastAsia="zh-CN"/>
        </w:rPr>
        <w:t xml:space="preserve">                </w:t>
      </w:r>
    </w:p>
    <w:p w14:paraId="30127F52">
      <w:pPr>
        <w:widowControl w:val="0"/>
        <w:spacing w:after="0" w:line="360" w:lineRule="auto"/>
        <w:ind w:firstLine="2080" w:firstLineChars="650"/>
        <w:jc w:val="both"/>
        <w:rPr>
          <w:rFonts w:hint="eastAsia" w:ascii="楷体_GB2312" w:hAnsi="宋体" w:eastAsia="楷体_GB2312" w:cs="Times New Roman"/>
          <w:color w:val="000000"/>
          <w:kern w:val="2"/>
          <w:sz w:val="32"/>
          <w:szCs w:val="32"/>
          <w:lang w:eastAsia="zh-CN"/>
        </w:rPr>
      </w:pPr>
      <w:r>
        <w:rPr>
          <w:rFonts w:hint="eastAsia" w:ascii="楷体_GB2312" w:hAnsi="宋体" w:eastAsia="楷体_GB2312" w:cs="Times New Roman"/>
          <w:color w:val="000000"/>
          <w:kern w:val="2"/>
          <w:sz w:val="32"/>
          <w:szCs w:val="32"/>
          <w:lang w:eastAsia="zh-CN"/>
        </w:rPr>
        <w:t>指导教师：</w:t>
      </w:r>
      <w:r>
        <w:rPr>
          <w:rFonts w:hint="eastAsia" w:ascii="楷体_GB2312" w:hAnsi="宋体" w:eastAsia="楷体_GB2312" w:cs="Times New Roman"/>
          <w:color w:val="000000"/>
          <w:kern w:val="2"/>
          <w:sz w:val="32"/>
          <w:szCs w:val="32"/>
          <w:lang w:val="en-US" w:eastAsia="zh-CN"/>
        </w:rPr>
        <w:t>陶小燕教授</w:t>
      </w:r>
      <w:r>
        <w:rPr>
          <w:rFonts w:hint="eastAsia" w:ascii="楷体_GB2312" w:hAnsi="宋体" w:eastAsia="楷体_GB2312" w:cs="Times New Roman"/>
          <w:color w:val="000000"/>
          <w:kern w:val="2"/>
          <w:sz w:val="32"/>
          <w:szCs w:val="32"/>
          <w:lang w:eastAsia="zh-CN"/>
        </w:rPr>
        <w:t xml:space="preserve">    </w:t>
      </w:r>
    </w:p>
    <w:p w14:paraId="2BB1B548">
      <w:pPr>
        <w:widowControl w:val="0"/>
        <w:spacing w:after="0" w:line="360" w:lineRule="auto"/>
        <w:ind w:firstLine="2080" w:firstLineChars="650"/>
        <w:jc w:val="both"/>
        <w:rPr>
          <w:rFonts w:hint="eastAsia" w:ascii="楷体_GB2312" w:hAnsi="宋体" w:eastAsia="楷体_GB2312" w:cs="Times New Roman"/>
          <w:color w:val="000000"/>
          <w:kern w:val="2"/>
          <w:sz w:val="32"/>
          <w:szCs w:val="32"/>
          <w:lang w:eastAsia="zh-CN"/>
        </w:rPr>
      </w:pPr>
    </w:p>
    <w:p w14:paraId="0988AFF6">
      <w:pPr>
        <w:widowControl w:val="0"/>
        <w:spacing w:after="0" w:line="360" w:lineRule="auto"/>
        <w:ind w:firstLine="2080" w:firstLineChars="650"/>
        <w:jc w:val="both"/>
        <w:rPr>
          <w:rFonts w:hint="eastAsia" w:ascii="楷体_GB2312" w:hAnsi="宋体" w:eastAsia="楷体_GB2312" w:cs="Times New Roman"/>
          <w:color w:val="000000"/>
          <w:kern w:val="2"/>
          <w:sz w:val="32"/>
          <w:szCs w:val="32"/>
          <w:lang w:val="en-US" w:eastAsia="zh-CN"/>
        </w:rPr>
      </w:pPr>
      <w:r>
        <w:rPr>
          <w:rFonts w:hint="eastAsia" w:ascii="楷体_GB2312" w:hAnsi="宋体" w:eastAsia="楷体_GB2312" w:cs="Times New Roman"/>
          <w:color w:val="000000"/>
          <w:kern w:val="2"/>
          <w:sz w:val="32"/>
          <w:szCs w:val="32"/>
          <w:lang w:eastAsia="zh-CN"/>
        </w:rPr>
        <w:t xml:space="preserve">            </w:t>
      </w:r>
    </w:p>
    <w:p w14:paraId="7A7C3F75">
      <w:pPr>
        <w:jc w:val="center"/>
      </w:pPr>
      <w:r>
        <w:rPr>
          <w:rFonts w:hint="eastAsia" w:ascii="华文楷体" w:hAnsi="华文楷体" w:eastAsia="华文楷体"/>
          <w:sz w:val="32"/>
          <w:szCs w:val="32"/>
          <w:lang w:val="en-US" w:eastAsia="zh-CN"/>
        </w:rPr>
        <w:t>2026</w:t>
      </w:r>
      <w:r>
        <w:rPr>
          <w:rFonts w:hint="eastAsia" w:ascii="华文楷体" w:hAnsi="华文楷体" w:eastAsia="华文楷体"/>
          <w:sz w:val="32"/>
          <w:szCs w:val="32"/>
        </w:rPr>
        <w:t xml:space="preserve">年     </w:t>
      </w:r>
      <w:r>
        <w:rPr>
          <w:rFonts w:hint="eastAsia" w:ascii="华文楷体" w:hAnsi="华文楷体" w:eastAsia="华文楷体"/>
          <w:sz w:val="32"/>
          <w:szCs w:val="32"/>
          <w:lang w:val="en-US" w:eastAsia="zh-CN"/>
        </w:rPr>
        <w:t>4</w:t>
      </w:r>
      <w:r>
        <w:rPr>
          <w:rFonts w:hint="eastAsia" w:ascii="华文楷体" w:hAnsi="华文楷体" w:eastAsia="华文楷体"/>
          <w:sz w:val="32"/>
          <w:szCs w:val="32"/>
        </w:rPr>
        <w:t xml:space="preserve"> 月    </w:t>
      </w:r>
      <w:r>
        <w:rPr>
          <w:rFonts w:hint="eastAsia" w:ascii="华文楷体" w:hAnsi="华文楷体" w:eastAsia="华文楷体"/>
          <w:sz w:val="32"/>
          <w:szCs w:val="32"/>
          <w:lang w:val="en-US" w:eastAsia="zh-CN"/>
        </w:rPr>
        <w:t>10</w:t>
      </w:r>
      <w:r>
        <w:rPr>
          <w:rFonts w:hint="eastAsia" w:ascii="华文楷体" w:hAnsi="华文楷体" w:eastAsia="华文楷体"/>
          <w:sz w:val="32"/>
          <w:szCs w:val="32"/>
        </w:rPr>
        <w:t xml:space="preserve">  日</w:t>
      </w:r>
    </w:p>
    <w:p w14:paraId="7394EB0C">
      <w:pPr>
        <w:spacing w:after="240"/>
        <w:jc w:val="center"/>
        <w:rPr>
          <w:rFonts w:ascii="Times New Roman" w:hAnsi="Times New Roman" w:eastAsia="宋体"/>
          <w:b/>
          <w:sz w:val="32"/>
        </w:rPr>
      </w:pPr>
    </w:p>
    <w:p w14:paraId="090454F8">
      <w:pPr>
        <w:spacing w:after="240"/>
        <w:jc w:val="center"/>
        <w:rPr>
          <w:rFonts w:ascii="Times New Roman" w:hAnsi="Times New Roman" w:eastAsia="宋体"/>
          <w:b/>
          <w:sz w:val="32"/>
          <w:szCs w:val="32"/>
        </w:rPr>
      </w:pPr>
      <w:r>
        <w:rPr>
          <w:rFonts w:ascii="Times New Roman" w:hAnsi="Times New Roman" w:eastAsia="宋体"/>
          <w:b/>
          <w:sz w:val="32"/>
          <w:szCs w:val="32"/>
        </w:rPr>
        <w:t>智慧社区多源数据融合的车位动态调度与共享系统设计</w:t>
      </w:r>
    </w:p>
    <w:p w14:paraId="1F80092F">
      <w:pPr>
        <w:spacing w:after="240"/>
        <w:jc w:val="center"/>
        <w:rPr>
          <w:rFonts w:ascii="Times New Roman" w:hAnsi="Times New Roman" w:eastAsia="宋体"/>
          <w:b/>
          <w:sz w:val="32"/>
        </w:rPr>
      </w:pPr>
      <w:bookmarkStart w:id="68" w:name="_GoBack"/>
      <w:bookmarkEnd w:id="68"/>
    </w:p>
    <w:p w14:paraId="44C5F5A3">
      <w:pPr>
        <w:spacing w:after="240"/>
        <w:jc w:val="center"/>
      </w:pPr>
      <w:r>
        <w:rPr>
          <w:rFonts w:ascii="Times New Roman" w:hAnsi="Times New Roman" w:eastAsia="宋体"/>
          <w:b/>
          <w:sz w:val="30"/>
        </w:rPr>
        <w:t>摘要</w:t>
      </w:r>
    </w:p>
    <w:p w14:paraId="0B94EBD4">
      <w:pPr>
        <w:spacing w:before="0" w:after="120" w:line="360" w:lineRule="auto"/>
        <w:ind w:firstLine="420"/>
        <w:jc w:val="both"/>
      </w:pPr>
      <w:r>
        <w:rPr>
          <w:rFonts w:ascii="Times New Roman" w:hAnsi="Times New Roman" w:eastAsia="宋体"/>
          <w:b w:val="0"/>
          <w:sz w:val="24"/>
        </w:rPr>
        <w:t>随着城市机动车保有量持续增加，社区停车难、车位信息不透明和停车流程不连贯等问题越来越明显。在实际使用中，很多时候并不是完全没有车位，而是车位状态更新不及时、临时共享缺少统一调度，导致车主找位耗时，物业也难以及时掌握停车资源使用情况。针对这些问题，本文围绕社区停车场景，设计并实现了一套多源数据融合驱动的车位动态调度与共享系统。</w:t>
      </w:r>
    </w:p>
    <w:p w14:paraId="36CE2EDE">
      <w:pPr>
        <w:spacing w:before="0" w:after="120" w:line="360" w:lineRule="auto"/>
        <w:ind w:firstLine="420"/>
        <w:jc w:val="both"/>
      </w:pPr>
      <w:r>
        <w:rPr>
          <w:rFonts w:ascii="Times New Roman" w:hAnsi="Times New Roman" w:eastAsia="宋体"/>
          <w:b w:val="0"/>
          <w:sz w:val="24"/>
        </w:rPr>
        <w:t>本系统采用微服务加前后端分离的总体架构，后端由网关服务、停车主业务服务、模型服务和实时服务组成，前端分别提供业主端和物业端页面。在数据层面，系统整合车位状态、车辆进出记录和住户出行规律等多源信息；在模型层面，采用轻量级 LSTM-Lite 方案对停车供需变化进行估计，并结合 Hungarian 匹配方法完成动态车位分配；在业务层面，打通了推荐、预约、订单、计费、导航和物业经营监控等主要流程；在工程层面，补充了幂等控制、锁机制、消息重试、服务降级和实时回退等设计。</w:t>
      </w:r>
    </w:p>
    <w:p w14:paraId="19C89E23">
      <w:pPr>
        <w:spacing w:before="0" w:after="120" w:line="360" w:lineRule="auto"/>
        <w:ind w:firstLine="420"/>
        <w:jc w:val="both"/>
      </w:pPr>
      <w:r>
        <w:rPr>
          <w:rFonts w:ascii="Times New Roman" w:hAnsi="Times New Roman" w:eastAsia="宋体"/>
          <w:b w:val="0"/>
          <w:sz w:val="24"/>
        </w:rPr>
        <w:t>从项目实现结果来看，系统已经完成主要业务链路，并形成了阶段报告、架构文档和综合验收材料。本文的重点不是单独追求复杂模型，而是在本科毕业设计范围内，把数据处理、预测、调度和业务闭环放到同一套系统中进行设计、实现和验证，使课题具备可展示、可复现和可答辩的基础。</w:t>
      </w:r>
    </w:p>
    <w:p w14:paraId="520FB6E3">
      <w:pPr>
        <w:spacing w:before="0" w:after="120" w:line="360" w:lineRule="auto"/>
        <w:ind w:firstLine="420"/>
        <w:jc w:val="both"/>
      </w:pPr>
      <w:r>
        <w:rPr>
          <w:rFonts w:ascii="Times New Roman" w:hAnsi="Times New Roman" w:eastAsia="宋体"/>
          <w:b w:val="0"/>
          <w:sz w:val="24"/>
        </w:rPr>
        <w:t>关键词：智慧停车，多源数据融合，LSTM-Lite，Hungarian 调度，微服务架构</w:t>
      </w:r>
    </w:p>
    <w:p w14:paraId="24C8278C">
      <w:r>
        <w:br w:type="page"/>
      </w:r>
    </w:p>
    <w:p w14:paraId="6651BF73">
      <w:pPr>
        <w:spacing w:after="240"/>
        <w:jc w:val="center"/>
      </w:pPr>
      <w:r>
        <w:rPr>
          <w:rFonts w:ascii="Times New Roman" w:hAnsi="Times New Roman" w:eastAsia="宋体"/>
          <w:b w:val="0"/>
          <w:sz w:val="30"/>
        </w:rPr>
        <w:t>Design of a Dynamic Parking Dispatch and Sharing System for Smart Communities Based on Multi-Source Data Fusion</w:t>
      </w:r>
    </w:p>
    <w:p w14:paraId="3BD98A84">
      <w:pPr>
        <w:spacing w:after="240"/>
        <w:jc w:val="center"/>
      </w:pPr>
      <w:r>
        <w:rPr>
          <w:rFonts w:ascii="Times New Roman" w:hAnsi="Times New Roman" w:eastAsia="宋体"/>
          <w:b/>
          <w:sz w:val="30"/>
        </w:rPr>
        <w:t>ABSTRACT</w:t>
      </w:r>
    </w:p>
    <w:p w14:paraId="675E1EC9">
      <w:pPr>
        <w:spacing w:before="0" w:after="120" w:line="360" w:lineRule="auto"/>
        <w:ind w:firstLine="420"/>
        <w:jc w:val="both"/>
      </w:pPr>
      <w:r>
        <w:rPr>
          <w:rFonts w:ascii="Times New Roman" w:hAnsi="Times New Roman" w:eastAsia="宋体"/>
          <w:b w:val="0"/>
          <w:sz w:val="24"/>
        </w:rPr>
        <w:t>With the continued growth of urban vehicle ownership, community parking has become a practical problem involving delayed parking-slot updates, low resource utilization, and inefficient user workflows. In many cases, the issue is not the absolute lack of parking spaces, but the lack of timely information and coordinated dispatching. To address this problem, this thesis designs and implements a dynamic parking dispatch and sharing system for smart communities based on multi-source data fusion.</w:t>
      </w:r>
    </w:p>
    <w:p w14:paraId="7A95D1B8">
      <w:pPr>
        <w:spacing w:before="0" w:after="120" w:line="360" w:lineRule="auto"/>
        <w:ind w:firstLine="420"/>
        <w:jc w:val="both"/>
      </w:pPr>
      <w:r>
        <w:rPr>
          <w:rFonts w:ascii="Times New Roman" w:hAnsi="Times New Roman" w:eastAsia="宋体"/>
          <w:b w:val="0"/>
          <w:sz w:val="24"/>
        </w:rPr>
        <w:t>The system adopts a microservice-oriented architecture with separated frontend and backend. It integrates parking-slot status data, vehicle entry and exit records, and resident travel pattern data. A lightweight LSTM-Lite approach is used to estimate parking demand changes, and the Hungarian method is applied to dynamic parking allocation. On the business side, the system supports recommendation, reservation, order tracking, billing, navigation, and admin-side monitoring. On the engineering side, idempotency control, locking, retry, degradation, and realtime fallback are also considered.</w:t>
      </w:r>
    </w:p>
    <w:p w14:paraId="6BF2790B">
      <w:pPr>
        <w:spacing w:before="0" w:after="120" w:line="360" w:lineRule="auto"/>
        <w:ind w:firstLine="420"/>
        <w:jc w:val="both"/>
      </w:pPr>
      <w:r>
        <w:rPr>
          <w:rFonts w:ascii="Times New Roman" w:hAnsi="Times New Roman" w:eastAsia="宋体"/>
          <w:b w:val="0"/>
          <w:sz w:val="24"/>
        </w:rPr>
        <w:t>The current implementation has completed the main business workflow and corresponding acceptance materials. The thesis focuses on combining data processing, forecasting, dispatching, and business execution into one verifiable undergraduate project instead of pursuing overly complex models.</w:t>
      </w:r>
    </w:p>
    <w:p w14:paraId="715BE6AB">
      <w:pPr>
        <w:spacing w:before="0" w:after="120" w:line="360" w:lineRule="auto"/>
        <w:ind w:firstLine="420"/>
        <w:jc w:val="both"/>
      </w:pPr>
      <w:r>
        <w:rPr>
          <w:rFonts w:ascii="Times New Roman" w:hAnsi="Times New Roman" w:eastAsia="宋体"/>
          <w:b w:val="0"/>
          <w:sz w:val="24"/>
        </w:rPr>
        <w:t>KEYWORDS: smart parking, multi-source data fusion, LSTM-Lite, Hungarian dispatch, microservice architecture</w:t>
      </w:r>
    </w:p>
    <w:p w14:paraId="11E779E3">
      <w:r>
        <w:br w:type="page"/>
      </w:r>
    </w:p>
    <w:sdt>
      <w:sdtPr>
        <w:rPr>
          <w:rFonts w:ascii="宋体" w:hAnsi="宋体" w:eastAsia="宋体" w:cstheme="minorBidi"/>
          <w:sz w:val="21"/>
          <w:szCs w:val="22"/>
          <w:lang w:val="en-US" w:eastAsia="en-US" w:bidi="ar-SA"/>
        </w:rPr>
        <w:id w:val="705159432"/>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14:paraId="271B0B1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2E10405">
          <w:pPr>
            <w:pStyle w:val="27"/>
            <w:tabs>
              <w:tab w:val="right" w:leader="dot" w:pos="8612"/>
            </w:tabs>
          </w:pPr>
          <w:r>
            <w:rPr>
              <w:rFonts w:asciiTheme="minorHAnsi" w:hAnsiTheme="minorHAnsi" w:eastAsiaTheme="minorEastAsia" w:cstheme="minorBidi"/>
              <w:sz w:val="22"/>
              <w:szCs w:val="22"/>
              <w:lang w:val="en-US" w:eastAsia="en-US" w:bidi="ar-SA"/>
            </w:rPr>
            <w:fldChar w:fldCharType="begin"/>
          </w:r>
          <w:r>
            <w:rPr>
              <w:rFonts w:asciiTheme="minorHAnsi" w:hAnsiTheme="minorHAnsi" w:eastAsiaTheme="minorEastAsia" w:cstheme="minorBidi"/>
              <w:sz w:val="22"/>
              <w:szCs w:val="22"/>
              <w:lang w:val="en-US" w:eastAsia="en-US" w:bidi="ar-SA"/>
            </w:rPr>
            <w:instrText xml:space="preserve">TOC \o "1-3" \h \u </w:instrText>
          </w:r>
          <w:r>
            <w:rPr>
              <w:rFonts w:asciiTheme="minorHAnsi" w:hAnsiTheme="minorHAnsi" w:eastAsiaTheme="minorEastAsia" w:cstheme="minorBidi"/>
              <w:sz w:val="22"/>
              <w:szCs w:val="22"/>
              <w:lang w:val="en-US" w:eastAsia="en-US" w:bidi="ar-SA"/>
            </w:rPr>
            <w:fldChar w:fldCharType="separate"/>
          </w: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_Toc1225681764 </w:instrText>
          </w:r>
          <w:r>
            <w:rPr>
              <w:rFonts w:asciiTheme="minorHAnsi" w:hAnsiTheme="minorHAnsi" w:eastAsiaTheme="minorEastAsia" w:cstheme="minorBidi"/>
              <w:szCs w:val="22"/>
              <w:lang w:val="en-US" w:eastAsia="en-US" w:bidi="ar-SA"/>
            </w:rPr>
            <w:fldChar w:fldCharType="separate"/>
          </w:r>
          <w:r>
            <w:rPr>
              <w:rFonts w:hint="eastAsia" w:asciiTheme="majorEastAsia" w:hAnsiTheme="majorEastAsia" w:eastAsiaTheme="majorEastAsia" w:cstheme="majorEastAsia"/>
            </w:rPr>
            <w:t>1 绪论</w:t>
          </w:r>
          <w:r>
            <w:tab/>
          </w:r>
          <w:r>
            <w:fldChar w:fldCharType="begin"/>
          </w:r>
          <w:r>
            <w:instrText xml:space="preserve"> PAGEREF _Toc1225681764 \h </w:instrText>
          </w:r>
          <w:r>
            <w:fldChar w:fldCharType="separate"/>
          </w:r>
          <w:r>
            <w:t>6</w:t>
          </w:r>
          <w:r>
            <w:fldChar w:fldCharType="end"/>
          </w:r>
          <w:r>
            <w:rPr>
              <w:rFonts w:asciiTheme="minorHAnsi" w:hAnsiTheme="minorHAnsi" w:eastAsiaTheme="minorEastAsia" w:cstheme="minorBidi"/>
              <w:szCs w:val="22"/>
              <w:lang w:val="en-US" w:eastAsia="en-US" w:bidi="ar-SA"/>
            </w:rPr>
            <w:fldChar w:fldCharType="end"/>
          </w:r>
        </w:p>
        <w:p w14:paraId="75975116">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_Toc1370265524 </w:instrText>
          </w:r>
          <w:r>
            <w:rPr>
              <w:rFonts w:asciiTheme="minorHAnsi" w:hAnsiTheme="minorHAnsi" w:eastAsiaTheme="minorEastAsia" w:cstheme="minorBidi"/>
              <w:szCs w:val="22"/>
              <w:lang w:val="en-US" w:eastAsia="en-US" w:bidi="ar-SA"/>
            </w:rPr>
            <w:fldChar w:fldCharType="separate"/>
          </w:r>
          <w:r>
            <w:t>1.1 研究背景</w:t>
          </w:r>
          <w:r>
            <w:tab/>
          </w:r>
          <w:r>
            <w:fldChar w:fldCharType="begin"/>
          </w:r>
          <w:r>
            <w:instrText xml:space="preserve"> PAGEREF _Toc1370265524 \h </w:instrText>
          </w:r>
          <w:r>
            <w:fldChar w:fldCharType="separate"/>
          </w:r>
          <w:r>
            <w:t>6</w:t>
          </w:r>
          <w:r>
            <w:fldChar w:fldCharType="end"/>
          </w:r>
          <w:r>
            <w:rPr>
              <w:rFonts w:asciiTheme="minorHAnsi" w:hAnsiTheme="minorHAnsi" w:eastAsiaTheme="minorEastAsia" w:cstheme="minorBidi"/>
              <w:szCs w:val="22"/>
              <w:lang w:val="en-US" w:eastAsia="en-US" w:bidi="ar-SA"/>
            </w:rPr>
            <w:fldChar w:fldCharType="end"/>
          </w:r>
        </w:p>
        <w:p w14:paraId="70AF1D43">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_Toc438031440 </w:instrText>
          </w:r>
          <w:r>
            <w:rPr>
              <w:rFonts w:asciiTheme="minorHAnsi" w:hAnsiTheme="minorHAnsi" w:eastAsiaTheme="minorEastAsia" w:cstheme="minorBidi"/>
              <w:szCs w:val="22"/>
              <w:lang w:val="en-US" w:eastAsia="en-US" w:bidi="ar-SA"/>
            </w:rPr>
            <w:fldChar w:fldCharType="separate"/>
          </w:r>
          <w:r>
            <w:t>1.2 研究意义</w:t>
          </w:r>
          <w:r>
            <w:tab/>
          </w:r>
          <w:r>
            <w:fldChar w:fldCharType="begin"/>
          </w:r>
          <w:r>
            <w:instrText xml:space="preserve"> PAGEREF _Toc438031440 \h </w:instrText>
          </w:r>
          <w:r>
            <w:fldChar w:fldCharType="separate"/>
          </w:r>
          <w:r>
            <w:t>6</w:t>
          </w:r>
          <w:r>
            <w:fldChar w:fldCharType="end"/>
          </w:r>
          <w:r>
            <w:rPr>
              <w:rFonts w:asciiTheme="minorHAnsi" w:hAnsiTheme="minorHAnsi" w:eastAsiaTheme="minorEastAsia" w:cstheme="minorBidi"/>
              <w:szCs w:val="22"/>
              <w:lang w:val="en-US" w:eastAsia="en-US" w:bidi="ar-SA"/>
            </w:rPr>
            <w:fldChar w:fldCharType="end"/>
          </w:r>
        </w:p>
        <w:p w14:paraId="33D2D43C">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_Toc420470164 </w:instrText>
          </w:r>
          <w:r>
            <w:rPr>
              <w:rFonts w:asciiTheme="minorHAnsi" w:hAnsiTheme="minorHAnsi" w:eastAsiaTheme="minorEastAsia" w:cstheme="minorBidi"/>
              <w:szCs w:val="22"/>
              <w:lang w:val="en-US" w:eastAsia="en-US" w:bidi="ar-SA"/>
            </w:rPr>
            <w:fldChar w:fldCharType="separate"/>
          </w:r>
          <w:r>
            <w:t>1.3 国内外研究现状</w:t>
          </w:r>
          <w:r>
            <w:tab/>
          </w:r>
          <w:r>
            <w:fldChar w:fldCharType="begin"/>
          </w:r>
          <w:r>
            <w:instrText xml:space="preserve"> PAGEREF _Toc420470164 \h </w:instrText>
          </w:r>
          <w:r>
            <w:fldChar w:fldCharType="separate"/>
          </w:r>
          <w:r>
            <w:t>7</w:t>
          </w:r>
          <w:r>
            <w:fldChar w:fldCharType="end"/>
          </w:r>
          <w:r>
            <w:rPr>
              <w:rFonts w:asciiTheme="minorHAnsi" w:hAnsiTheme="minorHAnsi" w:eastAsiaTheme="minorEastAsia" w:cstheme="minorBidi"/>
              <w:szCs w:val="22"/>
              <w:lang w:val="en-US" w:eastAsia="en-US" w:bidi="ar-SA"/>
            </w:rPr>
            <w:fldChar w:fldCharType="end"/>
          </w:r>
        </w:p>
        <w:p w14:paraId="25007395">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_Toc1620847718 </w:instrText>
          </w:r>
          <w:r>
            <w:rPr>
              <w:rFonts w:asciiTheme="minorHAnsi" w:hAnsiTheme="minorHAnsi" w:eastAsiaTheme="minorEastAsia" w:cstheme="minorBidi"/>
              <w:szCs w:val="22"/>
              <w:lang w:val="en-US" w:eastAsia="en-US" w:bidi="ar-SA"/>
            </w:rPr>
            <w:fldChar w:fldCharType="separate"/>
          </w:r>
          <w:r>
            <w:t>1.4 本文主要研究内容</w:t>
          </w:r>
          <w:r>
            <w:tab/>
          </w:r>
          <w:r>
            <w:fldChar w:fldCharType="begin"/>
          </w:r>
          <w:r>
            <w:instrText xml:space="preserve"> PAGEREF _Toc1620847718 \h </w:instrText>
          </w:r>
          <w:r>
            <w:fldChar w:fldCharType="separate"/>
          </w:r>
          <w:r>
            <w:t>8</w:t>
          </w:r>
          <w:r>
            <w:fldChar w:fldCharType="end"/>
          </w:r>
          <w:r>
            <w:rPr>
              <w:rFonts w:asciiTheme="minorHAnsi" w:hAnsiTheme="minorHAnsi" w:eastAsiaTheme="minorEastAsia" w:cstheme="minorBidi"/>
              <w:szCs w:val="22"/>
              <w:lang w:val="en-US" w:eastAsia="en-US" w:bidi="ar-SA"/>
            </w:rPr>
            <w:fldChar w:fldCharType="end"/>
          </w:r>
        </w:p>
        <w:p w14:paraId="281F5703">
          <w:pPr>
            <w:pStyle w:val="27"/>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_Toc757534231 </w:instrText>
          </w:r>
          <w:r>
            <w:rPr>
              <w:rFonts w:asciiTheme="minorHAnsi" w:hAnsiTheme="minorHAnsi" w:eastAsiaTheme="minorEastAsia" w:cstheme="minorBidi"/>
              <w:szCs w:val="22"/>
              <w:lang w:val="en-US" w:eastAsia="en-US" w:bidi="ar-SA"/>
            </w:rPr>
            <w:fldChar w:fldCharType="separate"/>
          </w:r>
          <w:r>
            <w:t>2 相关技术与理论基础</w:t>
          </w:r>
          <w:r>
            <w:tab/>
          </w:r>
          <w:r>
            <w:fldChar w:fldCharType="begin"/>
          </w:r>
          <w:r>
            <w:instrText xml:space="preserve"> PAGEREF _Toc757534231 \h </w:instrText>
          </w:r>
          <w:r>
            <w:fldChar w:fldCharType="separate"/>
          </w:r>
          <w:r>
            <w:t>8</w:t>
          </w:r>
          <w:r>
            <w:fldChar w:fldCharType="end"/>
          </w:r>
          <w:r>
            <w:rPr>
              <w:rFonts w:asciiTheme="minorHAnsi" w:hAnsiTheme="minorHAnsi" w:eastAsiaTheme="minorEastAsia" w:cstheme="minorBidi"/>
              <w:szCs w:val="22"/>
              <w:lang w:val="en-US" w:eastAsia="en-US" w:bidi="ar-SA"/>
            </w:rPr>
            <w:fldChar w:fldCharType="end"/>
          </w:r>
        </w:p>
        <w:p w14:paraId="095E31C7">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_Toc1594761001 </w:instrText>
          </w:r>
          <w:r>
            <w:rPr>
              <w:rFonts w:asciiTheme="minorHAnsi" w:hAnsiTheme="minorHAnsi" w:eastAsiaTheme="minorEastAsia" w:cstheme="minorBidi"/>
              <w:szCs w:val="22"/>
              <w:lang w:val="en-US" w:eastAsia="en-US" w:bidi="ar-SA"/>
            </w:rPr>
            <w:fldChar w:fldCharType="separate"/>
          </w:r>
          <w:r>
            <w:t>2.1 微服务架构与前后端分离</w:t>
          </w:r>
          <w:r>
            <w:tab/>
          </w:r>
          <w:r>
            <w:fldChar w:fldCharType="begin"/>
          </w:r>
          <w:r>
            <w:instrText xml:space="preserve"> PAGEREF _Toc1594761001 \h </w:instrText>
          </w:r>
          <w:r>
            <w:fldChar w:fldCharType="separate"/>
          </w:r>
          <w:r>
            <w:t>8</w:t>
          </w:r>
          <w:r>
            <w:fldChar w:fldCharType="end"/>
          </w:r>
          <w:r>
            <w:rPr>
              <w:rFonts w:asciiTheme="minorHAnsi" w:hAnsiTheme="minorHAnsi" w:eastAsiaTheme="minorEastAsia" w:cstheme="minorBidi"/>
              <w:szCs w:val="22"/>
              <w:lang w:val="en-US" w:eastAsia="en-US" w:bidi="ar-SA"/>
            </w:rPr>
            <w:fldChar w:fldCharType="end"/>
          </w:r>
        </w:p>
        <w:p w14:paraId="28102C69">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_Toc404745600 </w:instrText>
          </w:r>
          <w:r>
            <w:rPr>
              <w:rFonts w:asciiTheme="minorHAnsi" w:hAnsiTheme="minorHAnsi" w:eastAsiaTheme="minorEastAsia" w:cstheme="minorBidi"/>
              <w:szCs w:val="22"/>
              <w:lang w:val="en-US" w:eastAsia="en-US" w:bidi="ar-SA"/>
            </w:rPr>
            <w:fldChar w:fldCharType="separate"/>
          </w:r>
          <w:r>
            <w:t>2.2 多源数据融合</w:t>
          </w:r>
          <w:r>
            <w:tab/>
          </w:r>
          <w:r>
            <w:fldChar w:fldCharType="begin"/>
          </w:r>
          <w:r>
            <w:instrText xml:space="preserve"> PAGEREF _Toc404745600 \h </w:instrText>
          </w:r>
          <w:r>
            <w:fldChar w:fldCharType="separate"/>
          </w:r>
          <w:r>
            <w:t>9</w:t>
          </w:r>
          <w:r>
            <w:fldChar w:fldCharType="end"/>
          </w:r>
          <w:r>
            <w:rPr>
              <w:rFonts w:asciiTheme="minorHAnsi" w:hAnsiTheme="minorHAnsi" w:eastAsiaTheme="minorEastAsia" w:cstheme="minorBidi"/>
              <w:szCs w:val="22"/>
              <w:lang w:val="en-US" w:eastAsia="en-US" w:bidi="ar-SA"/>
            </w:rPr>
            <w:fldChar w:fldCharType="end"/>
          </w:r>
        </w:p>
        <w:p w14:paraId="4BF90ED8">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_Toc1478589151 </w:instrText>
          </w:r>
          <w:r>
            <w:rPr>
              <w:rFonts w:asciiTheme="minorHAnsi" w:hAnsiTheme="minorHAnsi" w:eastAsiaTheme="minorEastAsia" w:cstheme="minorBidi"/>
              <w:szCs w:val="22"/>
              <w:lang w:val="en-US" w:eastAsia="en-US" w:bidi="ar-SA"/>
            </w:rPr>
            <w:fldChar w:fldCharType="separate"/>
          </w:r>
          <w:r>
            <w:t>2.3 LSTM-Lite 轻量级需求预测</w:t>
          </w:r>
          <w:r>
            <w:tab/>
          </w:r>
          <w:r>
            <w:fldChar w:fldCharType="begin"/>
          </w:r>
          <w:r>
            <w:instrText xml:space="preserve"> PAGEREF _Toc1478589151 \h </w:instrText>
          </w:r>
          <w:r>
            <w:fldChar w:fldCharType="separate"/>
          </w:r>
          <w:r>
            <w:t>9</w:t>
          </w:r>
          <w:r>
            <w:fldChar w:fldCharType="end"/>
          </w:r>
          <w:r>
            <w:rPr>
              <w:rFonts w:asciiTheme="minorHAnsi" w:hAnsiTheme="minorHAnsi" w:eastAsiaTheme="minorEastAsia" w:cstheme="minorBidi"/>
              <w:szCs w:val="22"/>
              <w:lang w:val="en-US" w:eastAsia="en-US" w:bidi="ar-SA"/>
            </w:rPr>
            <w:fldChar w:fldCharType="end"/>
          </w:r>
        </w:p>
        <w:p w14:paraId="23A0E22D">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_Toc2114581420 </w:instrText>
          </w:r>
          <w:r>
            <w:rPr>
              <w:rFonts w:asciiTheme="minorHAnsi" w:hAnsiTheme="minorHAnsi" w:eastAsiaTheme="minorEastAsia" w:cstheme="minorBidi"/>
              <w:szCs w:val="22"/>
              <w:lang w:val="en-US" w:eastAsia="en-US" w:bidi="ar-SA"/>
            </w:rPr>
            <w:fldChar w:fldCharType="separate"/>
          </w:r>
          <w:r>
            <w:t>2.4 Hungarian 动态调度方法</w:t>
          </w:r>
          <w:r>
            <w:tab/>
          </w:r>
          <w:r>
            <w:fldChar w:fldCharType="begin"/>
          </w:r>
          <w:r>
            <w:instrText xml:space="preserve"> PAGEREF _Toc2114581420 \h </w:instrText>
          </w:r>
          <w:r>
            <w:fldChar w:fldCharType="separate"/>
          </w:r>
          <w:r>
            <w:t>10</w:t>
          </w:r>
          <w:r>
            <w:fldChar w:fldCharType="end"/>
          </w:r>
          <w:r>
            <w:rPr>
              <w:rFonts w:asciiTheme="minorHAnsi" w:hAnsiTheme="minorHAnsi" w:eastAsiaTheme="minorEastAsia" w:cstheme="minorBidi"/>
              <w:szCs w:val="22"/>
              <w:lang w:val="en-US" w:eastAsia="en-US" w:bidi="ar-SA"/>
            </w:rPr>
            <w:fldChar w:fldCharType="end"/>
          </w:r>
        </w:p>
        <w:p w14:paraId="3ABC7CE5">
          <w:pPr>
            <w:pStyle w:val="27"/>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_Toc1063051737 </w:instrText>
          </w:r>
          <w:r>
            <w:rPr>
              <w:rFonts w:asciiTheme="minorHAnsi" w:hAnsiTheme="minorHAnsi" w:eastAsiaTheme="minorEastAsia" w:cstheme="minorBidi"/>
              <w:szCs w:val="22"/>
              <w:lang w:val="en-US" w:eastAsia="en-US" w:bidi="ar-SA"/>
            </w:rPr>
            <w:fldChar w:fldCharType="separate"/>
          </w:r>
          <w:r>
            <w:t>3 系统需求分析与总体设计</w:t>
          </w:r>
          <w:r>
            <w:tab/>
          </w:r>
          <w:r>
            <w:fldChar w:fldCharType="begin"/>
          </w:r>
          <w:r>
            <w:instrText xml:space="preserve"> PAGEREF _Toc1063051737 \h </w:instrText>
          </w:r>
          <w:r>
            <w:fldChar w:fldCharType="separate"/>
          </w:r>
          <w:r>
            <w:t>10</w:t>
          </w:r>
          <w:r>
            <w:fldChar w:fldCharType="end"/>
          </w:r>
          <w:r>
            <w:rPr>
              <w:rFonts w:asciiTheme="minorHAnsi" w:hAnsiTheme="minorHAnsi" w:eastAsiaTheme="minorEastAsia" w:cstheme="minorBidi"/>
              <w:szCs w:val="22"/>
              <w:lang w:val="en-US" w:eastAsia="en-US" w:bidi="ar-SA"/>
            </w:rPr>
            <w:fldChar w:fldCharType="end"/>
          </w:r>
        </w:p>
        <w:p w14:paraId="3755763D">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_Toc1794084366 </w:instrText>
          </w:r>
          <w:r>
            <w:rPr>
              <w:rFonts w:asciiTheme="minorHAnsi" w:hAnsiTheme="minorHAnsi" w:eastAsiaTheme="minorEastAsia" w:cstheme="minorBidi"/>
              <w:szCs w:val="22"/>
              <w:lang w:val="en-US" w:eastAsia="en-US" w:bidi="ar-SA"/>
            </w:rPr>
            <w:fldChar w:fldCharType="separate"/>
          </w:r>
          <w:r>
            <w:rPr>
              <w:bCs w:val="0"/>
            </w:rPr>
            <w:t>3.2 功能需求分析</w:t>
          </w:r>
          <w:r>
            <w:tab/>
          </w:r>
          <w:r>
            <w:fldChar w:fldCharType="begin"/>
          </w:r>
          <w:r>
            <w:instrText xml:space="preserve"> PAGEREF _Toc1794084366 \h </w:instrText>
          </w:r>
          <w:r>
            <w:fldChar w:fldCharType="separate"/>
          </w:r>
          <w:r>
            <w:t>11</w:t>
          </w:r>
          <w:r>
            <w:fldChar w:fldCharType="end"/>
          </w:r>
          <w:r>
            <w:rPr>
              <w:rFonts w:asciiTheme="minorHAnsi" w:hAnsiTheme="minorHAnsi" w:eastAsiaTheme="minorEastAsia" w:cstheme="minorBidi"/>
              <w:szCs w:val="22"/>
              <w:lang w:val="en-US" w:eastAsia="en-US" w:bidi="ar-SA"/>
            </w:rPr>
            <w:fldChar w:fldCharType="end"/>
          </w:r>
        </w:p>
        <w:p w14:paraId="0FD6A9CA">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_Toc358051835 </w:instrText>
          </w:r>
          <w:r>
            <w:rPr>
              <w:rFonts w:asciiTheme="minorHAnsi" w:hAnsiTheme="minorHAnsi" w:eastAsiaTheme="minorEastAsia" w:cstheme="minorBidi"/>
              <w:szCs w:val="22"/>
              <w:lang w:val="en-US" w:eastAsia="en-US" w:bidi="ar-SA"/>
            </w:rPr>
            <w:fldChar w:fldCharType="separate"/>
          </w:r>
          <w:r>
            <w:rPr>
              <w:bCs w:val="0"/>
            </w:rPr>
            <w:t>3.3 非功能需求分析</w:t>
          </w:r>
          <w:r>
            <w:tab/>
          </w:r>
          <w:r>
            <w:fldChar w:fldCharType="begin"/>
          </w:r>
          <w:r>
            <w:instrText xml:space="preserve"> PAGEREF _Toc358051835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30D00D60">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_Toc528011951 </w:instrText>
          </w:r>
          <w:r>
            <w:rPr>
              <w:rFonts w:asciiTheme="minorHAnsi" w:hAnsiTheme="minorHAnsi" w:eastAsiaTheme="minorEastAsia" w:cstheme="minorBidi"/>
              <w:szCs w:val="22"/>
              <w:lang w:val="en-US" w:eastAsia="en-US" w:bidi="ar-SA"/>
            </w:rPr>
            <w:fldChar w:fldCharType="separate"/>
          </w:r>
          <w:r>
            <w:rPr>
              <w:bCs w:val="0"/>
            </w:rPr>
            <w:t>3.4 系统总体架构设计</w:t>
          </w:r>
          <w:r>
            <w:tab/>
          </w:r>
          <w:r>
            <w:fldChar w:fldCharType="begin"/>
          </w:r>
          <w:r>
            <w:instrText xml:space="preserve"> PAGEREF _Toc528011951 \h </w:instrText>
          </w:r>
          <w:r>
            <w:fldChar w:fldCharType="separate"/>
          </w:r>
          <w:r>
            <w:t>12</w:t>
          </w:r>
          <w:r>
            <w:fldChar w:fldCharType="end"/>
          </w:r>
          <w:r>
            <w:rPr>
              <w:rFonts w:asciiTheme="minorHAnsi" w:hAnsiTheme="minorHAnsi" w:eastAsiaTheme="minorEastAsia" w:cstheme="minorBidi"/>
              <w:szCs w:val="22"/>
              <w:lang w:val="en-US" w:eastAsia="en-US" w:bidi="ar-SA"/>
            </w:rPr>
            <w:fldChar w:fldCharType="end"/>
          </w:r>
        </w:p>
        <w:p w14:paraId="0432FBF1">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_Toc894431053 </w:instrText>
          </w:r>
          <w:r>
            <w:rPr>
              <w:rFonts w:asciiTheme="minorHAnsi" w:hAnsiTheme="minorHAnsi" w:eastAsiaTheme="minorEastAsia" w:cstheme="minorBidi"/>
              <w:szCs w:val="22"/>
              <w:lang w:val="en-US" w:eastAsia="en-US" w:bidi="ar-SA"/>
            </w:rPr>
            <w:fldChar w:fldCharType="separate"/>
          </w:r>
          <w:r>
            <w:rPr>
              <w:bCs w:val="0"/>
            </w:rPr>
            <w:t>3.5 数据流与业务流设计</w:t>
          </w:r>
          <w:r>
            <w:tab/>
          </w:r>
          <w:r>
            <w:fldChar w:fldCharType="begin"/>
          </w:r>
          <w:r>
            <w:instrText xml:space="preserve"> PAGEREF _Toc894431053 \h </w:instrText>
          </w:r>
          <w:r>
            <w:fldChar w:fldCharType="separate"/>
          </w:r>
          <w:r>
            <w:t>14</w:t>
          </w:r>
          <w:r>
            <w:fldChar w:fldCharType="end"/>
          </w:r>
          <w:r>
            <w:rPr>
              <w:rFonts w:asciiTheme="minorHAnsi" w:hAnsiTheme="minorHAnsi" w:eastAsiaTheme="minorEastAsia" w:cstheme="minorBidi"/>
              <w:szCs w:val="22"/>
              <w:lang w:val="en-US" w:eastAsia="en-US" w:bidi="ar-SA"/>
            </w:rPr>
            <w:fldChar w:fldCharType="end"/>
          </w:r>
        </w:p>
        <w:p w14:paraId="38F0E01F">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_Toc317178771 </w:instrText>
          </w:r>
          <w:r>
            <w:rPr>
              <w:rFonts w:asciiTheme="minorHAnsi" w:hAnsiTheme="minorHAnsi" w:eastAsiaTheme="minorEastAsia" w:cstheme="minorBidi"/>
              <w:szCs w:val="22"/>
              <w:lang w:val="en-US" w:eastAsia="en-US" w:bidi="ar-SA"/>
            </w:rPr>
            <w:fldChar w:fldCharType="separate"/>
          </w:r>
          <w:r>
            <w:t>4 系统详细设计与实现</w:t>
          </w:r>
          <w:r>
            <w:tab/>
          </w:r>
          <w:r>
            <w:fldChar w:fldCharType="begin"/>
          </w:r>
          <w:r>
            <w:instrText xml:space="preserve"> PAGEREF _Toc317178771 \h </w:instrText>
          </w:r>
          <w:r>
            <w:fldChar w:fldCharType="separate"/>
          </w:r>
          <w:r>
            <w:t>15</w:t>
          </w:r>
          <w:r>
            <w:fldChar w:fldCharType="end"/>
          </w:r>
          <w:r>
            <w:rPr>
              <w:rFonts w:asciiTheme="minorHAnsi" w:hAnsiTheme="minorHAnsi" w:eastAsiaTheme="minorEastAsia" w:cstheme="minorBidi"/>
              <w:szCs w:val="22"/>
              <w:lang w:val="en-US" w:eastAsia="en-US" w:bidi="ar-SA"/>
            </w:rPr>
            <w:fldChar w:fldCharType="end"/>
          </w:r>
        </w:p>
        <w:p w14:paraId="60185421">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_Toc769192343 </w:instrText>
          </w:r>
          <w:r>
            <w:rPr>
              <w:rFonts w:asciiTheme="minorHAnsi" w:hAnsiTheme="minorHAnsi" w:eastAsiaTheme="minorEastAsia" w:cstheme="minorBidi"/>
              <w:szCs w:val="22"/>
              <w:lang w:val="en-US" w:eastAsia="en-US" w:bidi="ar-SA"/>
            </w:rPr>
            <w:fldChar w:fldCharType="separate"/>
          </w:r>
          <w:r>
            <w:rPr>
              <w:bCs w:val="0"/>
            </w:rPr>
            <w:t>4.1 服务划分与技术选型</w:t>
          </w:r>
          <w:r>
            <w:tab/>
          </w:r>
          <w:r>
            <w:fldChar w:fldCharType="begin"/>
          </w:r>
          <w:r>
            <w:instrText xml:space="preserve"> PAGEREF _Toc769192343 \h </w:instrText>
          </w:r>
          <w:r>
            <w:fldChar w:fldCharType="separate"/>
          </w:r>
          <w:r>
            <w:t>15</w:t>
          </w:r>
          <w:r>
            <w:fldChar w:fldCharType="end"/>
          </w:r>
          <w:r>
            <w:rPr>
              <w:rFonts w:asciiTheme="minorHAnsi" w:hAnsiTheme="minorHAnsi" w:eastAsiaTheme="minorEastAsia" w:cstheme="minorBidi"/>
              <w:szCs w:val="22"/>
              <w:lang w:val="en-US" w:eastAsia="en-US" w:bidi="ar-SA"/>
            </w:rPr>
            <w:fldChar w:fldCharType="end"/>
          </w:r>
        </w:p>
        <w:p w14:paraId="432DC31C">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_Toc2111637508 </w:instrText>
          </w:r>
          <w:r>
            <w:rPr>
              <w:rFonts w:asciiTheme="minorHAnsi" w:hAnsiTheme="minorHAnsi" w:eastAsiaTheme="minorEastAsia" w:cstheme="minorBidi"/>
              <w:szCs w:val="22"/>
              <w:lang w:val="en-US" w:eastAsia="en-US" w:bidi="ar-SA"/>
            </w:rPr>
            <w:fldChar w:fldCharType="separate"/>
          </w:r>
          <w:r>
            <w:rPr>
              <w:bCs w:val="0"/>
            </w:rPr>
            <w:t>4.2 多源数据接入与处理实现</w:t>
          </w:r>
          <w:r>
            <w:tab/>
          </w:r>
          <w:r>
            <w:fldChar w:fldCharType="begin"/>
          </w:r>
          <w:r>
            <w:instrText xml:space="preserve"> PAGEREF _Toc2111637508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40EF0FE7">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_Toc976846634 </w:instrText>
          </w:r>
          <w:r>
            <w:rPr>
              <w:rFonts w:asciiTheme="minorHAnsi" w:hAnsiTheme="minorHAnsi" w:eastAsiaTheme="minorEastAsia" w:cstheme="minorBidi"/>
              <w:szCs w:val="22"/>
              <w:lang w:val="en-US" w:eastAsia="en-US" w:bidi="ar-SA"/>
            </w:rPr>
            <w:fldChar w:fldCharType="separate"/>
          </w:r>
          <w:r>
            <w:rPr>
              <w:bCs w:val="0"/>
            </w:rPr>
            <w:t>4.3 预测与调度服务实现</w:t>
          </w:r>
          <w:r>
            <w:tab/>
          </w:r>
          <w:r>
            <w:fldChar w:fldCharType="begin"/>
          </w:r>
          <w:r>
            <w:instrText xml:space="preserve"> PAGEREF _Toc976846634 \h </w:instrText>
          </w:r>
          <w:r>
            <w:fldChar w:fldCharType="separate"/>
          </w:r>
          <w:r>
            <w:t>16</w:t>
          </w:r>
          <w:r>
            <w:fldChar w:fldCharType="end"/>
          </w:r>
          <w:r>
            <w:rPr>
              <w:rFonts w:asciiTheme="minorHAnsi" w:hAnsiTheme="minorHAnsi" w:eastAsiaTheme="minorEastAsia" w:cstheme="minorBidi"/>
              <w:szCs w:val="22"/>
              <w:lang w:val="en-US" w:eastAsia="en-US" w:bidi="ar-SA"/>
            </w:rPr>
            <w:fldChar w:fldCharType="end"/>
          </w:r>
        </w:p>
        <w:p w14:paraId="476BC58D">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_Toc348896323 </w:instrText>
          </w:r>
          <w:r>
            <w:rPr>
              <w:rFonts w:asciiTheme="minorHAnsi" w:hAnsiTheme="minorHAnsi" w:eastAsiaTheme="minorEastAsia" w:cstheme="minorBidi"/>
              <w:szCs w:val="22"/>
              <w:lang w:val="en-US" w:eastAsia="en-US" w:bidi="ar-SA"/>
            </w:rPr>
            <w:fldChar w:fldCharType="separate"/>
          </w:r>
          <w:r>
            <w:rPr>
              <w:bCs w:val="0"/>
            </w:rPr>
            <w:t>4.4 预约、计费与订单主链实现</w:t>
          </w:r>
          <w:r>
            <w:tab/>
          </w:r>
          <w:r>
            <w:fldChar w:fldCharType="begin"/>
          </w:r>
          <w:r>
            <w:instrText xml:space="preserve"> PAGEREF _Toc348896323 \h </w:instrText>
          </w:r>
          <w:r>
            <w:fldChar w:fldCharType="separate"/>
          </w:r>
          <w:r>
            <w:t>17</w:t>
          </w:r>
          <w:r>
            <w:fldChar w:fldCharType="end"/>
          </w:r>
          <w:r>
            <w:rPr>
              <w:rFonts w:asciiTheme="minorHAnsi" w:hAnsiTheme="minorHAnsi" w:eastAsiaTheme="minorEastAsia" w:cstheme="minorBidi"/>
              <w:szCs w:val="22"/>
              <w:lang w:val="en-US" w:eastAsia="en-US" w:bidi="ar-SA"/>
            </w:rPr>
            <w:fldChar w:fldCharType="end"/>
          </w:r>
        </w:p>
        <w:p w14:paraId="072749FB">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_Toc1270144351 </w:instrText>
          </w:r>
          <w:r>
            <w:rPr>
              <w:rFonts w:asciiTheme="minorHAnsi" w:hAnsiTheme="minorHAnsi" w:eastAsiaTheme="minorEastAsia" w:cstheme="minorBidi"/>
              <w:szCs w:val="22"/>
              <w:lang w:val="en-US" w:eastAsia="en-US" w:bidi="ar-SA"/>
            </w:rPr>
            <w:fldChar w:fldCharType="separate"/>
          </w:r>
          <w:r>
            <w:rPr>
              <w:bCs w:val="0"/>
            </w:rPr>
            <w:t>4.5 业主端页面实现</w:t>
          </w:r>
          <w:r>
            <w:tab/>
          </w:r>
          <w:r>
            <w:fldChar w:fldCharType="begin"/>
          </w:r>
          <w:r>
            <w:instrText xml:space="preserve"> PAGEREF _Toc1270144351 \h </w:instrText>
          </w:r>
          <w:r>
            <w:fldChar w:fldCharType="separate"/>
          </w:r>
          <w:r>
            <w:t>18</w:t>
          </w:r>
          <w:r>
            <w:fldChar w:fldCharType="end"/>
          </w:r>
          <w:r>
            <w:rPr>
              <w:rFonts w:asciiTheme="minorHAnsi" w:hAnsiTheme="minorHAnsi" w:eastAsiaTheme="minorEastAsia" w:cstheme="minorBidi"/>
              <w:szCs w:val="22"/>
              <w:lang w:val="en-US" w:eastAsia="en-US" w:bidi="ar-SA"/>
            </w:rPr>
            <w:fldChar w:fldCharType="end"/>
          </w:r>
        </w:p>
        <w:p w14:paraId="314CC87C">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_Toc1328656077 </w:instrText>
          </w:r>
          <w:r>
            <w:rPr>
              <w:rFonts w:asciiTheme="minorHAnsi" w:hAnsiTheme="minorHAnsi" w:eastAsiaTheme="minorEastAsia" w:cstheme="minorBidi"/>
              <w:szCs w:val="22"/>
              <w:lang w:val="en-US" w:eastAsia="en-US" w:bidi="ar-SA"/>
            </w:rPr>
            <w:fldChar w:fldCharType="separate"/>
          </w:r>
          <w:r>
            <w:rPr>
              <w:bCs w:val="0"/>
            </w:rPr>
            <w:t>4.6 物业端页面实现</w:t>
          </w:r>
          <w:r>
            <w:tab/>
          </w:r>
          <w:r>
            <w:fldChar w:fldCharType="begin"/>
          </w:r>
          <w:r>
            <w:instrText xml:space="preserve"> PAGEREF _Toc1328656077 \h </w:instrText>
          </w:r>
          <w:r>
            <w:fldChar w:fldCharType="separate"/>
          </w:r>
          <w:r>
            <w:t>19</w:t>
          </w:r>
          <w:r>
            <w:fldChar w:fldCharType="end"/>
          </w:r>
          <w:r>
            <w:rPr>
              <w:rFonts w:asciiTheme="minorHAnsi" w:hAnsiTheme="minorHAnsi" w:eastAsiaTheme="minorEastAsia" w:cstheme="minorBidi"/>
              <w:szCs w:val="22"/>
              <w:lang w:val="en-US" w:eastAsia="en-US" w:bidi="ar-SA"/>
            </w:rPr>
            <w:fldChar w:fldCharType="end"/>
          </w:r>
        </w:p>
        <w:p w14:paraId="11DEAF61">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_Toc1187724633 </w:instrText>
          </w:r>
          <w:r>
            <w:rPr>
              <w:rFonts w:asciiTheme="minorHAnsi" w:hAnsiTheme="minorHAnsi" w:eastAsiaTheme="minorEastAsia" w:cstheme="minorBidi"/>
              <w:szCs w:val="22"/>
              <w:lang w:val="en-US" w:eastAsia="en-US" w:bidi="ar-SA"/>
            </w:rPr>
            <w:fldChar w:fldCharType="separate"/>
          </w:r>
          <w:r>
            <w:rPr>
              <w:bCs w:val="0"/>
            </w:rPr>
            <w:t>4.7 可靠性与降级设计</w:t>
          </w:r>
          <w:r>
            <w:tab/>
          </w:r>
          <w:r>
            <w:fldChar w:fldCharType="begin"/>
          </w:r>
          <w:r>
            <w:instrText xml:space="preserve"> PAGEREF _Toc1187724633 \h </w:instrText>
          </w:r>
          <w:r>
            <w:fldChar w:fldCharType="separate"/>
          </w:r>
          <w:r>
            <w:t>20</w:t>
          </w:r>
          <w:r>
            <w:fldChar w:fldCharType="end"/>
          </w:r>
          <w:r>
            <w:rPr>
              <w:rFonts w:asciiTheme="minorHAnsi" w:hAnsiTheme="minorHAnsi" w:eastAsiaTheme="minorEastAsia" w:cstheme="minorBidi"/>
              <w:szCs w:val="22"/>
              <w:lang w:val="en-US" w:eastAsia="en-US" w:bidi="ar-SA"/>
            </w:rPr>
            <w:fldChar w:fldCharType="end"/>
          </w:r>
        </w:p>
        <w:p w14:paraId="603D1D9C">
          <w:pPr>
            <w:pStyle w:val="27"/>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_Toc1227407966 </w:instrText>
          </w:r>
          <w:r>
            <w:rPr>
              <w:rFonts w:asciiTheme="minorHAnsi" w:hAnsiTheme="minorHAnsi" w:eastAsiaTheme="minorEastAsia" w:cstheme="minorBidi"/>
              <w:szCs w:val="22"/>
              <w:lang w:val="en-US" w:eastAsia="en-US" w:bidi="ar-SA"/>
            </w:rPr>
            <w:fldChar w:fldCharType="separate"/>
          </w:r>
          <w:r>
            <w:rPr>
              <w:bCs w:val="0"/>
            </w:rPr>
            <w:t>5 系统测试与结果分析</w:t>
          </w:r>
          <w:r>
            <w:tab/>
          </w:r>
          <w:r>
            <w:fldChar w:fldCharType="begin"/>
          </w:r>
          <w:r>
            <w:instrText xml:space="preserve"> PAGEREF _Toc1227407966 \h </w:instrText>
          </w:r>
          <w:r>
            <w:fldChar w:fldCharType="separate"/>
          </w:r>
          <w:r>
            <w:t>20</w:t>
          </w:r>
          <w:r>
            <w:fldChar w:fldCharType="end"/>
          </w:r>
          <w:r>
            <w:rPr>
              <w:rFonts w:asciiTheme="minorHAnsi" w:hAnsiTheme="minorHAnsi" w:eastAsiaTheme="minorEastAsia" w:cstheme="minorBidi"/>
              <w:szCs w:val="22"/>
              <w:lang w:val="en-US" w:eastAsia="en-US" w:bidi="ar-SA"/>
            </w:rPr>
            <w:fldChar w:fldCharType="end"/>
          </w:r>
        </w:p>
        <w:p w14:paraId="31044106">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_Toc317771480 </w:instrText>
          </w:r>
          <w:r>
            <w:rPr>
              <w:rFonts w:asciiTheme="minorHAnsi" w:hAnsiTheme="minorHAnsi" w:eastAsiaTheme="minorEastAsia" w:cstheme="minorBidi"/>
              <w:szCs w:val="22"/>
              <w:lang w:val="en-US" w:eastAsia="en-US" w:bidi="ar-SA"/>
            </w:rPr>
            <w:fldChar w:fldCharType="separate"/>
          </w:r>
          <w:r>
            <w:rPr>
              <w:bCs w:val="0"/>
            </w:rPr>
            <w:t>5.1 测试依据与环境说明</w:t>
          </w:r>
          <w:r>
            <w:tab/>
          </w:r>
          <w:r>
            <w:fldChar w:fldCharType="begin"/>
          </w:r>
          <w:r>
            <w:instrText xml:space="preserve"> PAGEREF _Toc317771480 \h </w:instrText>
          </w:r>
          <w:r>
            <w:fldChar w:fldCharType="separate"/>
          </w:r>
          <w:r>
            <w:t>20</w:t>
          </w:r>
          <w:r>
            <w:fldChar w:fldCharType="end"/>
          </w:r>
          <w:r>
            <w:rPr>
              <w:rFonts w:asciiTheme="minorHAnsi" w:hAnsiTheme="minorHAnsi" w:eastAsiaTheme="minorEastAsia" w:cstheme="minorBidi"/>
              <w:szCs w:val="22"/>
              <w:lang w:val="en-US" w:eastAsia="en-US" w:bidi="ar-SA"/>
            </w:rPr>
            <w:fldChar w:fldCharType="end"/>
          </w:r>
        </w:p>
        <w:p w14:paraId="08D0F775">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_Toc2140917918 </w:instrText>
          </w:r>
          <w:r>
            <w:rPr>
              <w:rFonts w:asciiTheme="minorHAnsi" w:hAnsiTheme="minorHAnsi" w:eastAsiaTheme="minorEastAsia" w:cstheme="minorBidi"/>
              <w:szCs w:val="22"/>
              <w:lang w:val="en-US" w:eastAsia="en-US" w:bidi="ar-SA"/>
            </w:rPr>
            <w:fldChar w:fldCharType="separate"/>
          </w:r>
          <w:r>
            <w:rPr>
              <w:bCs w:val="0"/>
            </w:rPr>
            <w:t>5.2 数据与模型验证</w:t>
          </w:r>
          <w:r>
            <w:tab/>
          </w:r>
          <w:r>
            <w:fldChar w:fldCharType="begin"/>
          </w:r>
          <w:r>
            <w:instrText xml:space="preserve"> PAGEREF _Toc2140917918 \h </w:instrText>
          </w:r>
          <w:r>
            <w:fldChar w:fldCharType="separate"/>
          </w:r>
          <w:r>
            <w:t>21</w:t>
          </w:r>
          <w:r>
            <w:fldChar w:fldCharType="end"/>
          </w:r>
          <w:r>
            <w:rPr>
              <w:rFonts w:asciiTheme="minorHAnsi" w:hAnsiTheme="minorHAnsi" w:eastAsiaTheme="minorEastAsia" w:cstheme="minorBidi"/>
              <w:szCs w:val="22"/>
              <w:lang w:val="en-US" w:eastAsia="en-US" w:bidi="ar-SA"/>
            </w:rPr>
            <w:fldChar w:fldCharType="end"/>
          </w:r>
        </w:p>
        <w:p w14:paraId="3408E2D1">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_Toc1318942341 </w:instrText>
          </w:r>
          <w:r>
            <w:rPr>
              <w:rFonts w:asciiTheme="minorHAnsi" w:hAnsiTheme="minorHAnsi" w:eastAsiaTheme="minorEastAsia" w:cstheme="minorBidi"/>
              <w:szCs w:val="22"/>
              <w:lang w:val="en-US" w:eastAsia="en-US" w:bidi="ar-SA"/>
            </w:rPr>
            <w:fldChar w:fldCharType="separate"/>
          </w:r>
          <w:r>
            <w:rPr>
              <w:bCs w:val="0"/>
            </w:rPr>
            <w:t>5.3 业务闭环验证</w:t>
          </w:r>
          <w:r>
            <w:tab/>
          </w:r>
          <w:r>
            <w:fldChar w:fldCharType="begin"/>
          </w:r>
          <w:r>
            <w:instrText xml:space="preserve"> PAGEREF _Toc1318942341 \h </w:instrText>
          </w:r>
          <w:r>
            <w:fldChar w:fldCharType="separate"/>
          </w:r>
          <w:r>
            <w:t>22</w:t>
          </w:r>
          <w:r>
            <w:fldChar w:fldCharType="end"/>
          </w:r>
          <w:r>
            <w:rPr>
              <w:rFonts w:asciiTheme="minorHAnsi" w:hAnsiTheme="minorHAnsi" w:eastAsiaTheme="minorEastAsia" w:cstheme="minorBidi"/>
              <w:szCs w:val="22"/>
              <w:lang w:val="en-US" w:eastAsia="en-US" w:bidi="ar-SA"/>
            </w:rPr>
            <w:fldChar w:fldCharType="end"/>
          </w:r>
        </w:p>
        <w:p w14:paraId="50D6123E">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_Toc1137720853 </w:instrText>
          </w:r>
          <w:r>
            <w:rPr>
              <w:rFonts w:asciiTheme="minorHAnsi" w:hAnsiTheme="minorHAnsi" w:eastAsiaTheme="minorEastAsia" w:cstheme="minorBidi"/>
              <w:szCs w:val="22"/>
              <w:lang w:val="en-US" w:eastAsia="en-US" w:bidi="ar-SA"/>
            </w:rPr>
            <w:fldChar w:fldCharType="separate"/>
          </w:r>
          <w:r>
            <w:rPr>
              <w:bCs w:val="0"/>
            </w:rPr>
            <w:t>5.4 前端工程化与页面表现验证</w:t>
          </w:r>
          <w:r>
            <w:tab/>
          </w:r>
          <w:r>
            <w:fldChar w:fldCharType="begin"/>
          </w:r>
          <w:r>
            <w:instrText xml:space="preserve"> PAGEREF _Toc1137720853 \h </w:instrText>
          </w:r>
          <w:r>
            <w:fldChar w:fldCharType="separate"/>
          </w:r>
          <w:r>
            <w:t>22</w:t>
          </w:r>
          <w:r>
            <w:fldChar w:fldCharType="end"/>
          </w:r>
          <w:r>
            <w:rPr>
              <w:rFonts w:asciiTheme="minorHAnsi" w:hAnsiTheme="minorHAnsi" w:eastAsiaTheme="minorEastAsia" w:cstheme="minorBidi"/>
              <w:szCs w:val="22"/>
              <w:lang w:val="en-US" w:eastAsia="en-US" w:bidi="ar-SA"/>
            </w:rPr>
            <w:fldChar w:fldCharType="end"/>
          </w:r>
        </w:p>
        <w:p w14:paraId="463A9303">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_Toc479983483 </w:instrText>
          </w:r>
          <w:r>
            <w:rPr>
              <w:rFonts w:asciiTheme="minorHAnsi" w:hAnsiTheme="minorHAnsi" w:eastAsiaTheme="minorEastAsia" w:cstheme="minorBidi"/>
              <w:szCs w:val="22"/>
              <w:lang w:val="en-US" w:eastAsia="en-US" w:bidi="ar-SA"/>
            </w:rPr>
            <w:fldChar w:fldCharType="separate"/>
          </w:r>
          <w:r>
            <w:rPr>
              <w:bCs w:val="0"/>
            </w:rPr>
            <w:t>5.5 综合验收结果分析</w:t>
          </w:r>
          <w:r>
            <w:tab/>
          </w:r>
          <w:r>
            <w:fldChar w:fldCharType="begin"/>
          </w:r>
          <w:r>
            <w:instrText xml:space="preserve"> PAGEREF _Toc479983483 \h </w:instrText>
          </w:r>
          <w:r>
            <w:fldChar w:fldCharType="separate"/>
          </w:r>
          <w:r>
            <w:t>23</w:t>
          </w:r>
          <w:r>
            <w:fldChar w:fldCharType="end"/>
          </w:r>
          <w:r>
            <w:rPr>
              <w:rFonts w:asciiTheme="minorHAnsi" w:hAnsiTheme="minorHAnsi" w:eastAsiaTheme="minorEastAsia" w:cstheme="minorBidi"/>
              <w:szCs w:val="22"/>
              <w:lang w:val="en-US" w:eastAsia="en-US" w:bidi="ar-SA"/>
            </w:rPr>
            <w:fldChar w:fldCharType="end"/>
          </w:r>
        </w:p>
        <w:p w14:paraId="05B5777B">
          <w:pPr>
            <w:pStyle w:val="27"/>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_Toc1133820649 </w:instrText>
          </w:r>
          <w:r>
            <w:rPr>
              <w:rFonts w:asciiTheme="minorHAnsi" w:hAnsiTheme="minorHAnsi" w:eastAsiaTheme="minorEastAsia" w:cstheme="minorBidi"/>
              <w:szCs w:val="22"/>
              <w:lang w:val="en-US" w:eastAsia="en-US" w:bidi="ar-SA"/>
            </w:rPr>
            <w:fldChar w:fldCharType="separate"/>
          </w:r>
          <w:r>
            <w:rPr>
              <w:bCs w:val="0"/>
            </w:rPr>
            <w:t>6 结论</w:t>
          </w:r>
          <w:r>
            <w:tab/>
          </w:r>
          <w:r>
            <w:fldChar w:fldCharType="begin"/>
          </w:r>
          <w:r>
            <w:instrText xml:space="preserve"> PAGEREF _Toc1133820649 \h </w:instrText>
          </w:r>
          <w:r>
            <w:fldChar w:fldCharType="separate"/>
          </w:r>
          <w:r>
            <w:t>25</w:t>
          </w:r>
          <w:r>
            <w:fldChar w:fldCharType="end"/>
          </w:r>
          <w:r>
            <w:rPr>
              <w:rFonts w:asciiTheme="minorHAnsi" w:hAnsiTheme="minorHAnsi" w:eastAsiaTheme="minorEastAsia" w:cstheme="minorBidi"/>
              <w:szCs w:val="22"/>
              <w:lang w:val="en-US" w:eastAsia="en-US" w:bidi="ar-SA"/>
            </w:rPr>
            <w:fldChar w:fldCharType="end"/>
          </w:r>
        </w:p>
        <w:p w14:paraId="4A6DF22B">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_Toc1501247912 </w:instrText>
          </w:r>
          <w:r>
            <w:rPr>
              <w:rFonts w:asciiTheme="minorHAnsi" w:hAnsiTheme="minorHAnsi" w:eastAsiaTheme="minorEastAsia" w:cstheme="minorBidi"/>
              <w:szCs w:val="22"/>
              <w:lang w:val="en-US" w:eastAsia="en-US" w:bidi="ar-SA"/>
            </w:rPr>
            <w:fldChar w:fldCharType="separate"/>
          </w:r>
          <w:r>
            <w:rPr>
              <w:bCs w:val="0"/>
            </w:rPr>
            <w:t>6.1 主要结论</w:t>
          </w:r>
          <w:r>
            <w:tab/>
          </w:r>
          <w:r>
            <w:fldChar w:fldCharType="begin"/>
          </w:r>
          <w:r>
            <w:instrText xml:space="preserve"> PAGEREF _Toc1501247912 \h </w:instrText>
          </w:r>
          <w:r>
            <w:fldChar w:fldCharType="separate"/>
          </w:r>
          <w:r>
            <w:t>25</w:t>
          </w:r>
          <w:r>
            <w:fldChar w:fldCharType="end"/>
          </w:r>
          <w:r>
            <w:rPr>
              <w:rFonts w:asciiTheme="minorHAnsi" w:hAnsiTheme="minorHAnsi" w:eastAsiaTheme="minorEastAsia" w:cstheme="minorBidi"/>
              <w:szCs w:val="22"/>
              <w:lang w:val="en-US" w:eastAsia="en-US" w:bidi="ar-SA"/>
            </w:rPr>
            <w:fldChar w:fldCharType="end"/>
          </w:r>
        </w:p>
        <w:p w14:paraId="5D9849AB">
          <w:pPr>
            <w:pStyle w:val="30"/>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_Toc688288381 </w:instrText>
          </w:r>
          <w:r>
            <w:rPr>
              <w:rFonts w:asciiTheme="minorHAnsi" w:hAnsiTheme="minorHAnsi" w:eastAsiaTheme="minorEastAsia" w:cstheme="minorBidi"/>
              <w:szCs w:val="22"/>
              <w:lang w:val="en-US" w:eastAsia="en-US" w:bidi="ar-SA"/>
            </w:rPr>
            <w:fldChar w:fldCharType="separate"/>
          </w:r>
          <w:r>
            <w:rPr>
              <w:bCs w:val="0"/>
            </w:rPr>
            <w:t>6.2 不足与展望</w:t>
          </w:r>
          <w:r>
            <w:tab/>
          </w:r>
          <w:r>
            <w:fldChar w:fldCharType="begin"/>
          </w:r>
          <w:r>
            <w:instrText xml:space="preserve"> PAGEREF _Toc688288381 \h </w:instrText>
          </w:r>
          <w:r>
            <w:fldChar w:fldCharType="separate"/>
          </w:r>
          <w:r>
            <w:t>25</w:t>
          </w:r>
          <w:r>
            <w:fldChar w:fldCharType="end"/>
          </w:r>
          <w:r>
            <w:rPr>
              <w:rFonts w:asciiTheme="minorHAnsi" w:hAnsiTheme="minorHAnsi" w:eastAsiaTheme="minorEastAsia" w:cstheme="minorBidi"/>
              <w:szCs w:val="22"/>
              <w:lang w:val="en-US" w:eastAsia="en-US" w:bidi="ar-SA"/>
            </w:rPr>
            <w:fldChar w:fldCharType="end"/>
          </w:r>
        </w:p>
        <w:p w14:paraId="6F0362B5">
          <w:pPr>
            <w:pStyle w:val="27"/>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_Toc1715896725 </w:instrText>
          </w:r>
          <w:r>
            <w:rPr>
              <w:rFonts w:asciiTheme="minorHAnsi" w:hAnsiTheme="minorHAnsi" w:eastAsiaTheme="minorEastAsia" w:cstheme="minorBidi"/>
              <w:szCs w:val="22"/>
              <w:lang w:val="en-US" w:eastAsia="en-US" w:bidi="ar-SA"/>
            </w:rPr>
            <w:fldChar w:fldCharType="separate"/>
          </w:r>
          <w:r>
            <w:rPr>
              <w:bCs/>
            </w:rPr>
            <w:t>参考文献</w:t>
          </w:r>
          <w:r>
            <w:tab/>
          </w:r>
          <w:r>
            <w:fldChar w:fldCharType="begin"/>
          </w:r>
          <w:r>
            <w:instrText xml:space="preserve"> PAGEREF _Toc1715896725 \h </w:instrText>
          </w:r>
          <w:r>
            <w:fldChar w:fldCharType="separate"/>
          </w:r>
          <w:r>
            <w:t>27</w:t>
          </w:r>
          <w:r>
            <w:fldChar w:fldCharType="end"/>
          </w:r>
          <w:r>
            <w:rPr>
              <w:rFonts w:asciiTheme="minorHAnsi" w:hAnsiTheme="minorHAnsi" w:eastAsiaTheme="minorEastAsia" w:cstheme="minorBidi"/>
              <w:szCs w:val="22"/>
              <w:lang w:val="en-US" w:eastAsia="en-US" w:bidi="ar-SA"/>
            </w:rPr>
            <w:fldChar w:fldCharType="end"/>
          </w:r>
        </w:p>
        <w:p w14:paraId="269C80EF">
          <w:pPr>
            <w:pStyle w:val="27"/>
            <w:tabs>
              <w:tab w:val="right" w:leader="dot" w:pos="8612"/>
            </w:tabs>
          </w:pPr>
          <w:r>
            <w:rPr>
              <w:rFonts w:asciiTheme="minorHAnsi" w:hAnsiTheme="minorHAnsi" w:eastAsiaTheme="minorEastAsia" w:cstheme="minorBidi"/>
              <w:szCs w:val="22"/>
              <w:lang w:val="en-US" w:eastAsia="en-US" w:bidi="ar-SA"/>
            </w:rPr>
            <w:fldChar w:fldCharType="begin"/>
          </w:r>
          <w:r>
            <w:rPr>
              <w:rFonts w:asciiTheme="minorHAnsi" w:hAnsiTheme="minorHAnsi" w:eastAsiaTheme="minorEastAsia" w:cstheme="minorBidi"/>
              <w:szCs w:val="22"/>
              <w:lang w:val="en-US" w:eastAsia="en-US" w:bidi="ar-SA"/>
            </w:rPr>
            <w:instrText xml:space="preserve"> HYPERLINK \l _Toc518361512 </w:instrText>
          </w:r>
          <w:r>
            <w:rPr>
              <w:rFonts w:asciiTheme="minorHAnsi" w:hAnsiTheme="minorHAnsi" w:eastAsiaTheme="minorEastAsia" w:cstheme="minorBidi"/>
              <w:szCs w:val="22"/>
              <w:lang w:val="en-US" w:eastAsia="en-US" w:bidi="ar-SA"/>
            </w:rPr>
            <w:fldChar w:fldCharType="separate"/>
          </w:r>
          <w:r>
            <w:rPr>
              <w:bCs w:val="0"/>
            </w:rPr>
            <w:t>致谢</w:t>
          </w:r>
          <w:r>
            <w:tab/>
          </w:r>
          <w:r>
            <w:fldChar w:fldCharType="begin"/>
          </w:r>
          <w:r>
            <w:instrText xml:space="preserve"> PAGEREF _Toc518361512 \h </w:instrText>
          </w:r>
          <w:r>
            <w:fldChar w:fldCharType="separate"/>
          </w:r>
          <w:r>
            <w:t>28</w:t>
          </w:r>
          <w:r>
            <w:fldChar w:fldCharType="end"/>
          </w:r>
          <w:r>
            <w:rPr>
              <w:rFonts w:asciiTheme="minorHAnsi" w:hAnsiTheme="minorHAnsi" w:eastAsiaTheme="minorEastAsia" w:cstheme="minorBidi"/>
              <w:szCs w:val="22"/>
              <w:lang w:val="en-US" w:eastAsia="en-US" w:bidi="ar-SA"/>
            </w:rPr>
            <w:fldChar w:fldCharType="end"/>
          </w:r>
        </w:p>
        <w:p w14:paraId="792B8DEA">
          <w:pPr>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Cs w:val="22"/>
              <w:lang w:val="en-US" w:eastAsia="en-US" w:bidi="ar-SA"/>
            </w:rPr>
            <w:fldChar w:fldCharType="end"/>
          </w:r>
        </w:p>
      </w:sdtContent>
    </w:sdt>
    <w:p w14:paraId="72305E05">
      <w:pPr>
        <w:rPr>
          <w:rFonts w:asciiTheme="minorHAnsi" w:hAnsiTheme="minorHAnsi" w:eastAsiaTheme="minorEastAsia" w:cstheme="minorBidi"/>
          <w:sz w:val="22"/>
          <w:szCs w:val="22"/>
          <w:lang w:val="en-US" w:eastAsia="en-US" w:bidi="ar-SA"/>
        </w:rPr>
      </w:pPr>
    </w:p>
    <w:p w14:paraId="3C2CCEDA">
      <w:pPr>
        <w:pStyle w:val="3"/>
        <w:bidi w:val="0"/>
        <w:jc w:val="center"/>
        <w:rPr>
          <w:rFonts w:hint="eastAsia" w:asciiTheme="majorEastAsia" w:hAnsiTheme="majorEastAsia" w:eastAsiaTheme="majorEastAsia" w:cstheme="majorEastAsia"/>
          <w:color w:val="000000" w:themeColor="text1"/>
          <w14:textFill>
            <w14:solidFill>
              <w14:schemeClr w14:val="tx1"/>
            </w14:solidFill>
          </w14:textFill>
        </w:rPr>
      </w:pPr>
      <w:bookmarkStart w:id="0" w:name="_Toc1225681764"/>
      <w:bookmarkStart w:id="1" w:name="_Toc2128186846"/>
      <w:r>
        <w:rPr>
          <w:rFonts w:hint="eastAsia" w:asciiTheme="majorEastAsia" w:hAnsiTheme="majorEastAsia" w:eastAsiaTheme="majorEastAsia" w:cstheme="majorEastAsia"/>
          <w:color w:val="000000" w:themeColor="text1"/>
          <w14:textFill>
            <w14:solidFill>
              <w14:schemeClr w14:val="tx1"/>
            </w14:solidFill>
          </w14:textFill>
        </w:rPr>
        <w:t>1 绪论</w:t>
      </w:r>
      <w:bookmarkEnd w:id="0"/>
      <w:bookmarkEnd w:id="1"/>
    </w:p>
    <w:p w14:paraId="65DDA4B7">
      <w:pPr>
        <w:pStyle w:val="4"/>
        <w:bidi w:val="0"/>
        <w:rPr>
          <w:color w:val="000000" w:themeColor="text1"/>
          <w14:textFill>
            <w14:solidFill>
              <w14:schemeClr w14:val="tx1"/>
            </w14:solidFill>
          </w14:textFill>
        </w:rPr>
      </w:pPr>
      <w:bookmarkStart w:id="2" w:name="_Toc2096179937"/>
      <w:bookmarkStart w:id="3" w:name="_Toc1370265524"/>
      <w:r>
        <w:rPr>
          <w:color w:val="000000" w:themeColor="text1"/>
          <w14:textFill>
            <w14:solidFill>
              <w14:schemeClr w14:val="tx1"/>
            </w14:solidFill>
          </w14:textFill>
        </w:rPr>
        <w:t>1.1 研究背景</w:t>
      </w:r>
      <w:bookmarkEnd w:id="2"/>
      <w:bookmarkEnd w:id="3"/>
    </w:p>
    <w:p w14:paraId="3F007BB7">
      <w:pPr>
        <w:spacing w:before="0" w:after="120" w:line="360" w:lineRule="auto"/>
        <w:ind w:firstLine="420"/>
        <w:jc w:val="both"/>
      </w:pPr>
      <w:r>
        <w:rPr>
          <w:rFonts w:ascii="Times New Roman" w:hAnsi="Times New Roman" w:eastAsia="宋体"/>
          <w:b w:val="0"/>
          <w:sz w:val="24"/>
        </w:rPr>
        <w:t>随着城市化进程不断推进，居民日常出行对机动车的依赖程度越来越高，社区停车问题也变得更加突出。对于社区这种半封闭场景来说，问题往往不是单纯的“有没有车位”，而是“能不能及时知道哪些车位可用”“能不能把空闲资源分配给合适的人”“能不能让停车流程更顺畅”。现实中常见的情况是，一边有车主在场内反复找车位，另一边又有部分共享车位没有被及时利用，这说明停车管理中的信息流和业务流并没有真正打通。</w:t>
      </w:r>
    </w:p>
    <w:p w14:paraId="1BE7AC9B">
      <w:pPr>
        <w:spacing w:before="0" w:after="120" w:line="360" w:lineRule="auto"/>
        <w:ind w:firstLine="420"/>
        <w:jc w:val="both"/>
      </w:pPr>
      <w:r>
        <w:rPr>
          <w:rFonts w:ascii="Times New Roman" w:hAnsi="Times New Roman" w:eastAsia="宋体"/>
          <w:b w:val="0"/>
          <w:sz w:val="24"/>
        </w:rPr>
        <w:t>另一方面，物业管理人员也不只是关心当前有没有空位，他们还希望看到收益变化、占用趋势、系统运行状态以及异常时的处理情况。如果系统只能提供一个静态车位列表，实际价值会比较有限。因此，社区智慧停车系统既要解决用户侧的推荐、预约、计费和导航问题，也要兼顾管理侧的经营分析和状态解释能力。</w:t>
      </w:r>
    </w:p>
    <w:p w14:paraId="3D2057C3">
      <w:pPr>
        <w:spacing w:before="0" w:after="120" w:line="360" w:lineRule="auto"/>
        <w:ind w:firstLine="420"/>
        <w:jc w:val="both"/>
      </w:pPr>
      <w:r>
        <w:rPr>
          <w:rFonts w:ascii="Times New Roman" w:hAnsi="Times New Roman" w:eastAsia="宋体"/>
          <w:b w:val="0"/>
          <w:sz w:val="24"/>
        </w:rPr>
        <w:t>从毕业设计选题角度来看，社区智慧停车是一个比较适合本科阶段完成的综合型题目。它既涉及数据采集和处理，也涉及预测与调度方法，还涉及前后端协同和系统稳定性设计。通过这个课题，可以把平时课程中学到的数据分析、系统设计和工程实现知识放到同一个项目中进行实践。</w:t>
      </w:r>
    </w:p>
    <w:p w14:paraId="26A0CDD9">
      <w:pPr>
        <w:pStyle w:val="4"/>
        <w:bidi w:val="0"/>
        <w:rPr>
          <w:color w:val="000000" w:themeColor="text1"/>
          <w14:textFill>
            <w14:solidFill>
              <w14:schemeClr w14:val="tx1"/>
            </w14:solidFill>
          </w14:textFill>
        </w:rPr>
      </w:pPr>
      <w:bookmarkStart w:id="4" w:name="_Toc438031440"/>
      <w:bookmarkStart w:id="5" w:name="_Toc1026972124"/>
      <w:r>
        <w:rPr>
          <w:color w:val="000000" w:themeColor="text1"/>
          <w14:textFill>
            <w14:solidFill>
              <w14:schemeClr w14:val="tx1"/>
            </w14:solidFill>
          </w14:textFill>
        </w:rPr>
        <w:t>1.2 研究意义</w:t>
      </w:r>
      <w:bookmarkEnd w:id="4"/>
      <w:bookmarkEnd w:id="5"/>
    </w:p>
    <w:p w14:paraId="3AD84D91">
      <w:pPr>
        <w:spacing w:before="0" w:after="120" w:line="360" w:lineRule="auto"/>
        <w:ind w:firstLine="420"/>
        <w:jc w:val="both"/>
      </w:pPr>
      <w:r>
        <w:rPr>
          <w:rFonts w:ascii="Times New Roman" w:hAnsi="Times New Roman" w:eastAsia="宋体"/>
          <w:b w:val="0"/>
          <w:sz w:val="24"/>
        </w:rPr>
        <w:t>本课题的研究意义主要体现在应用层面和工程层面两个方面。</w:t>
      </w:r>
    </w:p>
    <w:p w14:paraId="729AA6CB">
      <w:pPr>
        <w:spacing w:before="0" w:after="120" w:line="360" w:lineRule="auto"/>
        <w:ind w:firstLine="420"/>
        <w:jc w:val="both"/>
      </w:pPr>
      <w:r>
        <w:rPr>
          <w:rFonts w:ascii="Times New Roman" w:hAnsi="Times New Roman" w:eastAsia="宋体"/>
          <w:b w:val="0"/>
          <w:sz w:val="24"/>
        </w:rPr>
        <w:t>在应用层面，构建一套智慧社区停车调度与共享系统，有助于提升车位资源利用率，减少车主寻找车位所花费的时间，并改善社区停车流程体验。对于物业管理人员来说，系统能够提供经营摘要、占用趋势和运行状态说明，也有利于提高管理的直观性和及时性。</w:t>
      </w:r>
    </w:p>
    <w:p w14:paraId="3C8AF326">
      <w:pPr>
        <w:spacing w:before="0" w:after="120" w:line="360" w:lineRule="auto"/>
        <w:ind w:firstLine="420"/>
        <w:jc w:val="both"/>
      </w:pPr>
      <w:r>
        <w:rPr>
          <w:rFonts w:ascii="Times New Roman" w:hAnsi="Times New Roman" w:eastAsia="宋体"/>
          <w:b w:val="0"/>
          <w:sz w:val="24"/>
        </w:rPr>
        <w:t>在工程层面，本课题不是只完成一个简单页面或某个单独算法，而是尝试把多源数据处理、需求预测、动态调度、预约计费导航和经营监控放在同一套系统中完成。通过这一过程，可以更完整地体现数据分析方法与软件工程实践的结合，也更符合本科毕业设计对完整性和可验证性的要求。</w:t>
      </w:r>
    </w:p>
    <w:p w14:paraId="5D6FAC37">
      <w:pPr>
        <w:pStyle w:val="4"/>
        <w:bidi w:val="0"/>
        <w:rPr>
          <w:color w:val="000000" w:themeColor="text1"/>
          <w14:textFill>
            <w14:solidFill>
              <w14:schemeClr w14:val="tx1"/>
            </w14:solidFill>
          </w14:textFill>
        </w:rPr>
      </w:pPr>
      <w:bookmarkStart w:id="6" w:name="_Toc994417129"/>
      <w:bookmarkStart w:id="7" w:name="_Toc420470164"/>
      <w:r>
        <w:rPr>
          <w:color w:val="000000" w:themeColor="text1"/>
          <w14:textFill>
            <w14:solidFill>
              <w14:schemeClr w14:val="tx1"/>
            </w14:solidFill>
          </w14:textFill>
        </w:rPr>
        <w:t>1.3 国内外研究现状</w:t>
      </w:r>
      <w:bookmarkEnd w:id="6"/>
      <w:bookmarkEnd w:id="7"/>
    </w:p>
    <w:p w14:paraId="1497303B">
      <w:pPr>
        <w:spacing w:before="0" w:after="120" w:line="360" w:lineRule="auto"/>
        <w:ind w:firstLine="420"/>
        <w:jc w:val="both"/>
      </w:pPr>
      <w:r>
        <w:rPr>
          <w:rFonts w:ascii="Times New Roman" w:hAnsi="Times New Roman" w:eastAsia="宋体"/>
          <w:b w:val="0"/>
          <w:sz w:val="24"/>
        </w:rPr>
        <w:t>从现有研究来看，智慧停车相关工作大致可以分为三个方向。第一类工作重点在停车信息采集和状态感知，通过传感器、出入记录或管理平台实现车位状态展示和后台管理。第二类工作更关注停车需求预测，希望通过时间序列分析或机器学习方法预估某一时段的占用情况。第三类工作主要研究车位分配、路径规划和资源调度，目标是在一定约束条件下提升匹配效率。</w:t>
      </w:r>
    </w:p>
    <w:p w14:paraId="07659254">
      <w:pPr>
        <w:spacing w:before="0" w:after="120" w:line="360" w:lineRule="auto"/>
        <w:ind w:firstLine="420"/>
        <w:jc w:val="both"/>
      </w:pPr>
      <w:r>
        <w:rPr>
          <w:rFonts w:ascii="Times New Roman" w:hAnsi="Times New Roman" w:eastAsia="宋体"/>
          <w:b w:val="0"/>
          <w:sz w:val="24"/>
        </w:rPr>
        <w:t>从系统实现角度看，前后端分离和微服务架构已经成为比较常见的技术路线。后端通常使用成熟的服务框架承载业务逻辑，数据库、缓存和消息机制负责支持订单、状态和统计信息管理；前端则普遍使用现代 Web 框架完成交互展示，并结合地图、图表等组件增强可视化效果。这说明相关研究已经不再停留在单纯的信息展示层面，而是逐步向业务闭环和平台协同方向发展。</w:t>
      </w:r>
    </w:p>
    <w:p w14:paraId="15E14B09">
      <w:pPr>
        <w:spacing w:before="0" w:after="120" w:line="360" w:lineRule="auto"/>
        <w:ind w:firstLine="420"/>
        <w:jc w:val="both"/>
      </w:pPr>
      <w:r>
        <w:rPr>
          <w:rFonts w:ascii="Times New Roman" w:hAnsi="Times New Roman" w:eastAsia="宋体"/>
          <w:b w:val="0"/>
          <w:sz w:val="24"/>
        </w:rPr>
        <w:t>不过，很多已有研究仍然偏向单点优化。比如有的系统更强调预测模型效果，但和真实业务流程结合不够紧密；有的系统把主要精力放在页面功能展示上，却没有充分考虑并发控制、异常降级和实时状态管理等工程问题。对本科毕业设计来说，如果只完成局部功能，很难形成一套前后连贯、能够被完整验证的系统成果。因此，本文选择从多源数据融合、轻量预测、动态调度和业务闭环相结合的角度开展设计与实现。</w:t>
      </w:r>
    </w:p>
    <w:p w14:paraId="6AF3305D">
      <w:pPr>
        <w:pStyle w:val="4"/>
        <w:bidi w:val="0"/>
        <w:jc w:val="left"/>
        <w:rPr>
          <w:color w:val="000000" w:themeColor="text1"/>
          <w14:textFill>
            <w14:solidFill>
              <w14:schemeClr w14:val="tx1"/>
            </w14:solidFill>
          </w14:textFill>
        </w:rPr>
      </w:pPr>
      <w:bookmarkStart w:id="8" w:name="_Toc1620847718"/>
      <w:bookmarkStart w:id="9" w:name="_Toc1450946149"/>
      <w:r>
        <w:rPr>
          <w:color w:val="000000" w:themeColor="text1"/>
          <w14:textFill>
            <w14:solidFill>
              <w14:schemeClr w14:val="tx1"/>
            </w14:solidFill>
          </w14:textFill>
        </w:rPr>
        <w:t>1.4 本文主要研究内容</w:t>
      </w:r>
      <w:bookmarkEnd w:id="8"/>
      <w:bookmarkEnd w:id="9"/>
    </w:p>
    <w:p w14:paraId="634C90AD">
      <w:pPr>
        <w:spacing w:before="0" w:after="120" w:line="360" w:lineRule="auto"/>
        <w:ind w:firstLine="420"/>
        <w:jc w:val="both"/>
      </w:pPr>
      <w:r>
        <w:rPr>
          <w:rFonts w:ascii="Times New Roman" w:hAnsi="Times New Roman" w:eastAsia="宋体"/>
          <w:b w:val="0"/>
          <w:sz w:val="24"/>
        </w:rPr>
        <w:t>本文主要围绕社区智慧停车系统的设计与实现展开，研究内容包括以下几个方面。</w:t>
      </w:r>
    </w:p>
    <w:p w14:paraId="222C20F4">
      <w:pPr>
        <w:spacing w:before="0" w:after="120" w:line="360" w:lineRule="auto"/>
        <w:ind w:firstLine="420"/>
        <w:jc w:val="both"/>
      </w:pPr>
      <w:r>
        <w:rPr>
          <w:rFonts w:ascii="Times New Roman" w:hAnsi="Times New Roman" w:eastAsia="宋体"/>
          <w:b w:val="0"/>
          <w:sz w:val="24"/>
        </w:rPr>
        <w:t>第一，完成多源数据融合设计。系统将车位状态、车辆进出记录和住户出行规律等信息进行整合，为后续预测、调度和经营分析提供数据基础。</w:t>
      </w:r>
    </w:p>
    <w:p w14:paraId="2DF04382">
      <w:pPr>
        <w:spacing w:before="0" w:after="120" w:line="360" w:lineRule="auto"/>
        <w:ind w:firstLine="420"/>
        <w:jc w:val="both"/>
      </w:pPr>
      <w:r>
        <w:rPr>
          <w:rFonts w:ascii="Times New Roman" w:hAnsi="Times New Roman" w:eastAsia="宋体"/>
          <w:b w:val="0"/>
          <w:sz w:val="24"/>
        </w:rPr>
        <w:t>第二，完成停车需求预测与动态调度设计。系统使用 LSTM-Lite 对供需变化进行估计，并结合 Hungarian 方法实现动态车位匹配，使预测结果能够真正服务于业务流程。</w:t>
      </w:r>
    </w:p>
    <w:p w14:paraId="605EA918">
      <w:pPr>
        <w:spacing w:before="0" w:after="120" w:line="360" w:lineRule="auto"/>
        <w:ind w:firstLine="420"/>
        <w:jc w:val="both"/>
      </w:pPr>
      <w:r>
        <w:rPr>
          <w:rFonts w:ascii="Times New Roman" w:hAnsi="Times New Roman" w:eastAsia="宋体"/>
          <w:b w:val="0"/>
          <w:sz w:val="24"/>
        </w:rPr>
        <w:t>第三，完成停车业务闭环实现。围绕推荐、预约、订单、计费和导航等主要场景，对业主端页面和后端主链进行联通设计，形成较完整的使用流程。</w:t>
      </w:r>
    </w:p>
    <w:p w14:paraId="08EE1135">
      <w:pPr>
        <w:spacing w:before="0" w:after="120" w:line="360" w:lineRule="auto"/>
        <w:ind w:firstLine="420"/>
        <w:jc w:val="both"/>
      </w:pPr>
      <w:r>
        <w:rPr>
          <w:rFonts w:ascii="Times New Roman" w:hAnsi="Times New Roman" w:eastAsia="宋体"/>
          <w:b w:val="0"/>
          <w:sz w:val="24"/>
        </w:rPr>
        <w:t>第四，完成物业端经营监控与状态展示实现。系统通过 dashboard 聚合接口、趋势图表和状态提示，使管理人员能够同时看到经营结果和系统运行情况。</w:t>
      </w:r>
    </w:p>
    <w:p w14:paraId="2AD282A0">
      <w:pPr>
        <w:spacing w:before="0" w:after="120" w:line="360" w:lineRule="auto"/>
        <w:ind w:firstLine="420"/>
        <w:jc w:val="both"/>
      </w:pPr>
      <w:r>
        <w:rPr>
          <w:rFonts w:ascii="Times New Roman" w:hAnsi="Times New Roman" w:eastAsia="宋体"/>
          <w:b w:val="0"/>
          <w:sz w:val="24"/>
        </w:rPr>
        <w:t>第五，完成系统测试与验收分析。结合架构文档、阶段报告和综合验收材料，对系统在数据、功能、可靠性和工程化方面的表现进行总结。</w:t>
      </w:r>
    </w:p>
    <w:p w14:paraId="0BCC829B">
      <w:pPr>
        <w:pStyle w:val="3"/>
        <w:bidi w:val="0"/>
        <w:rPr>
          <w:color w:val="000000" w:themeColor="text1"/>
          <w14:textFill>
            <w14:solidFill>
              <w14:schemeClr w14:val="tx1"/>
            </w14:solidFill>
          </w14:textFill>
        </w:rPr>
      </w:pPr>
      <w:bookmarkStart w:id="10" w:name="_Toc1375114558"/>
      <w:bookmarkStart w:id="11" w:name="_Toc757534231"/>
      <w:r>
        <w:rPr>
          <w:color w:val="000000" w:themeColor="text1"/>
          <w14:textFill>
            <w14:solidFill>
              <w14:schemeClr w14:val="tx1"/>
            </w14:solidFill>
          </w14:textFill>
        </w:rPr>
        <w:t>2 相关技术与理论基础</w:t>
      </w:r>
      <w:bookmarkEnd w:id="10"/>
      <w:bookmarkEnd w:id="11"/>
    </w:p>
    <w:p w14:paraId="6F362F02">
      <w:pPr>
        <w:pStyle w:val="4"/>
        <w:bidi w:val="0"/>
        <w:rPr>
          <w:color w:val="000000" w:themeColor="text1"/>
          <w14:textFill>
            <w14:solidFill>
              <w14:schemeClr w14:val="tx1"/>
            </w14:solidFill>
          </w14:textFill>
        </w:rPr>
      </w:pPr>
      <w:bookmarkStart w:id="12" w:name="_Toc331367292"/>
      <w:bookmarkStart w:id="13" w:name="_Toc1594761001"/>
      <w:r>
        <w:rPr>
          <w:color w:val="000000" w:themeColor="text1"/>
          <w14:textFill>
            <w14:solidFill>
              <w14:schemeClr w14:val="tx1"/>
            </w14:solidFill>
          </w14:textFill>
        </w:rPr>
        <w:t>2.1 微服务架构与前后端分离</w:t>
      </w:r>
      <w:bookmarkEnd w:id="12"/>
      <w:bookmarkEnd w:id="13"/>
    </w:p>
    <w:p w14:paraId="4B8991CD">
      <w:pPr>
        <w:spacing w:before="0" w:after="120" w:line="360" w:lineRule="auto"/>
        <w:ind w:firstLine="420"/>
        <w:jc w:val="both"/>
      </w:pPr>
      <w:r>
        <w:rPr>
          <w:rFonts w:ascii="Times New Roman" w:hAnsi="Times New Roman" w:eastAsia="宋体"/>
          <w:b w:val="0"/>
          <w:sz w:val="24"/>
        </w:rPr>
        <w:t>为了让系统职责更清楚、后续扩展更方便，本文采用微服务加前后端分离的实现思路。网关服务负责统一入口和服务治理，停车主业务服务负责预约、计费、订单和 dashboard 聚合等核心功能，模型服务负责预测与调度，实时服务负责状态推送与回退支撑，前端则负责业主端和物业端界面展示。</w:t>
      </w:r>
    </w:p>
    <w:p w14:paraId="0482565A">
      <w:pPr>
        <w:spacing w:before="0" w:after="120" w:line="360" w:lineRule="auto"/>
        <w:ind w:firstLine="420"/>
        <w:jc w:val="both"/>
      </w:pPr>
      <w:r>
        <w:rPr>
          <w:rFonts w:ascii="Times New Roman" w:hAnsi="Times New Roman" w:eastAsia="宋体"/>
          <w:b w:val="0"/>
          <w:sz w:val="24"/>
        </w:rPr>
        <w:t>相比把所有功能都放在同一个应用中的做法，这种结构更适合毕业设计阶段的模块化实现。各模块职责相对清楚，论文写作时也更容易从整体到局部展开说明。同时，前后端分离可以让页面表现和后端逻辑分别组织，便于后续修改和联调。</w:t>
      </w:r>
    </w:p>
    <w:p w14:paraId="1537B0A7">
      <w:pPr>
        <w:pStyle w:val="4"/>
        <w:bidi w:val="0"/>
        <w:rPr>
          <w:color w:val="000000" w:themeColor="text1"/>
          <w14:textFill>
            <w14:solidFill>
              <w14:schemeClr w14:val="tx1"/>
            </w14:solidFill>
          </w14:textFill>
        </w:rPr>
      </w:pPr>
      <w:bookmarkStart w:id="14" w:name="_Toc864979973"/>
      <w:bookmarkStart w:id="15" w:name="_Toc404745600"/>
      <w:r>
        <w:rPr>
          <w:color w:val="000000" w:themeColor="text1"/>
          <w14:textFill>
            <w14:solidFill>
              <w14:schemeClr w14:val="tx1"/>
            </w14:solidFill>
          </w14:textFill>
        </w:rPr>
        <w:t>2.2 多源数据融合</w:t>
      </w:r>
      <w:bookmarkEnd w:id="14"/>
      <w:bookmarkEnd w:id="15"/>
    </w:p>
    <w:p w14:paraId="7D53B9CB">
      <w:pPr>
        <w:spacing w:before="0" w:after="120" w:line="360" w:lineRule="auto"/>
        <w:ind w:firstLine="420"/>
        <w:jc w:val="both"/>
      </w:pPr>
      <w:r>
        <w:rPr>
          <w:rFonts w:ascii="Times New Roman" w:hAnsi="Times New Roman" w:eastAsia="宋体"/>
          <w:b w:val="0"/>
          <w:sz w:val="24"/>
        </w:rPr>
        <w:t>本系统的数据基础并不只来自单一车位表，而是综合考虑车位状态、车辆进出记录和住户出行规律等多类数据。通过数据清洗、字段对齐和特征构建，可以形成更适合预测和调度的输入，使系统对社区停车场景的描述更加完整，也让推荐和经营分析不再只依赖某一个瞬时状态。</w:t>
      </w:r>
    </w:p>
    <w:p w14:paraId="7D593838">
      <w:pPr>
        <w:spacing w:before="0" w:after="120" w:line="360" w:lineRule="auto"/>
        <w:ind w:firstLine="420"/>
        <w:jc w:val="both"/>
      </w:pPr>
      <w:r>
        <w:rPr>
          <w:rFonts w:ascii="Times New Roman" w:hAnsi="Times New Roman" w:eastAsia="宋体"/>
          <w:b w:val="0"/>
          <w:sz w:val="24"/>
        </w:rPr>
        <w:t>在社区停车场景中，不同类型数据之间有明显的互补关系。车位状态数据可以反映某个时间点的即时信息，车辆进出记录能够体现历史变化过程，而住户出行规律则有助于描述周期性需求。将这些信息结合起来，能够让后续模型和调度逻辑拥有更稳定的输入基础。</w:t>
      </w:r>
    </w:p>
    <w:p w14:paraId="174BD3D1">
      <w:pPr>
        <w:pStyle w:val="4"/>
        <w:bidi w:val="0"/>
        <w:rPr>
          <w:color w:val="000000" w:themeColor="text1"/>
          <w14:textFill>
            <w14:solidFill>
              <w14:schemeClr w14:val="tx1"/>
            </w14:solidFill>
          </w14:textFill>
        </w:rPr>
      </w:pPr>
      <w:bookmarkStart w:id="16" w:name="_Toc1478589151"/>
      <w:bookmarkStart w:id="17" w:name="_Toc1401599668"/>
      <w:r>
        <w:rPr>
          <w:color w:val="000000" w:themeColor="text1"/>
          <w14:textFill>
            <w14:solidFill>
              <w14:schemeClr w14:val="tx1"/>
            </w14:solidFill>
          </w14:textFill>
        </w:rPr>
        <w:t>2.3 LSTM-Lite 轻量级需求预测</w:t>
      </w:r>
      <w:bookmarkEnd w:id="16"/>
      <w:bookmarkEnd w:id="17"/>
    </w:p>
    <w:p w14:paraId="1F3AD115">
      <w:pPr>
        <w:spacing w:before="0" w:after="120" w:line="360" w:lineRule="auto"/>
        <w:ind w:firstLine="420"/>
        <w:jc w:val="both"/>
      </w:pPr>
      <w:r>
        <w:rPr>
          <w:rFonts w:ascii="Times New Roman" w:hAnsi="Times New Roman" w:eastAsia="宋体"/>
          <w:b w:val="0"/>
          <w:sz w:val="24"/>
        </w:rPr>
        <w:t>停车场景中的占用变化具有明显的时间相关性，因此本文引入轻量级 LSTM-Lite 方案，对停车供需缺口和区域占用趋势进行估计。这里没有追求特别复杂的模型结构，主要考虑的是本科毕业设计的时间条件、系统可落地性以及和后续业务模块的衔接需求。</w:t>
      </w:r>
    </w:p>
    <w:p w14:paraId="7527EC83">
      <w:pPr>
        <w:spacing w:before="0" w:after="120" w:line="360" w:lineRule="auto"/>
        <w:ind w:firstLine="420"/>
        <w:jc w:val="both"/>
      </w:pPr>
      <w:r>
        <w:rPr>
          <w:rFonts w:ascii="Times New Roman" w:hAnsi="Times New Roman" w:eastAsia="宋体"/>
          <w:b w:val="0"/>
          <w:sz w:val="24"/>
        </w:rPr>
        <w:t>对本课题来说，预测模块的价值不只是“给出一个数值结果”，而是为推荐、经营分析和调度决策提供参考信息。因此，轻量化、可复现和易于工程接入，比一味追求复杂模型更符合项目需求。</w:t>
      </w:r>
    </w:p>
    <w:p w14:paraId="10F93416">
      <w:pPr>
        <w:pStyle w:val="4"/>
        <w:bidi w:val="0"/>
        <w:rPr>
          <w:color w:val="000000" w:themeColor="text1"/>
          <w14:textFill>
            <w14:solidFill>
              <w14:schemeClr w14:val="tx1"/>
            </w14:solidFill>
          </w14:textFill>
        </w:rPr>
      </w:pPr>
      <w:bookmarkStart w:id="18" w:name="_Toc937496133"/>
      <w:bookmarkStart w:id="19" w:name="_Toc2114581420"/>
      <w:r>
        <w:rPr>
          <w:color w:val="000000" w:themeColor="text1"/>
          <w14:textFill>
            <w14:solidFill>
              <w14:schemeClr w14:val="tx1"/>
            </w14:solidFill>
          </w14:textFill>
        </w:rPr>
        <w:t>2.4 Hungarian 动态调度方法</w:t>
      </w:r>
      <w:bookmarkEnd w:id="18"/>
      <w:bookmarkEnd w:id="19"/>
    </w:p>
    <w:p w14:paraId="68EACA5A">
      <w:pPr>
        <w:spacing w:before="0" w:after="120" w:line="360" w:lineRule="auto"/>
        <w:ind w:firstLine="420"/>
        <w:jc w:val="both"/>
      </w:pPr>
      <w:r>
        <w:rPr>
          <w:rFonts w:ascii="Times New Roman" w:hAnsi="Times New Roman" w:eastAsia="宋体"/>
          <w:b w:val="0"/>
          <w:sz w:val="24"/>
        </w:rPr>
        <w:t>在车位分配问题中，系统需要在用户请求和可用车位之间建立匹配关系。Hungarian 方法具有确定性较强、过程较容易解释的特点，适合在毕业设计场景下说明调度思路。本文基于这一方法实现动态匹配逻辑，使系统能够在一定约束下完成车位资源分配。</w:t>
      </w:r>
    </w:p>
    <w:p w14:paraId="5FCF3AC3">
      <w:pPr>
        <w:spacing w:before="0" w:after="120" w:line="360" w:lineRule="auto"/>
        <w:ind w:firstLine="420"/>
        <w:jc w:val="both"/>
      </w:pPr>
      <w:r>
        <w:rPr>
          <w:rFonts w:ascii="Times New Roman" w:hAnsi="Times New Roman" w:eastAsia="宋体"/>
          <w:b w:val="0"/>
          <w:sz w:val="24"/>
        </w:rPr>
        <w:t>对于停车系统来说，调度结果不仅要考虑是否有空位，还要考虑区域、状态和业务流程是否能够顺利衔接。Hungarian 方法虽然不是唯一选择，但它在可解释性和实现复杂度之间具有较好的平衡，因此适合作为本课题的调度实现方案。</w:t>
      </w:r>
    </w:p>
    <w:p w14:paraId="46EC50CD">
      <w:pPr>
        <w:spacing w:before="120" w:after="80"/>
        <w:ind w:firstLine="0"/>
        <w:jc w:val="left"/>
      </w:pPr>
      <w:r>
        <w:rPr>
          <w:rFonts w:ascii="Times New Roman" w:hAnsi="Times New Roman" w:eastAsia="宋体"/>
          <w:b/>
          <w:sz w:val="26"/>
        </w:rPr>
        <w:t>2.5 实时交互与可靠性相关技术</w:t>
      </w:r>
    </w:p>
    <w:p w14:paraId="43E1E92A">
      <w:pPr>
        <w:spacing w:before="0" w:after="120" w:line="360" w:lineRule="auto"/>
        <w:ind w:firstLine="420"/>
        <w:jc w:val="both"/>
      </w:pPr>
      <w:r>
        <w:rPr>
          <w:rFonts w:ascii="Times New Roman" w:hAnsi="Times New Roman" w:eastAsia="宋体"/>
          <w:b w:val="0"/>
          <w:sz w:val="24"/>
        </w:rPr>
        <w:t>停车业务涉及预约提交、状态更新和异常处理，因此系统在实现中引入了幂等控制、分布式锁、消息重试、服务降级和实时通道回退等设计。与此同时，前端也通过统一页面状态表达来处理 loading、error、empty、degraded 和 stale 等情况。这些设计共同服务于系统稳定性，而不是单独存在的技术堆叠。</w:t>
      </w:r>
    </w:p>
    <w:p w14:paraId="5BAE203A">
      <w:pPr>
        <w:spacing w:before="0" w:after="120" w:line="360" w:lineRule="auto"/>
        <w:ind w:firstLine="420"/>
        <w:jc w:val="both"/>
      </w:pPr>
      <w:r>
        <w:rPr>
          <w:rFonts w:ascii="Times New Roman" w:hAnsi="Times New Roman" w:eastAsia="宋体"/>
          <w:b w:val="0"/>
          <w:sz w:val="24"/>
        </w:rPr>
        <w:t>对于毕业设计项目来说，可靠性设计的意义在于让系统不仅“能跑通”，还要在遇到异常时保持基本可用。这样做既有助于系统联调和答辩展示，也能体现项目在工程实现层面的完整性。</w:t>
      </w:r>
    </w:p>
    <w:p w14:paraId="218B1EC9">
      <w:pPr>
        <w:pStyle w:val="3"/>
        <w:bidi w:val="0"/>
        <w:jc w:val="center"/>
        <w:rPr>
          <w:color w:val="000000" w:themeColor="text1"/>
          <w14:textFill>
            <w14:solidFill>
              <w14:schemeClr w14:val="tx1"/>
            </w14:solidFill>
          </w14:textFill>
        </w:rPr>
      </w:pPr>
      <w:bookmarkStart w:id="20" w:name="_Toc1063051737"/>
      <w:bookmarkStart w:id="21" w:name="_Toc409989292"/>
      <w:r>
        <w:rPr>
          <w:color w:val="000000" w:themeColor="text1"/>
          <w14:textFill>
            <w14:solidFill>
              <w14:schemeClr w14:val="tx1"/>
            </w14:solidFill>
          </w14:textFill>
        </w:rPr>
        <w:t>3 系统需求分析与总体设计</w:t>
      </w:r>
      <w:bookmarkEnd w:id="20"/>
      <w:bookmarkEnd w:id="21"/>
    </w:p>
    <w:p w14:paraId="0F2F9CC2">
      <w:pPr>
        <w:spacing w:before="120" w:after="80"/>
        <w:ind w:firstLine="0"/>
        <w:jc w:val="left"/>
        <w:rPr>
          <w:color w:val="000000" w:themeColor="text1"/>
          <w14:textFill>
            <w14:solidFill>
              <w14:schemeClr w14:val="tx1"/>
            </w14:solidFill>
          </w14:textFill>
        </w:rPr>
      </w:pPr>
      <w:r>
        <w:rPr>
          <w:rFonts w:ascii="Times New Roman" w:hAnsi="Times New Roman" w:eastAsia="宋体"/>
          <w:b/>
          <w:color w:val="000000" w:themeColor="text1"/>
          <w:sz w:val="26"/>
          <w14:textFill>
            <w14:solidFill>
              <w14:schemeClr w14:val="tx1"/>
            </w14:solidFill>
          </w14:textFill>
        </w:rPr>
        <w:t>3.1 系统角色与业务场景</w:t>
      </w:r>
      <w:r>
        <w:rPr>
          <w:rStyle w:val="143"/>
          <w:b w:val="0"/>
          <w:bCs w:val="0"/>
          <w:color w:val="000000" w:themeColor="text1"/>
          <w14:textFill>
            <w14:solidFill>
              <w14:schemeClr w14:val="tx1"/>
            </w14:solidFill>
          </w14:textFill>
        </w:rPr>
        <w:t>分析</w:t>
      </w:r>
    </w:p>
    <w:p w14:paraId="13BFFD1C">
      <w:pPr>
        <w:spacing w:before="0" w:after="120" w:line="360" w:lineRule="auto"/>
        <w:ind w:firstLine="420"/>
        <w:jc w:val="both"/>
        <w:rPr>
          <w:rFonts w:ascii="Times New Roman" w:hAnsi="Times New Roman" w:eastAsia="宋体"/>
          <w:b w:val="0"/>
          <w:sz w:val="24"/>
        </w:rPr>
      </w:pPr>
      <w:r>
        <w:rPr>
          <w:rFonts w:ascii="Times New Roman" w:hAnsi="Times New Roman" w:eastAsia="宋体"/>
          <w:b w:val="0"/>
          <w:sz w:val="24"/>
        </w:rPr>
        <w:t>本系统主要面向两类角色，分别是业主用户和物业管理人员。不同角色在系统中的关注点不同，因此功能设计也有所区别。</w:t>
      </w:r>
    </w:p>
    <w:p w14:paraId="762E1EB2">
      <w:pPr>
        <w:spacing w:before="0" w:after="120" w:line="360" w:lineRule="auto"/>
        <w:ind w:firstLine="420"/>
        <w:jc w:val="both"/>
        <w:rPr>
          <w:rFonts w:ascii="Times New Roman" w:hAnsi="Times New Roman" w:eastAsia="宋体"/>
          <w:b w:val="0"/>
          <w:sz w:val="24"/>
        </w:rPr>
      </w:pPr>
    </w:p>
    <w:p w14:paraId="3FFCE554">
      <w:pPr>
        <w:spacing w:before="120" w:after="120"/>
        <w:jc w:val="center"/>
      </w:pPr>
      <w:r>
        <w:rPr>
          <w:rFonts w:ascii="Times New Roman" w:hAnsi="Times New Roman" w:eastAsia="宋体"/>
          <w:b/>
          <w:sz w:val="22"/>
        </w:rPr>
        <w:t>表3-1 系统角色与主要诉求</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871"/>
        <w:gridCol w:w="2871"/>
      </w:tblGrid>
      <w:tr w14:paraId="389DD0B1">
        <w:trPr>
          <w:jc w:val="center"/>
        </w:trPr>
        <w:tc>
          <w:tcPr>
            <w:tcW w:w="2871" w:type="dxa"/>
          </w:tcPr>
          <w:p w14:paraId="59AACB49">
            <w:pPr>
              <w:spacing w:after="0" w:line="240" w:lineRule="auto"/>
              <w:jc w:val="center"/>
            </w:pPr>
            <w:r>
              <w:rPr>
                <w:rFonts w:ascii="Times New Roman" w:hAnsi="Times New Roman" w:eastAsia="宋体"/>
                <w:b/>
                <w:sz w:val="20"/>
              </w:rPr>
              <w:t>角色</w:t>
            </w:r>
          </w:p>
        </w:tc>
        <w:tc>
          <w:tcPr>
            <w:tcW w:w="2871" w:type="dxa"/>
          </w:tcPr>
          <w:p w14:paraId="091AF2F4">
            <w:pPr>
              <w:spacing w:after="0" w:line="240" w:lineRule="auto"/>
              <w:jc w:val="center"/>
            </w:pPr>
            <w:r>
              <w:rPr>
                <w:rFonts w:ascii="Times New Roman" w:hAnsi="Times New Roman" w:eastAsia="宋体"/>
                <w:b/>
                <w:sz w:val="20"/>
              </w:rPr>
              <w:t>主要诉求</w:t>
            </w:r>
          </w:p>
        </w:tc>
        <w:tc>
          <w:tcPr>
            <w:tcW w:w="2871" w:type="dxa"/>
          </w:tcPr>
          <w:p w14:paraId="62A259AE">
            <w:pPr>
              <w:spacing w:after="0" w:line="240" w:lineRule="auto"/>
              <w:jc w:val="center"/>
            </w:pPr>
            <w:r>
              <w:rPr>
                <w:rFonts w:ascii="Times New Roman" w:hAnsi="Times New Roman" w:eastAsia="宋体"/>
                <w:b/>
                <w:sz w:val="20"/>
              </w:rPr>
              <w:t>对应页面或功能</w:t>
            </w:r>
          </w:p>
        </w:tc>
      </w:tr>
      <w:tr w14:paraId="7CAB8A2E">
        <w:trPr>
          <w:jc w:val="center"/>
        </w:trPr>
        <w:tc>
          <w:tcPr>
            <w:tcW w:w="2871" w:type="dxa"/>
          </w:tcPr>
          <w:p w14:paraId="2FD966AC">
            <w:pPr>
              <w:spacing w:after="0" w:line="240" w:lineRule="auto"/>
              <w:jc w:val="left"/>
            </w:pPr>
            <w:r>
              <w:rPr>
                <w:rFonts w:ascii="Times New Roman" w:hAnsi="Times New Roman" w:eastAsia="宋体"/>
                <w:b w:val="0"/>
                <w:sz w:val="20"/>
              </w:rPr>
              <w:t>业主用户</w:t>
            </w:r>
          </w:p>
        </w:tc>
        <w:tc>
          <w:tcPr>
            <w:tcW w:w="2871" w:type="dxa"/>
          </w:tcPr>
          <w:p w14:paraId="3386D04A">
            <w:pPr>
              <w:spacing w:after="0" w:line="240" w:lineRule="auto"/>
              <w:jc w:val="left"/>
            </w:pPr>
            <w:r>
              <w:rPr>
                <w:rFonts w:ascii="Times New Roman" w:hAnsi="Times New Roman" w:eastAsia="宋体"/>
                <w:b w:val="0"/>
                <w:sz w:val="20"/>
              </w:rPr>
              <w:t>快速找到合适车位，顺利完成预约、计费和导航</w:t>
            </w:r>
          </w:p>
        </w:tc>
        <w:tc>
          <w:tcPr>
            <w:tcW w:w="2871" w:type="dxa"/>
          </w:tcPr>
          <w:p w14:paraId="3265467C">
            <w:pPr>
              <w:spacing w:after="0" w:line="240" w:lineRule="auto"/>
              <w:jc w:val="left"/>
            </w:pPr>
            <w:r>
              <w:rPr>
                <w:rFonts w:ascii="Times New Roman" w:hAnsi="Times New Roman" w:eastAsia="宋体"/>
                <w:b w:val="0"/>
                <w:sz w:val="20"/>
              </w:rPr>
              <w:t>推荐页、预约流程、订单页、账单页、导航页</w:t>
            </w:r>
          </w:p>
        </w:tc>
      </w:tr>
      <w:tr w14:paraId="4B6C1BA4">
        <w:trPr>
          <w:jc w:val="center"/>
        </w:trPr>
        <w:tc>
          <w:tcPr>
            <w:tcW w:w="2871" w:type="dxa"/>
          </w:tcPr>
          <w:p w14:paraId="69429677">
            <w:pPr>
              <w:spacing w:after="0" w:line="240" w:lineRule="auto"/>
              <w:jc w:val="left"/>
            </w:pPr>
            <w:r>
              <w:rPr>
                <w:rFonts w:ascii="Times New Roman" w:hAnsi="Times New Roman" w:eastAsia="宋体"/>
                <w:b w:val="0"/>
                <w:sz w:val="20"/>
              </w:rPr>
              <w:t>物业管理人员</w:t>
            </w:r>
          </w:p>
        </w:tc>
        <w:tc>
          <w:tcPr>
            <w:tcW w:w="2871" w:type="dxa"/>
          </w:tcPr>
          <w:p w14:paraId="55E8E011">
            <w:pPr>
              <w:spacing w:after="0" w:line="240" w:lineRule="auto"/>
              <w:jc w:val="left"/>
            </w:pPr>
            <w:r>
              <w:rPr>
                <w:rFonts w:ascii="Times New Roman" w:hAnsi="Times New Roman" w:eastAsia="宋体"/>
                <w:b w:val="0"/>
                <w:sz w:val="20"/>
              </w:rPr>
              <w:t>及时了解经营情况、占用趋势和系统状态</w:t>
            </w:r>
          </w:p>
        </w:tc>
        <w:tc>
          <w:tcPr>
            <w:tcW w:w="2871" w:type="dxa"/>
          </w:tcPr>
          <w:p w14:paraId="3DE305A4">
            <w:pPr>
              <w:spacing w:after="0" w:line="240" w:lineRule="auto"/>
              <w:jc w:val="left"/>
            </w:pPr>
            <w:r>
              <w:rPr>
                <w:rFonts w:ascii="Times New Roman" w:hAnsi="Times New Roman" w:eastAsia="宋体"/>
                <w:b w:val="0"/>
                <w:sz w:val="20"/>
              </w:rPr>
              <w:t>物业监控页、趋势图表、实时状态说明</w:t>
            </w:r>
          </w:p>
        </w:tc>
      </w:tr>
    </w:tbl>
    <w:p w14:paraId="3A47B036"/>
    <w:p w14:paraId="70A25A49">
      <w:pPr>
        <w:spacing w:before="0" w:after="120" w:line="360" w:lineRule="auto"/>
        <w:ind w:firstLine="0"/>
        <w:jc w:val="left"/>
      </w:pPr>
      <w:r>
        <w:rPr>
          <w:rFonts w:ascii="Times New Roman" w:hAnsi="Times New Roman" w:eastAsia="宋体"/>
          <w:b w:val="0"/>
          <w:sz w:val="20"/>
        </w:rPr>
        <w:t>资料来源：本文根据项目需求整理。</w:t>
      </w:r>
    </w:p>
    <w:p w14:paraId="366FB630">
      <w:pPr>
        <w:spacing w:before="0" w:after="120" w:line="360" w:lineRule="auto"/>
        <w:ind w:firstLine="420"/>
        <w:jc w:val="both"/>
      </w:pPr>
      <w:r>
        <w:rPr>
          <w:rFonts w:ascii="Times New Roman" w:hAnsi="Times New Roman" w:eastAsia="宋体"/>
          <w:b w:val="0"/>
          <w:sz w:val="24"/>
        </w:rPr>
        <w:t>从具体场景看，业主用户更关注推荐结果是否及时、预约流程是否顺畅、订单与账单信息是否清楚、导航入口是否方便；物业管理人员则更关注经营摘要、收益变化、占用趋势、预测对照和系统状态说明。两类角色目标不同，因此系统在设计时需要兼顾使用效率和管理可视化。</w:t>
      </w:r>
    </w:p>
    <w:p w14:paraId="0B1C129E">
      <w:pPr>
        <w:pStyle w:val="4"/>
        <w:bidi w:val="0"/>
        <w:rPr>
          <w:b w:val="0"/>
          <w:bCs w:val="0"/>
          <w:color w:val="000000" w:themeColor="text1"/>
          <w14:textFill>
            <w14:solidFill>
              <w14:schemeClr w14:val="tx1"/>
            </w14:solidFill>
          </w14:textFill>
        </w:rPr>
      </w:pPr>
      <w:bookmarkStart w:id="22" w:name="_Toc1794084366"/>
      <w:bookmarkStart w:id="23" w:name="_Toc1562491068"/>
      <w:r>
        <w:rPr>
          <w:b w:val="0"/>
          <w:bCs w:val="0"/>
          <w:color w:val="000000" w:themeColor="text1"/>
          <w14:textFill>
            <w14:solidFill>
              <w14:schemeClr w14:val="tx1"/>
            </w14:solidFill>
          </w14:textFill>
        </w:rPr>
        <w:t>3.2 功能需求分析</w:t>
      </w:r>
      <w:bookmarkEnd w:id="22"/>
      <w:bookmarkEnd w:id="23"/>
    </w:p>
    <w:p w14:paraId="7E789571">
      <w:pPr>
        <w:spacing w:before="0" w:after="120" w:line="360" w:lineRule="auto"/>
        <w:ind w:firstLine="420"/>
        <w:jc w:val="both"/>
      </w:pPr>
      <w:r>
        <w:rPr>
          <w:rFonts w:ascii="Times New Roman" w:hAnsi="Times New Roman" w:eastAsia="宋体"/>
          <w:b w:val="0"/>
          <w:sz w:val="24"/>
        </w:rPr>
        <w:t>围绕上述角色，本系统的功能需求可以概括为业主端功能、物业端功能和后台支撑功能三个部分。</w:t>
      </w:r>
    </w:p>
    <w:p w14:paraId="09EC34CE">
      <w:pPr>
        <w:spacing w:before="120" w:after="120"/>
        <w:jc w:val="center"/>
      </w:pPr>
      <w:r>
        <w:rPr>
          <w:rFonts w:ascii="Times New Roman" w:hAnsi="Times New Roman" w:eastAsia="宋体"/>
          <w:b/>
          <w:sz w:val="22"/>
        </w:rPr>
        <w:t>表3-2 系统主要功能需求</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871"/>
        <w:gridCol w:w="2871"/>
      </w:tblGrid>
      <w:tr w14:paraId="203DAC1B">
        <w:trPr>
          <w:jc w:val="center"/>
        </w:trPr>
        <w:tc>
          <w:tcPr>
            <w:tcW w:w="2871" w:type="dxa"/>
          </w:tcPr>
          <w:p w14:paraId="3B682624">
            <w:pPr>
              <w:spacing w:after="0" w:line="240" w:lineRule="auto"/>
              <w:jc w:val="center"/>
            </w:pPr>
            <w:r>
              <w:rPr>
                <w:rFonts w:ascii="Times New Roman" w:hAnsi="Times New Roman" w:eastAsia="宋体"/>
                <w:b/>
                <w:sz w:val="20"/>
              </w:rPr>
              <w:t>功能类别</w:t>
            </w:r>
          </w:p>
        </w:tc>
        <w:tc>
          <w:tcPr>
            <w:tcW w:w="2871" w:type="dxa"/>
          </w:tcPr>
          <w:p w14:paraId="78B8F5B9">
            <w:pPr>
              <w:spacing w:after="0" w:line="240" w:lineRule="auto"/>
              <w:jc w:val="center"/>
            </w:pPr>
            <w:r>
              <w:rPr>
                <w:rFonts w:ascii="Times New Roman" w:hAnsi="Times New Roman" w:eastAsia="宋体"/>
                <w:b/>
                <w:sz w:val="20"/>
              </w:rPr>
              <w:t>主要内容</w:t>
            </w:r>
          </w:p>
        </w:tc>
        <w:tc>
          <w:tcPr>
            <w:tcW w:w="2871" w:type="dxa"/>
          </w:tcPr>
          <w:p w14:paraId="10A84D4F">
            <w:pPr>
              <w:spacing w:after="0" w:line="240" w:lineRule="auto"/>
              <w:jc w:val="center"/>
            </w:pPr>
            <w:r>
              <w:rPr>
                <w:rFonts w:ascii="Times New Roman" w:hAnsi="Times New Roman" w:eastAsia="宋体"/>
                <w:b/>
                <w:sz w:val="20"/>
              </w:rPr>
              <w:t>作用说明</w:t>
            </w:r>
          </w:p>
        </w:tc>
      </w:tr>
      <w:tr w14:paraId="4533DBBA">
        <w:trPr>
          <w:jc w:val="center"/>
        </w:trPr>
        <w:tc>
          <w:tcPr>
            <w:tcW w:w="2871" w:type="dxa"/>
          </w:tcPr>
          <w:p w14:paraId="6C2D538A">
            <w:pPr>
              <w:spacing w:after="0" w:line="240" w:lineRule="auto"/>
              <w:jc w:val="left"/>
            </w:pPr>
            <w:r>
              <w:rPr>
                <w:rFonts w:ascii="Times New Roman" w:hAnsi="Times New Roman" w:eastAsia="宋体"/>
                <w:b w:val="0"/>
                <w:sz w:val="20"/>
              </w:rPr>
              <w:t>业主端功能</w:t>
            </w:r>
          </w:p>
        </w:tc>
        <w:tc>
          <w:tcPr>
            <w:tcW w:w="2871" w:type="dxa"/>
          </w:tcPr>
          <w:p w14:paraId="18C1D24A">
            <w:pPr>
              <w:spacing w:after="0" w:line="240" w:lineRule="auto"/>
              <w:jc w:val="left"/>
            </w:pPr>
            <w:r>
              <w:rPr>
                <w:rFonts w:ascii="Times New Roman" w:hAnsi="Times New Roman" w:eastAsia="宋体"/>
                <w:b w:val="0"/>
                <w:sz w:val="20"/>
              </w:rPr>
              <w:t>推荐、预约、订单、计费、导航</w:t>
            </w:r>
          </w:p>
        </w:tc>
        <w:tc>
          <w:tcPr>
            <w:tcW w:w="2871" w:type="dxa"/>
          </w:tcPr>
          <w:p w14:paraId="78BB5942">
            <w:pPr>
              <w:spacing w:after="0" w:line="240" w:lineRule="auto"/>
              <w:jc w:val="left"/>
            </w:pPr>
            <w:r>
              <w:rPr>
                <w:rFonts w:ascii="Times New Roman" w:hAnsi="Times New Roman" w:eastAsia="宋体"/>
                <w:b w:val="0"/>
                <w:sz w:val="20"/>
              </w:rPr>
              <w:t>形成停车业务闭环，减少用户重复操作</w:t>
            </w:r>
          </w:p>
        </w:tc>
      </w:tr>
      <w:tr w14:paraId="29364DAD">
        <w:trPr>
          <w:jc w:val="center"/>
        </w:trPr>
        <w:tc>
          <w:tcPr>
            <w:tcW w:w="2871" w:type="dxa"/>
          </w:tcPr>
          <w:p w14:paraId="2BDF7FCD">
            <w:pPr>
              <w:spacing w:after="0" w:line="240" w:lineRule="auto"/>
              <w:jc w:val="left"/>
            </w:pPr>
            <w:r>
              <w:rPr>
                <w:rFonts w:ascii="Times New Roman" w:hAnsi="Times New Roman" w:eastAsia="宋体"/>
                <w:b w:val="0"/>
                <w:sz w:val="20"/>
              </w:rPr>
              <w:t>物业端功能</w:t>
            </w:r>
          </w:p>
        </w:tc>
        <w:tc>
          <w:tcPr>
            <w:tcW w:w="2871" w:type="dxa"/>
          </w:tcPr>
          <w:p w14:paraId="3DCE9F64">
            <w:pPr>
              <w:spacing w:after="0" w:line="240" w:lineRule="auto"/>
              <w:jc w:val="left"/>
            </w:pPr>
            <w:r>
              <w:rPr>
                <w:rFonts w:ascii="Times New Roman" w:hAnsi="Times New Roman" w:eastAsia="宋体"/>
                <w:b w:val="0"/>
                <w:sz w:val="20"/>
              </w:rPr>
              <w:t>经营摘要、收益趋势、占用率趋势、预测对照、状态说明</w:t>
            </w:r>
          </w:p>
        </w:tc>
        <w:tc>
          <w:tcPr>
            <w:tcW w:w="2871" w:type="dxa"/>
          </w:tcPr>
          <w:p w14:paraId="5327560C">
            <w:pPr>
              <w:spacing w:after="0" w:line="240" w:lineRule="auto"/>
              <w:jc w:val="left"/>
            </w:pPr>
            <w:r>
              <w:rPr>
                <w:rFonts w:ascii="Times New Roman" w:hAnsi="Times New Roman" w:eastAsia="宋体"/>
                <w:b w:val="0"/>
                <w:sz w:val="20"/>
              </w:rPr>
              <w:t>帮助管理人员理解业务结果和系统状态</w:t>
            </w:r>
          </w:p>
        </w:tc>
      </w:tr>
      <w:tr w14:paraId="18AC75A7">
        <w:trPr>
          <w:jc w:val="center"/>
        </w:trPr>
        <w:tc>
          <w:tcPr>
            <w:tcW w:w="2871" w:type="dxa"/>
          </w:tcPr>
          <w:p w14:paraId="676C9C8C">
            <w:pPr>
              <w:spacing w:after="0" w:line="240" w:lineRule="auto"/>
              <w:jc w:val="left"/>
            </w:pPr>
            <w:r>
              <w:rPr>
                <w:rFonts w:ascii="Times New Roman" w:hAnsi="Times New Roman" w:eastAsia="宋体"/>
                <w:b w:val="0"/>
                <w:sz w:val="20"/>
              </w:rPr>
              <w:t>后台支撑功能</w:t>
            </w:r>
          </w:p>
        </w:tc>
        <w:tc>
          <w:tcPr>
            <w:tcW w:w="2871" w:type="dxa"/>
          </w:tcPr>
          <w:p w14:paraId="0F53977C">
            <w:pPr>
              <w:spacing w:after="0" w:line="240" w:lineRule="auto"/>
              <w:jc w:val="left"/>
            </w:pPr>
            <w:r>
              <w:rPr>
                <w:rFonts w:ascii="Times New Roman" w:hAnsi="Times New Roman" w:eastAsia="宋体"/>
                <w:b w:val="0"/>
                <w:sz w:val="20"/>
              </w:rPr>
              <w:t>数据处理、预测、调度、幂等控制、降级回退</w:t>
            </w:r>
          </w:p>
        </w:tc>
        <w:tc>
          <w:tcPr>
            <w:tcW w:w="2871" w:type="dxa"/>
          </w:tcPr>
          <w:p w14:paraId="43C53EAF">
            <w:pPr>
              <w:spacing w:after="0" w:line="240" w:lineRule="auto"/>
              <w:jc w:val="left"/>
            </w:pPr>
            <w:r>
              <w:rPr>
                <w:rFonts w:ascii="Times New Roman" w:hAnsi="Times New Roman" w:eastAsia="宋体"/>
                <w:b w:val="0"/>
                <w:sz w:val="20"/>
              </w:rPr>
              <w:t>保证前台业务能够稳定运行</w:t>
            </w:r>
          </w:p>
        </w:tc>
      </w:tr>
    </w:tbl>
    <w:p w14:paraId="7E1D1015"/>
    <w:p w14:paraId="60AE86D7">
      <w:pPr>
        <w:spacing w:before="0" w:after="120" w:line="360" w:lineRule="auto"/>
        <w:ind w:firstLine="0"/>
        <w:jc w:val="left"/>
      </w:pPr>
      <w:r>
        <w:rPr>
          <w:rFonts w:ascii="Times New Roman" w:hAnsi="Times New Roman" w:eastAsia="宋体"/>
          <w:b w:val="0"/>
          <w:sz w:val="20"/>
        </w:rPr>
        <w:t>资料来源：本文根据系统设计整理。</w:t>
      </w:r>
    </w:p>
    <w:p w14:paraId="7C9014E6">
      <w:pPr>
        <w:spacing w:before="0" w:after="120" w:line="360" w:lineRule="auto"/>
        <w:ind w:firstLine="420"/>
        <w:jc w:val="both"/>
      </w:pPr>
      <w:r>
        <w:rPr>
          <w:rFonts w:ascii="Times New Roman" w:hAnsi="Times New Roman" w:eastAsia="宋体"/>
          <w:b w:val="0"/>
          <w:sz w:val="24"/>
        </w:rPr>
        <w:t>业主端主要包括推荐、预约、订单、账单和导航等功能。系统需要尽量减少用户在停车过程中的重复操作，使整个流程更连贯。物业端主要包括经营监控、收益分析、占用率展示、预测对照和实时状态说明等功能，帮助管理人员从业务结果和系统运行两个角度了解停车场情况。</w:t>
      </w:r>
    </w:p>
    <w:p w14:paraId="260C7B36">
      <w:pPr>
        <w:pStyle w:val="4"/>
        <w:bidi w:val="0"/>
        <w:rPr>
          <w:b w:val="0"/>
          <w:bCs w:val="0"/>
          <w:color w:val="000000" w:themeColor="text1"/>
          <w14:textFill>
            <w14:solidFill>
              <w14:schemeClr w14:val="tx1"/>
            </w14:solidFill>
          </w14:textFill>
        </w:rPr>
      </w:pPr>
      <w:bookmarkStart w:id="24" w:name="_Toc1357344360"/>
      <w:bookmarkStart w:id="25" w:name="_Toc358051835"/>
      <w:r>
        <w:rPr>
          <w:b w:val="0"/>
          <w:bCs w:val="0"/>
          <w:color w:val="000000" w:themeColor="text1"/>
          <w14:textFill>
            <w14:solidFill>
              <w14:schemeClr w14:val="tx1"/>
            </w14:solidFill>
          </w14:textFill>
        </w:rPr>
        <w:t>3.3 非功能需求分析</w:t>
      </w:r>
      <w:bookmarkEnd w:id="24"/>
      <w:bookmarkEnd w:id="25"/>
    </w:p>
    <w:p w14:paraId="4981AB4B">
      <w:pPr>
        <w:spacing w:before="0" w:after="120" w:line="360" w:lineRule="auto"/>
        <w:ind w:firstLine="420"/>
        <w:jc w:val="both"/>
      </w:pPr>
      <w:r>
        <w:rPr>
          <w:rFonts w:ascii="Times New Roman" w:hAnsi="Times New Roman" w:eastAsia="宋体"/>
          <w:b w:val="0"/>
          <w:sz w:val="24"/>
        </w:rPr>
        <w:t>除功能需求之外，系统还需要满足一定的非功能要求。首先，关键业务链路要具备基本稳定性，避免并发场景下出现重复处理或资源冲突。其次，系统要有一定可解释性，便于在论文和答辩中说明业务逻辑。再次，系统要具备可复现性，使实验和验收结果能够被重复验证。最后，前端展示需要尽量清楚，异常状态不能只靠隐式失败处理。</w:t>
      </w:r>
    </w:p>
    <w:p w14:paraId="456EBDD3">
      <w:pPr>
        <w:spacing w:before="0" w:after="120" w:line="360" w:lineRule="auto"/>
        <w:ind w:firstLine="420"/>
        <w:jc w:val="both"/>
      </w:pPr>
      <w:r>
        <w:rPr>
          <w:rFonts w:ascii="Times New Roman" w:hAnsi="Times New Roman" w:eastAsia="宋体"/>
          <w:b w:val="0"/>
          <w:sz w:val="24"/>
        </w:rPr>
        <w:t>从毕业设计实际推进过程来看，非功能需求的重要性并不低于功能需求。因为系统即使功能较多，如果在演示时经常出现状态不一致、页面反馈不清楚或异常场景无法说明的问题，也会影响整体质量。因此，本课题在设计阶段就把稳定性和可解释性作为重要目标之一。</w:t>
      </w:r>
    </w:p>
    <w:p w14:paraId="325CE603">
      <w:pPr>
        <w:pStyle w:val="4"/>
        <w:bidi w:val="0"/>
        <w:rPr>
          <w:b w:val="0"/>
          <w:bCs w:val="0"/>
          <w:color w:val="000000" w:themeColor="text1"/>
          <w14:textFill>
            <w14:solidFill>
              <w14:schemeClr w14:val="tx1"/>
            </w14:solidFill>
          </w14:textFill>
        </w:rPr>
      </w:pPr>
      <w:bookmarkStart w:id="26" w:name="_Toc167876439"/>
      <w:bookmarkStart w:id="27" w:name="_Toc528011951"/>
      <w:r>
        <w:rPr>
          <w:b w:val="0"/>
          <w:bCs w:val="0"/>
          <w:color w:val="000000" w:themeColor="text1"/>
          <w14:textFill>
            <w14:solidFill>
              <w14:schemeClr w14:val="tx1"/>
            </w14:solidFill>
          </w14:textFill>
        </w:rPr>
        <w:t>3.4 系统总体架构设计</w:t>
      </w:r>
      <w:bookmarkEnd w:id="26"/>
      <w:bookmarkEnd w:id="27"/>
    </w:p>
    <w:p w14:paraId="2973179A">
      <w:pPr>
        <w:spacing w:before="0" w:after="120" w:line="360" w:lineRule="auto"/>
        <w:ind w:firstLine="420"/>
        <w:jc w:val="both"/>
      </w:pPr>
      <w:r>
        <w:rPr>
          <w:rFonts w:ascii="Times New Roman" w:hAnsi="Times New Roman" w:eastAsia="宋体"/>
          <w:b w:val="0"/>
          <w:sz w:val="24"/>
        </w:rPr>
        <w:t>本系统由网关服务、停车主业务服务、模型服务、实时服务和前端应用组成。网关服务负责路由转发、链路追踪和降级兜底；停车主业务服务负责预约、计费、订单、收益统计、导航和 dashboard 聚合；模型服务负责预测和调度优化；实时服务负责 WebSocket 推送和状态伴生能力；前端则分别提供业主端和物业端页面，并使用 Leaflet、ECharts 等组件增强交互效果。</w:t>
      </w:r>
    </w:p>
    <w:p w14:paraId="384C3B96">
      <w:pPr>
        <w:spacing w:before="0" w:after="120" w:line="360" w:lineRule="auto"/>
        <w:ind w:firstLine="420"/>
        <w:jc w:val="both"/>
        <w:rPr>
          <w:rFonts w:ascii="Times New Roman" w:hAnsi="Times New Roman" w:eastAsia="宋体"/>
          <w:b w:val="0"/>
          <w:sz w:val="24"/>
        </w:rPr>
      </w:pPr>
      <w:r>
        <w:rPr>
          <w:rFonts w:ascii="Times New Roman" w:hAnsi="Times New Roman" w:eastAsia="宋体"/>
          <w:b w:val="0"/>
          <w:sz w:val="24"/>
        </w:rPr>
        <w:t>这一架构设计的好处在于，各服务职责比较明确，后续无论是联调、测试还是论文描述，都能按照模块逐步展开。对本科毕业设计来说，这种结构既能体现一定的工程思路，也不会让系统复杂度失控。</w:t>
      </w:r>
    </w:p>
    <w:p w14:paraId="6F270C20">
      <w:pPr>
        <w:spacing w:before="0" w:after="120" w:line="360" w:lineRule="auto"/>
        <w:ind w:firstLine="420"/>
        <w:jc w:val="both"/>
        <w:rPr>
          <w:rFonts w:ascii="Times New Roman" w:hAnsi="Times New Roman" w:eastAsia="宋体"/>
          <w:b w:val="0"/>
          <w:sz w:val="24"/>
        </w:rPr>
      </w:pPr>
    </w:p>
    <w:p w14:paraId="0AB87A6B">
      <w:pPr>
        <w:spacing w:before="120" w:after="120"/>
        <w:jc w:val="center"/>
      </w:pPr>
      <w:r>
        <w:rPr>
          <w:rFonts w:ascii="Times New Roman" w:hAnsi="Times New Roman" w:eastAsia="宋体"/>
          <w:b/>
          <w:sz w:val="22"/>
        </w:rPr>
        <w:t>表3-3 系统总体架构组成</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871"/>
        <w:gridCol w:w="2871"/>
      </w:tblGrid>
      <w:tr w14:paraId="703D17E9">
        <w:trPr>
          <w:jc w:val="center"/>
        </w:trPr>
        <w:tc>
          <w:tcPr>
            <w:tcW w:w="2871" w:type="dxa"/>
          </w:tcPr>
          <w:p w14:paraId="2EC1566F">
            <w:pPr>
              <w:spacing w:after="0" w:line="240" w:lineRule="auto"/>
              <w:jc w:val="center"/>
            </w:pPr>
            <w:r>
              <w:rPr>
                <w:rFonts w:ascii="Times New Roman" w:hAnsi="Times New Roman" w:eastAsia="宋体"/>
                <w:b/>
                <w:sz w:val="20"/>
              </w:rPr>
              <w:t>层次</w:t>
            </w:r>
          </w:p>
        </w:tc>
        <w:tc>
          <w:tcPr>
            <w:tcW w:w="2871" w:type="dxa"/>
          </w:tcPr>
          <w:p w14:paraId="21795E00">
            <w:pPr>
              <w:spacing w:after="0" w:line="240" w:lineRule="auto"/>
              <w:jc w:val="center"/>
            </w:pPr>
            <w:r>
              <w:rPr>
                <w:rFonts w:ascii="Times New Roman" w:hAnsi="Times New Roman" w:eastAsia="宋体"/>
                <w:b/>
                <w:sz w:val="20"/>
              </w:rPr>
              <w:t>主要模块</w:t>
            </w:r>
          </w:p>
        </w:tc>
        <w:tc>
          <w:tcPr>
            <w:tcW w:w="2871" w:type="dxa"/>
          </w:tcPr>
          <w:p w14:paraId="6E010AE8">
            <w:pPr>
              <w:spacing w:after="0" w:line="240" w:lineRule="auto"/>
              <w:jc w:val="center"/>
            </w:pPr>
            <w:r>
              <w:rPr>
                <w:rFonts w:ascii="Times New Roman" w:hAnsi="Times New Roman" w:eastAsia="宋体"/>
                <w:b/>
                <w:sz w:val="20"/>
              </w:rPr>
              <w:t>主要职责</w:t>
            </w:r>
          </w:p>
        </w:tc>
      </w:tr>
      <w:tr w14:paraId="0CF1146A">
        <w:trPr>
          <w:jc w:val="center"/>
        </w:trPr>
        <w:tc>
          <w:tcPr>
            <w:tcW w:w="2871" w:type="dxa"/>
          </w:tcPr>
          <w:p w14:paraId="6308BAF7">
            <w:pPr>
              <w:spacing w:after="0" w:line="240" w:lineRule="auto"/>
              <w:jc w:val="left"/>
            </w:pPr>
            <w:r>
              <w:rPr>
                <w:rFonts w:ascii="Times New Roman" w:hAnsi="Times New Roman" w:eastAsia="宋体"/>
                <w:b w:val="0"/>
                <w:sz w:val="20"/>
              </w:rPr>
              <w:t>接入层</w:t>
            </w:r>
          </w:p>
        </w:tc>
        <w:tc>
          <w:tcPr>
            <w:tcW w:w="2871" w:type="dxa"/>
          </w:tcPr>
          <w:p w14:paraId="5691E092">
            <w:pPr>
              <w:spacing w:after="0" w:line="240" w:lineRule="auto"/>
              <w:jc w:val="left"/>
            </w:pPr>
            <w:r>
              <w:rPr>
                <w:rFonts w:ascii="Times New Roman" w:hAnsi="Times New Roman" w:eastAsia="宋体"/>
                <w:b w:val="0"/>
                <w:sz w:val="20"/>
              </w:rPr>
              <w:t>Gateway Service</w:t>
            </w:r>
          </w:p>
        </w:tc>
        <w:tc>
          <w:tcPr>
            <w:tcW w:w="2871" w:type="dxa"/>
          </w:tcPr>
          <w:p w14:paraId="17C161BC">
            <w:pPr>
              <w:spacing w:after="0" w:line="240" w:lineRule="auto"/>
              <w:jc w:val="left"/>
            </w:pPr>
            <w:r>
              <w:rPr>
                <w:rFonts w:ascii="Times New Roman" w:hAnsi="Times New Roman" w:eastAsia="宋体"/>
                <w:b w:val="0"/>
                <w:sz w:val="20"/>
              </w:rPr>
              <w:t>统一路由、链路追踪、熔断降级、跨域处理</w:t>
            </w:r>
          </w:p>
        </w:tc>
      </w:tr>
      <w:tr w14:paraId="2C4A0215">
        <w:trPr>
          <w:jc w:val="center"/>
        </w:trPr>
        <w:tc>
          <w:tcPr>
            <w:tcW w:w="2871" w:type="dxa"/>
          </w:tcPr>
          <w:p w14:paraId="621195DB">
            <w:pPr>
              <w:spacing w:after="0" w:line="240" w:lineRule="auto"/>
              <w:jc w:val="left"/>
            </w:pPr>
            <w:r>
              <w:rPr>
                <w:rFonts w:ascii="Times New Roman" w:hAnsi="Times New Roman" w:eastAsia="宋体"/>
                <w:b w:val="0"/>
                <w:sz w:val="20"/>
              </w:rPr>
              <w:t>业务层</w:t>
            </w:r>
          </w:p>
        </w:tc>
        <w:tc>
          <w:tcPr>
            <w:tcW w:w="2871" w:type="dxa"/>
          </w:tcPr>
          <w:p w14:paraId="4AC5BB84">
            <w:pPr>
              <w:spacing w:after="0" w:line="240" w:lineRule="auto"/>
              <w:jc w:val="left"/>
            </w:pPr>
            <w:r>
              <w:rPr>
                <w:rFonts w:ascii="Times New Roman" w:hAnsi="Times New Roman" w:eastAsia="宋体"/>
                <w:b w:val="0"/>
                <w:sz w:val="20"/>
              </w:rPr>
              <w:t>Parking Service</w:t>
            </w:r>
          </w:p>
        </w:tc>
        <w:tc>
          <w:tcPr>
            <w:tcW w:w="2871" w:type="dxa"/>
          </w:tcPr>
          <w:p w14:paraId="7A1CA29D">
            <w:pPr>
              <w:spacing w:after="0" w:line="240" w:lineRule="auto"/>
              <w:jc w:val="left"/>
            </w:pPr>
            <w:r>
              <w:rPr>
                <w:rFonts w:ascii="Times New Roman" w:hAnsi="Times New Roman" w:eastAsia="宋体"/>
                <w:b w:val="0"/>
                <w:sz w:val="20"/>
              </w:rPr>
              <w:t>预约主链、计费、订单、导航、dashboard 聚合</w:t>
            </w:r>
          </w:p>
        </w:tc>
      </w:tr>
      <w:tr w14:paraId="3E7663E9">
        <w:trPr>
          <w:jc w:val="center"/>
        </w:trPr>
        <w:tc>
          <w:tcPr>
            <w:tcW w:w="2871" w:type="dxa"/>
          </w:tcPr>
          <w:p w14:paraId="4FE15F81">
            <w:pPr>
              <w:spacing w:after="0" w:line="240" w:lineRule="auto"/>
              <w:jc w:val="left"/>
            </w:pPr>
            <w:r>
              <w:rPr>
                <w:rFonts w:ascii="Times New Roman" w:hAnsi="Times New Roman" w:eastAsia="宋体"/>
                <w:b w:val="0"/>
                <w:sz w:val="20"/>
              </w:rPr>
              <w:t>算法层</w:t>
            </w:r>
          </w:p>
        </w:tc>
        <w:tc>
          <w:tcPr>
            <w:tcW w:w="2871" w:type="dxa"/>
          </w:tcPr>
          <w:p w14:paraId="332D0BA2">
            <w:pPr>
              <w:spacing w:after="0" w:line="240" w:lineRule="auto"/>
              <w:jc w:val="left"/>
            </w:pPr>
            <w:r>
              <w:rPr>
                <w:rFonts w:ascii="Times New Roman" w:hAnsi="Times New Roman" w:eastAsia="宋体"/>
                <w:b w:val="0"/>
                <w:sz w:val="20"/>
              </w:rPr>
              <w:t>Model Service</w:t>
            </w:r>
          </w:p>
        </w:tc>
        <w:tc>
          <w:tcPr>
            <w:tcW w:w="2871" w:type="dxa"/>
          </w:tcPr>
          <w:p w14:paraId="42E2AFDB">
            <w:pPr>
              <w:spacing w:after="0" w:line="240" w:lineRule="auto"/>
              <w:jc w:val="left"/>
            </w:pPr>
            <w:r>
              <w:rPr>
                <w:rFonts w:ascii="Times New Roman" w:hAnsi="Times New Roman" w:eastAsia="宋体"/>
                <w:b w:val="0"/>
                <w:sz w:val="20"/>
              </w:rPr>
              <w:t>供需预测、调度优化、模型版本管理</w:t>
            </w:r>
          </w:p>
        </w:tc>
      </w:tr>
      <w:tr w14:paraId="51FFF093">
        <w:trPr>
          <w:jc w:val="center"/>
        </w:trPr>
        <w:tc>
          <w:tcPr>
            <w:tcW w:w="2871" w:type="dxa"/>
          </w:tcPr>
          <w:p w14:paraId="0519B9C2">
            <w:pPr>
              <w:spacing w:after="0" w:line="240" w:lineRule="auto"/>
              <w:jc w:val="left"/>
            </w:pPr>
            <w:r>
              <w:rPr>
                <w:rFonts w:ascii="Times New Roman" w:hAnsi="Times New Roman" w:eastAsia="宋体"/>
                <w:b w:val="0"/>
                <w:sz w:val="20"/>
              </w:rPr>
              <w:t>实时层</w:t>
            </w:r>
          </w:p>
        </w:tc>
        <w:tc>
          <w:tcPr>
            <w:tcW w:w="2871" w:type="dxa"/>
          </w:tcPr>
          <w:p w14:paraId="13D5BDC8">
            <w:pPr>
              <w:spacing w:after="0" w:line="240" w:lineRule="auto"/>
              <w:jc w:val="left"/>
            </w:pPr>
            <w:r>
              <w:rPr>
                <w:rFonts w:ascii="Times New Roman" w:hAnsi="Times New Roman" w:eastAsia="宋体"/>
                <w:b w:val="0"/>
                <w:sz w:val="20"/>
              </w:rPr>
              <w:t>Realtime Service</w:t>
            </w:r>
          </w:p>
        </w:tc>
        <w:tc>
          <w:tcPr>
            <w:tcW w:w="2871" w:type="dxa"/>
          </w:tcPr>
          <w:p w14:paraId="0E0758A3">
            <w:pPr>
              <w:spacing w:after="0" w:line="240" w:lineRule="auto"/>
              <w:jc w:val="left"/>
            </w:pPr>
            <w:r>
              <w:rPr>
                <w:rFonts w:ascii="Times New Roman" w:hAnsi="Times New Roman" w:eastAsia="宋体"/>
                <w:b w:val="0"/>
                <w:sz w:val="20"/>
              </w:rPr>
              <w:t>WebSocket 推送、实时状态同步、降级伴生能力</w:t>
            </w:r>
          </w:p>
        </w:tc>
      </w:tr>
      <w:tr w14:paraId="48A2034F">
        <w:trPr>
          <w:jc w:val="center"/>
        </w:trPr>
        <w:tc>
          <w:tcPr>
            <w:tcW w:w="2871" w:type="dxa"/>
          </w:tcPr>
          <w:p w14:paraId="127E2C80">
            <w:pPr>
              <w:spacing w:after="0" w:line="240" w:lineRule="auto"/>
              <w:jc w:val="left"/>
            </w:pPr>
            <w:r>
              <w:rPr>
                <w:rFonts w:ascii="Times New Roman" w:hAnsi="Times New Roman" w:eastAsia="宋体"/>
                <w:b w:val="0"/>
                <w:sz w:val="20"/>
              </w:rPr>
              <w:t>表现层</w:t>
            </w:r>
          </w:p>
        </w:tc>
        <w:tc>
          <w:tcPr>
            <w:tcW w:w="2871" w:type="dxa"/>
          </w:tcPr>
          <w:p w14:paraId="5E05CD34">
            <w:pPr>
              <w:spacing w:after="0" w:line="240" w:lineRule="auto"/>
              <w:jc w:val="left"/>
            </w:pPr>
            <w:r>
              <w:rPr>
                <w:rFonts w:ascii="Times New Roman" w:hAnsi="Times New Roman" w:eastAsia="宋体"/>
                <w:b w:val="0"/>
                <w:sz w:val="20"/>
              </w:rPr>
              <w:t>Frontend App</w:t>
            </w:r>
          </w:p>
        </w:tc>
        <w:tc>
          <w:tcPr>
            <w:tcW w:w="2871" w:type="dxa"/>
          </w:tcPr>
          <w:p w14:paraId="268FE784">
            <w:pPr>
              <w:spacing w:after="0" w:line="240" w:lineRule="auto"/>
              <w:jc w:val="left"/>
            </w:pPr>
            <w:r>
              <w:rPr>
                <w:rFonts w:ascii="Times New Roman" w:hAnsi="Times New Roman" w:eastAsia="宋体"/>
                <w:b w:val="0"/>
                <w:sz w:val="20"/>
              </w:rPr>
              <w:t>业主端与物业端页面、地图、图表、状态提示</w:t>
            </w:r>
          </w:p>
        </w:tc>
      </w:tr>
      <w:tr w14:paraId="48F6EBC9">
        <w:trPr>
          <w:jc w:val="center"/>
        </w:trPr>
        <w:tc>
          <w:tcPr>
            <w:tcW w:w="2871" w:type="dxa"/>
          </w:tcPr>
          <w:p w14:paraId="4D44027A">
            <w:pPr>
              <w:spacing w:after="0" w:line="240" w:lineRule="auto"/>
              <w:jc w:val="left"/>
            </w:pPr>
            <w:r>
              <w:rPr>
                <w:rFonts w:ascii="Times New Roman" w:hAnsi="Times New Roman" w:eastAsia="宋体"/>
                <w:b w:val="0"/>
                <w:sz w:val="20"/>
              </w:rPr>
              <w:t>数据支撑层</w:t>
            </w:r>
          </w:p>
        </w:tc>
        <w:tc>
          <w:tcPr>
            <w:tcW w:w="2871" w:type="dxa"/>
          </w:tcPr>
          <w:p w14:paraId="6C40A4DD">
            <w:pPr>
              <w:spacing w:after="0" w:line="240" w:lineRule="auto"/>
              <w:jc w:val="left"/>
            </w:pPr>
            <w:r>
              <w:rPr>
                <w:rFonts w:ascii="Times New Roman" w:hAnsi="Times New Roman" w:eastAsia="宋体"/>
                <w:b w:val="0"/>
                <w:sz w:val="20"/>
              </w:rPr>
              <w:t>MySQL、Redis、RabbitMQ</w:t>
            </w:r>
          </w:p>
        </w:tc>
        <w:tc>
          <w:tcPr>
            <w:tcW w:w="2871" w:type="dxa"/>
          </w:tcPr>
          <w:p w14:paraId="37E680A3">
            <w:pPr>
              <w:spacing w:after="0" w:line="240" w:lineRule="auto"/>
              <w:jc w:val="left"/>
            </w:pPr>
            <w:r>
              <w:rPr>
                <w:rFonts w:ascii="Times New Roman" w:hAnsi="Times New Roman" w:eastAsia="宋体"/>
                <w:b w:val="0"/>
                <w:sz w:val="20"/>
              </w:rPr>
              <w:t>数据存储、缓存控制、消息解耦</w:t>
            </w:r>
          </w:p>
        </w:tc>
      </w:tr>
    </w:tbl>
    <w:p w14:paraId="01F47820"/>
    <w:p w14:paraId="611EB4D8">
      <w:pPr>
        <w:spacing w:before="0" w:after="120" w:line="360" w:lineRule="auto"/>
        <w:ind w:firstLine="0"/>
        <w:jc w:val="left"/>
      </w:pPr>
      <w:r>
        <w:rPr>
          <w:rFonts w:ascii="Times New Roman" w:hAnsi="Times New Roman" w:eastAsia="宋体"/>
          <w:b w:val="0"/>
          <w:sz w:val="20"/>
        </w:rPr>
        <w:t>资料来源：本文根据项目 README 与架构文档整理。</w:t>
      </w:r>
    </w:p>
    <w:p w14:paraId="0744CE52">
      <w:r>
        <w:drawing>
          <wp:inline distT="0" distB="0" distL="114300" distR="114300">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669280" cy="3188970"/>
                    </a:xfrm>
                    <a:prstGeom prst="rect">
                      <a:avLst/>
                    </a:prstGeom>
                  </pic:spPr>
                </pic:pic>
              </a:graphicData>
            </a:graphic>
          </wp:inline>
        </w:drawing>
      </w:r>
    </w:p>
    <w:p w14:paraId="2E7A584A">
      <w:pPr>
        <w:spacing w:before="0" w:after="120"/>
        <w:jc w:val="center"/>
      </w:pPr>
      <w:r>
        <w:rPr>
          <w:rFonts w:ascii="Times New Roman" w:hAnsi="Times New Roman" w:eastAsia="宋体"/>
          <w:b/>
          <w:sz w:val="22"/>
        </w:rPr>
        <w:t>图3-1 系统总体架构图</w:t>
      </w:r>
    </w:p>
    <w:p w14:paraId="6CCFA7B2">
      <w:pPr>
        <w:spacing w:before="0" w:after="120" w:line="360" w:lineRule="auto"/>
        <w:ind w:firstLine="420"/>
        <w:jc w:val="both"/>
      </w:pPr>
      <w:r>
        <w:rPr>
          <w:rFonts w:ascii="Times New Roman" w:hAnsi="Times New Roman" w:eastAsia="宋体"/>
          <w:b w:val="0"/>
          <w:sz w:val="24"/>
        </w:rPr>
        <w:t>从图3-1可以看出，系统前端并不是直接访问多个后端服务，而是统一经由网关进入业务服务、模型服务和实时服务。这种方式既保证了接口入口一致，也有利于 trace 透传、异常兜底和后续维护。</w:t>
      </w:r>
    </w:p>
    <w:p w14:paraId="576318A5">
      <w:pPr>
        <w:pStyle w:val="4"/>
        <w:bidi w:val="0"/>
        <w:rPr>
          <w:b w:val="0"/>
          <w:bCs w:val="0"/>
          <w:color w:val="000000" w:themeColor="text1"/>
          <w14:textFill>
            <w14:solidFill>
              <w14:schemeClr w14:val="tx1"/>
            </w14:solidFill>
          </w14:textFill>
        </w:rPr>
      </w:pPr>
      <w:bookmarkStart w:id="28" w:name="_Toc1853281762"/>
      <w:bookmarkStart w:id="29" w:name="_Toc894431053"/>
      <w:r>
        <w:rPr>
          <w:b w:val="0"/>
          <w:bCs w:val="0"/>
          <w:color w:val="000000" w:themeColor="text1"/>
          <w14:textFill>
            <w14:solidFill>
              <w14:schemeClr w14:val="tx1"/>
            </w14:solidFill>
          </w14:textFill>
        </w:rPr>
        <w:t>3.5 数据流与业务流设计</w:t>
      </w:r>
      <w:bookmarkEnd w:id="28"/>
      <w:bookmarkEnd w:id="29"/>
    </w:p>
    <w:p w14:paraId="178E9FAC">
      <w:pPr>
        <w:spacing w:before="0" w:after="120" w:line="360" w:lineRule="auto"/>
        <w:ind w:firstLine="420"/>
        <w:jc w:val="both"/>
      </w:pPr>
      <w:r>
        <w:rPr>
          <w:rFonts w:ascii="Times New Roman" w:hAnsi="Times New Roman" w:eastAsia="宋体"/>
          <w:b w:val="0"/>
          <w:sz w:val="24"/>
        </w:rPr>
        <w:t>原始车位状态、车辆进出和住户行为数据经过处理后形成预测与调度所需的输入数据。业主请求通过网关进入业务服务，经过幂等控制、锁机制和数据库约束完成一致性处理，再生成预约、计费和订单结果。模型服务负责提供预测和调度支撑，实时服务负责状态同步，最终结果通过业主端和物业端页面呈现出来。</w:t>
      </w:r>
    </w:p>
    <w:p w14:paraId="15AF8BFD">
      <w:pPr>
        <w:spacing w:before="0" w:after="120" w:line="360" w:lineRule="auto"/>
        <w:ind w:firstLine="420"/>
        <w:jc w:val="both"/>
      </w:pPr>
      <w:r>
        <w:rPr>
          <w:rFonts w:ascii="Times New Roman" w:hAnsi="Times New Roman" w:eastAsia="宋体"/>
          <w:b w:val="0"/>
          <w:sz w:val="24"/>
        </w:rPr>
        <w:t>从业务流角度看，业主进入系统后，先根据推荐信息了解可用车位，再完成预约与计费，之后可在订单页查看结果，并进入导航页获取路线信息；物业端则通过 dashboard 接口集中获取经营摘要、趋势数据和状态说明。通过这种方式，系统既有用户侧主流程，也有管理侧监控入口。</w:t>
      </w:r>
    </w:p>
    <w:p w14:paraId="28A3472F">
      <w:r>
        <w:drawing>
          <wp:inline distT="0" distB="0" distL="114300" distR="114300">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669280" cy="3188970"/>
                    </a:xfrm>
                    <a:prstGeom prst="rect">
                      <a:avLst/>
                    </a:prstGeom>
                  </pic:spPr>
                </pic:pic>
              </a:graphicData>
            </a:graphic>
          </wp:inline>
        </w:drawing>
      </w:r>
    </w:p>
    <w:p w14:paraId="512F30AD">
      <w:pPr>
        <w:spacing w:before="0" w:after="120"/>
        <w:jc w:val="center"/>
      </w:pPr>
      <w:r>
        <w:rPr>
          <w:rFonts w:ascii="Times New Roman" w:hAnsi="Times New Roman" w:eastAsia="宋体"/>
          <w:b/>
          <w:sz w:val="22"/>
        </w:rPr>
        <w:t>图3-2 主数据流与业务流示意图</w:t>
      </w:r>
    </w:p>
    <w:p w14:paraId="6E13E8CC">
      <w:pPr>
        <w:spacing w:before="0" w:after="120" w:line="360" w:lineRule="auto"/>
        <w:ind w:firstLine="420"/>
        <w:jc w:val="both"/>
      </w:pPr>
      <w:r>
        <w:rPr>
          <w:rFonts w:ascii="Times New Roman" w:hAnsi="Times New Roman" w:eastAsia="宋体"/>
          <w:b w:val="0"/>
          <w:sz w:val="24"/>
        </w:rPr>
        <w:t>图3-2说明，本系统的数据流和业务流并不是分离的。ETL 处理后的特征数据会进入预测与调度链路，而调度结果、订单信息和收益统计又会继续反馈到业主端与物业端页面中，形成较完整的闭环。</w:t>
      </w:r>
    </w:p>
    <w:p w14:paraId="567F9543">
      <w:pPr>
        <w:pStyle w:val="4"/>
        <w:bidi w:val="0"/>
        <w:jc w:val="center"/>
        <w:rPr>
          <w:color w:val="000000" w:themeColor="text1"/>
          <w14:textFill>
            <w14:solidFill>
              <w14:schemeClr w14:val="tx1"/>
            </w14:solidFill>
          </w14:textFill>
        </w:rPr>
      </w:pPr>
      <w:bookmarkStart w:id="30" w:name="_Toc317178771"/>
      <w:bookmarkStart w:id="31" w:name="_Toc1003757846"/>
      <w:r>
        <w:rPr>
          <w:color w:val="000000" w:themeColor="text1"/>
          <w14:textFill>
            <w14:solidFill>
              <w14:schemeClr w14:val="tx1"/>
            </w14:solidFill>
          </w14:textFill>
        </w:rPr>
        <w:t>4 系统详细设计与实现</w:t>
      </w:r>
      <w:bookmarkEnd w:id="30"/>
      <w:bookmarkEnd w:id="31"/>
    </w:p>
    <w:p w14:paraId="26E867B1">
      <w:pPr>
        <w:pStyle w:val="4"/>
        <w:bidi w:val="0"/>
        <w:rPr>
          <w:b w:val="0"/>
          <w:bCs w:val="0"/>
          <w:color w:val="000000" w:themeColor="text1"/>
          <w14:textFill>
            <w14:solidFill>
              <w14:schemeClr w14:val="tx1"/>
            </w14:solidFill>
          </w14:textFill>
        </w:rPr>
      </w:pPr>
      <w:bookmarkStart w:id="32" w:name="_Toc1674070537"/>
      <w:bookmarkStart w:id="33" w:name="_Toc769192343"/>
      <w:r>
        <w:rPr>
          <w:b w:val="0"/>
          <w:bCs w:val="0"/>
          <w:color w:val="000000" w:themeColor="text1"/>
          <w14:textFill>
            <w14:solidFill>
              <w14:schemeClr w14:val="tx1"/>
            </w14:solidFill>
          </w14:textFill>
        </w:rPr>
        <w:t>4.1 服务划分与技术选型</w:t>
      </w:r>
      <w:bookmarkEnd w:id="32"/>
      <w:bookmarkEnd w:id="33"/>
    </w:p>
    <w:p w14:paraId="274CF5E3">
      <w:pPr>
        <w:spacing w:before="0" w:after="120" w:line="360" w:lineRule="auto"/>
        <w:ind w:firstLine="420"/>
        <w:jc w:val="both"/>
      </w:pPr>
      <w:r>
        <w:rPr>
          <w:rFonts w:ascii="Times New Roman" w:hAnsi="Times New Roman" w:eastAsia="宋体"/>
          <w:b w:val="0"/>
          <w:sz w:val="24"/>
        </w:rPr>
        <w:t>从项目实现情况来看，系统主要由五个部分组成。第一部分是网关服务，负责统一入口、请求转发和链路管理；第二部分是停车主业务服务，负责预约、订单、计费、导航和 dashboard 聚合；第三部分是模型服务，负责需求预测和调度优化；第四部分是实时服务，负责状态推送和伴生能力；第五部分是前端应用，负责业主端和物业端页面展示。</w:t>
      </w:r>
    </w:p>
    <w:p w14:paraId="58D4501A">
      <w:pPr>
        <w:spacing w:before="0" w:after="120" w:line="360" w:lineRule="auto"/>
        <w:ind w:firstLine="420"/>
        <w:jc w:val="both"/>
      </w:pPr>
      <w:r>
        <w:rPr>
          <w:rFonts w:ascii="Times New Roman" w:hAnsi="Times New Roman" w:eastAsia="宋体"/>
          <w:b w:val="0"/>
          <w:sz w:val="24"/>
        </w:rPr>
        <w:t>在技术选型方面，后端服务以 Java 和 Python 为主，前端采用 Vue3、TypeScript、Pinia 和 Vue Router 组织页面逻辑，并结合 Leaflet 地图和 ECharts 图表完成交互展示。这些技术都具有较成熟的工程生态，适合本科阶段完成从实现到演示的完整流程。</w:t>
      </w:r>
    </w:p>
    <w:p w14:paraId="1D1363FB">
      <w:pPr>
        <w:spacing w:before="120" w:after="120"/>
        <w:jc w:val="center"/>
      </w:pPr>
      <w:r>
        <w:rPr>
          <w:rFonts w:ascii="Times New Roman" w:hAnsi="Times New Roman" w:eastAsia="宋体"/>
          <w:b/>
          <w:sz w:val="22"/>
        </w:rPr>
        <w:t>表4-1 主要技术选型与作用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871"/>
        <w:gridCol w:w="2871"/>
      </w:tblGrid>
      <w:tr w14:paraId="20A1DD1E">
        <w:trPr>
          <w:jc w:val="center"/>
        </w:trPr>
        <w:tc>
          <w:tcPr>
            <w:tcW w:w="2871" w:type="dxa"/>
          </w:tcPr>
          <w:p w14:paraId="15DAD0FD">
            <w:pPr>
              <w:spacing w:after="0" w:line="240" w:lineRule="auto"/>
              <w:jc w:val="center"/>
            </w:pPr>
            <w:r>
              <w:rPr>
                <w:rFonts w:ascii="Times New Roman" w:hAnsi="Times New Roman" w:eastAsia="宋体"/>
                <w:b/>
                <w:sz w:val="20"/>
              </w:rPr>
              <w:t>技术或框架</w:t>
            </w:r>
          </w:p>
        </w:tc>
        <w:tc>
          <w:tcPr>
            <w:tcW w:w="2871" w:type="dxa"/>
          </w:tcPr>
          <w:p w14:paraId="5482C83A">
            <w:pPr>
              <w:spacing w:after="0" w:line="240" w:lineRule="auto"/>
              <w:jc w:val="center"/>
            </w:pPr>
            <w:r>
              <w:rPr>
                <w:rFonts w:ascii="Times New Roman" w:hAnsi="Times New Roman" w:eastAsia="宋体"/>
                <w:b/>
                <w:sz w:val="20"/>
              </w:rPr>
              <w:t>所属部分</w:t>
            </w:r>
          </w:p>
        </w:tc>
        <w:tc>
          <w:tcPr>
            <w:tcW w:w="2871" w:type="dxa"/>
          </w:tcPr>
          <w:p w14:paraId="24E47A5A">
            <w:pPr>
              <w:spacing w:after="0" w:line="240" w:lineRule="auto"/>
              <w:jc w:val="center"/>
            </w:pPr>
            <w:r>
              <w:rPr>
                <w:rFonts w:ascii="Times New Roman" w:hAnsi="Times New Roman" w:eastAsia="宋体"/>
                <w:b/>
                <w:sz w:val="20"/>
              </w:rPr>
              <w:t>主要作用</w:t>
            </w:r>
          </w:p>
        </w:tc>
      </w:tr>
      <w:tr w14:paraId="0D57D4F4">
        <w:trPr>
          <w:jc w:val="center"/>
        </w:trPr>
        <w:tc>
          <w:tcPr>
            <w:tcW w:w="2871" w:type="dxa"/>
          </w:tcPr>
          <w:p w14:paraId="6A7D69DA">
            <w:pPr>
              <w:spacing w:after="0" w:line="240" w:lineRule="auto"/>
              <w:jc w:val="left"/>
            </w:pPr>
            <w:r>
              <w:rPr>
                <w:rFonts w:ascii="Times New Roman" w:hAnsi="Times New Roman" w:eastAsia="宋体"/>
                <w:b w:val="0"/>
                <w:sz w:val="20"/>
              </w:rPr>
              <w:t>Spring Cloud Gateway</w:t>
            </w:r>
          </w:p>
        </w:tc>
        <w:tc>
          <w:tcPr>
            <w:tcW w:w="2871" w:type="dxa"/>
          </w:tcPr>
          <w:p w14:paraId="0492AE32">
            <w:pPr>
              <w:spacing w:after="0" w:line="240" w:lineRule="auto"/>
              <w:jc w:val="left"/>
            </w:pPr>
            <w:r>
              <w:rPr>
                <w:rFonts w:ascii="Times New Roman" w:hAnsi="Times New Roman" w:eastAsia="宋体"/>
                <w:b w:val="0"/>
                <w:sz w:val="20"/>
              </w:rPr>
              <w:t>网关服务</w:t>
            </w:r>
          </w:p>
        </w:tc>
        <w:tc>
          <w:tcPr>
            <w:tcW w:w="2871" w:type="dxa"/>
          </w:tcPr>
          <w:p w14:paraId="65273D06">
            <w:pPr>
              <w:spacing w:after="0" w:line="240" w:lineRule="auto"/>
              <w:jc w:val="left"/>
            </w:pPr>
            <w:r>
              <w:rPr>
                <w:rFonts w:ascii="Times New Roman" w:hAnsi="Times New Roman" w:eastAsia="宋体"/>
                <w:b w:val="0"/>
                <w:sz w:val="20"/>
              </w:rPr>
              <w:t>统一入口、路由转发、降级兜底</w:t>
            </w:r>
          </w:p>
        </w:tc>
      </w:tr>
      <w:tr w14:paraId="727D74D2">
        <w:trPr>
          <w:jc w:val="center"/>
        </w:trPr>
        <w:tc>
          <w:tcPr>
            <w:tcW w:w="2871" w:type="dxa"/>
          </w:tcPr>
          <w:p w14:paraId="64FD070B">
            <w:pPr>
              <w:spacing w:after="0" w:line="240" w:lineRule="auto"/>
              <w:jc w:val="left"/>
            </w:pPr>
            <w:r>
              <w:rPr>
                <w:rFonts w:ascii="Times New Roman" w:hAnsi="Times New Roman" w:eastAsia="宋体"/>
                <w:b w:val="0"/>
                <w:sz w:val="20"/>
              </w:rPr>
              <w:t>Spring Boot</w:t>
            </w:r>
          </w:p>
        </w:tc>
        <w:tc>
          <w:tcPr>
            <w:tcW w:w="2871" w:type="dxa"/>
          </w:tcPr>
          <w:p w14:paraId="6EE7E1FC">
            <w:pPr>
              <w:spacing w:after="0" w:line="240" w:lineRule="auto"/>
              <w:jc w:val="left"/>
            </w:pPr>
            <w:r>
              <w:rPr>
                <w:rFonts w:ascii="Times New Roman" w:hAnsi="Times New Roman" w:eastAsia="宋体"/>
                <w:b w:val="0"/>
                <w:sz w:val="20"/>
              </w:rPr>
              <w:t>业务服务</w:t>
            </w:r>
          </w:p>
        </w:tc>
        <w:tc>
          <w:tcPr>
            <w:tcW w:w="2871" w:type="dxa"/>
          </w:tcPr>
          <w:p w14:paraId="5DF3A41A">
            <w:pPr>
              <w:spacing w:after="0" w:line="240" w:lineRule="auto"/>
              <w:jc w:val="left"/>
            </w:pPr>
            <w:r>
              <w:rPr>
                <w:rFonts w:ascii="Times New Roman" w:hAnsi="Times New Roman" w:eastAsia="宋体"/>
                <w:b w:val="0"/>
                <w:sz w:val="20"/>
              </w:rPr>
              <w:t>承载预约、计费、订单和 dashboard 聚合逻辑</w:t>
            </w:r>
          </w:p>
        </w:tc>
      </w:tr>
      <w:tr w14:paraId="5D5AA8EA">
        <w:trPr>
          <w:jc w:val="center"/>
        </w:trPr>
        <w:tc>
          <w:tcPr>
            <w:tcW w:w="2871" w:type="dxa"/>
          </w:tcPr>
          <w:p w14:paraId="26069BA1">
            <w:pPr>
              <w:spacing w:after="0" w:line="240" w:lineRule="auto"/>
              <w:jc w:val="left"/>
            </w:pPr>
            <w:r>
              <w:rPr>
                <w:rFonts w:ascii="Times New Roman" w:hAnsi="Times New Roman" w:eastAsia="宋体"/>
                <w:b w:val="0"/>
                <w:sz w:val="20"/>
              </w:rPr>
              <w:t>Python 3.11</w:t>
            </w:r>
          </w:p>
        </w:tc>
        <w:tc>
          <w:tcPr>
            <w:tcW w:w="2871" w:type="dxa"/>
          </w:tcPr>
          <w:p w14:paraId="393582B1">
            <w:pPr>
              <w:spacing w:after="0" w:line="240" w:lineRule="auto"/>
              <w:jc w:val="left"/>
            </w:pPr>
            <w:r>
              <w:rPr>
                <w:rFonts w:ascii="Times New Roman" w:hAnsi="Times New Roman" w:eastAsia="宋体"/>
                <w:b w:val="0"/>
                <w:sz w:val="20"/>
              </w:rPr>
              <w:t>模型服务 / 实时服务</w:t>
            </w:r>
          </w:p>
        </w:tc>
        <w:tc>
          <w:tcPr>
            <w:tcW w:w="2871" w:type="dxa"/>
          </w:tcPr>
          <w:p w14:paraId="5D200394">
            <w:pPr>
              <w:spacing w:after="0" w:line="240" w:lineRule="auto"/>
              <w:jc w:val="left"/>
            </w:pPr>
            <w:r>
              <w:rPr>
                <w:rFonts w:ascii="Times New Roman" w:hAnsi="Times New Roman" w:eastAsia="宋体"/>
                <w:b w:val="0"/>
                <w:sz w:val="20"/>
              </w:rPr>
              <w:t>预测、调度、WebSocket 实时推送</w:t>
            </w:r>
          </w:p>
        </w:tc>
      </w:tr>
      <w:tr w14:paraId="2990C9F7">
        <w:trPr>
          <w:jc w:val="center"/>
        </w:trPr>
        <w:tc>
          <w:tcPr>
            <w:tcW w:w="2871" w:type="dxa"/>
          </w:tcPr>
          <w:p w14:paraId="5DD56A33">
            <w:pPr>
              <w:spacing w:after="0" w:line="240" w:lineRule="auto"/>
              <w:jc w:val="left"/>
            </w:pPr>
            <w:r>
              <w:rPr>
                <w:rFonts w:ascii="Times New Roman" w:hAnsi="Times New Roman" w:eastAsia="宋体"/>
                <w:b w:val="0"/>
                <w:sz w:val="20"/>
              </w:rPr>
              <w:t>Vue3 + TypeScript</w:t>
            </w:r>
          </w:p>
        </w:tc>
        <w:tc>
          <w:tcPr>
            <w:tcW w:w="2871" w:type="dxa"/>
          </w:tcPr>
          <w:p w14:paraId="3769DBB4">
            <w:pPr>
              <w:spacing w:after="0" w:line="240" w:lineRule="auto"/>
              <w:jc w:val="left"/>
            </w:pPr>
            <w:r>
              <w:rPr>
                <w:rFonts w:ascii="Times New Roman" w:hAnsi="Times New Roman" w:eastAsia="宋体"/>
                <w:b w:val="0"/>
                <w:sz w:val="20"/>
              </w:rPr>
              <w:t>前端</w:t>
            </w:r>
          </w:p>
        </w:tc>
        <w:tc>
          <w:tcPr>
            <w:tcW w:w="2871" w:type="dxa"/>
          </w:tcPr>
          <w:p w14:paraId="744DFDD5">
            <w:pPr>
              <w:spacing w:after="0" w:line="240" w:lineRule="auto"/>
              <w:jc w:val="left"/>
            </w:pPr>
            <w:r>
              <w:rPr>
                <w:rFonts w:ascii="Times New Roman" w:hAnsi="Times New Roman" w:eastAsia="宋体"/>
                <w:b w:val="0"/>
                <w:sz w:val="20"/>
              </w:rPr>
              <w:t>组织页面结构和交互逻辑</w:t>
            </w:r>
          </w:p>
        </w:tc>
      </w:tr>
      <w:tr w14:paraId="55E8F3A6">
        <w:trPr>
          <w:jc w:val="center"/>
        </w:trPr>
        <w:tc>
          <w:tcPr>
            <w:tcW w:w="2871" w:type="dxa"/>
          </w:tcPr>
          <w:p w14:paraId="7DDA6962">
            <w:pPr>
              <w:spacing w:after="0" w:line="240" w:lineRule="auto"/>
              <w:jc w:val="left"/>
            </w:pPr>
            <w:r>
              <w:rPr>
                <w:rFonts w:ascii="Times New Roman" w:hAnsi="Times New Roman" w:eastAsia="宋体"/>
                <w:b w:val="0"/>
                <w:sz w:val="20"/>
              </w:rPr>
              <w:t>Pinia + Vue Router</w:t>
            </w:r>
          </w:p>
        </w:tc>
        <w:tc>
          <w:tcPr>
            <w:tcW w:w="2871" w:type="dxa"/>
          </w:tcPr>
          <w:p w14:paraId="0C88E2F7">
            <w:pPr>
              <w:spacing w:after="0" w:line="240" w:lineRule="auto"/>
              <w:jc w:val="left"/>
            </w:pPr>
            <w:r>
              <w:rPr>
                <w:rFonts w:ascii="Times New Roman" w:hAnsi="Times New Roman" w:eastAsia="宋体"/>
                <w:b w:val="0"/>
                <w:sz w:val="20"/>
              </w:rPr>
              <w:t>前端</w:t>
            </w:r>
          </w:p>
        </w:tc>
        <w:tc>
          <w:tcPr>
            <w:tcW w:w="2871" w:type="dxa"/>
          </w:tcPr>
          <w:p w14:paraId="39C25004">
            <w:pPr>
              <w:spacing w:after="0" w:line="240" w:lineRule="auto"/>
              <w:jc w:val="left"/>
            </w:pPr>
            <w:r>
              <w:rPr>
                <w:rFonts w:ascii="Times New Roman" w:hAnsi="Times New Roman" w:eastAsia="宋体"/>
                <w:b w:val="0"/>
                <w:sz w:val="20"/>
              </w:rPr>
              <w:t>状态管理、路由组织</w:t>
            </w:r>
          </w:p>
        </w:tc>
      </w:tr>
      <w:tr w14:paraId="4C3C89B1">
        <w:trPr>
          <w:jc w:val="center"/>
        </w:trPr>
        <w:tc>
          <w:tcPr>
            <w:tcW w:w="2871" w:type="dxa"/>
          </w:tcPr>
          <w:p w14:paraId="6519F9AC">
            <w:pPr>
              <w:spacing w:after="0" w:line="240" w:lineRule="auto"/>
              <w:jc w:val="left"/>
            </w:pPr>
            <w:r>
              <w:rPr>
                <w:rFonts w:ascii="Times New Roman" w:hAnsi="Times New Roman" w:eastAsia="宋体"/>
                <w:b w:val="0"/>
                <w:sz w:val="20"/>
              </w:rPr>
              <w:t>Leaflet + OpenStreetMap</w:t>
            </w:r>
          </w:p>
        </w:tc>
        <w:tc>
          <w:tcPr>
            <w:tcW w:w="2871" w:type="dxa"/>
          </w:tcPr>
          <w:p w14:paraId="3798C715">
            <w:pPr>
              <w:spacing w:after="0" w:line="240" w:lineRule="auto"/>
              <w:jc w:val="left"/>
            </w:pPr>
            <w:r>
              <w:rPr>
                <w:rFonts w:ascii="Times New Roman" w:hAnsi="Times New Roman" w:eastAsia="宋体"/>
                <w:b w:val="0"/>
                <w:sz w:val="20"/>
              </w:rPr>
              <w:t>导航页面</w:t>
            </w:r>
          </w:p>
        </w:tc>
        <w:tc>
          <w:tcPr>
            <w:tcW w:w="2871" w:type="dxa"/>
          </w:tcPr>
          <w:p w14:paraId="3C0D0416">
            <w:pPr>
              <w:spacing w:after="0" w:line="240" w:lineRule="auto"/>
              <w:jc w:val="left"/>
            </w:pPr>
            <w:r>
              <w:rPr>
                <w:rFonts w:ascii="Times New Roman" w:hAnsi="Times New Roman" w:eastAsia="宋体"/>
                <w:b w:val="0"/>
                <w:sz w:val="20"/>
              </w:rPr>
              <w:t>页面内地图预览与路线展示</w:t>
            </w:r>
          </w:p>
        </w:tc>
      </w:tr>
      <w:tr w14:paraId="1302E270">
        <w:trPr>
          <w:jc w:val="center"/>
        </w:trPr>
        <w:tc>
          <w:tcPr>
            <w:tcW w:w="2871" w:type="dxa"/>
          </w:tcPr>
          <w:p w14:paraId="1752C039">
            <w:pPr>
              <w:spacing w:after="0" w:line="240" w:lineRule="auto"/>
              <w:jc w:val="left"/>
            </w:pPr>
            <w:r>
              <w:rPr>
                <w:rFonts w:ascii="Times New Roman" w:hAnsi="Times New Roman" w:eastAsia="宋体"/>
                <w:b w:val="0"/>
                <w:sz w:val="20"/>
              </w:rPr>
              <w:t>ECharts</w:t>
            </w:r>
          </w:p>
        </w:tc>
        <w:tc>
          <w:tcPr>
            <w:tcW w:w="2871" w:type="dxa"/>
          </w:tcPr>
          <w:p w14:paraId="32B4FE71">
            <w:pPr>
              <w:spacing w:after="0" w:line="240" w:lineRule="auto"/>
              <w:jc w:val="left"/>
            </w:pPr>
            <w:r>
              <w:rPr>
                <w:rFonts w:ascii="Times New Roman" w:hAnsi="Times New Roman" w:eastAsia="宋体"/>
                <w:b w:val="0"/>
                <w:sz w:val="20"/>
              </w:rPr>
              <w:t>物业端</w:t>
            </w:r>
          </w:p>
        </w:tc>
        <w:tc>
          <w:tcPr>
            <w:tcW w:w="2871" w:type="dxa"/>
          </w:tcPr>
          <w:p w14:paraId="39959369">
            <w:pPr>
              <w:spacing w:after="0" w:line="240" w:lineRule="auto"/>
              <w:jc w:val="left"/>
            </w:pPr>
            <w:r>
              <w:rPr>
                <w:rFonts w:ascii="Times New Roman" w:hAnsi="Times New Roman" w:eastAsia="宋体"/>
                <w:b w:val="0"/>
                <w:sz w:val="20"/>
              </w:rPr>
              <w:t>收益、占用率、预测对照等图表展示</w:t>
            </w:r>
          </w:p>
        </w:tc>
      </w:tr>
      <w:tr w14:paraId="059F9C37">
        <w:trPr>
          <w:jc w:val="center"/>
        </w:trPr>
        <w:tc>
          <w:tcPr>
            <w:tcW w:w="2871" w:type="dxa"/>
          </w:tcPr>
          <w:p w14:paraId="5E6B4C13">
            <w:pPr>
              <w:spacing w:after="0" w:line="240" w:lineRule="auto"/>
              <w:jc w:val="left"/>
            </w:pPr>
            <w:r>
              <w:rPr>
                <w:rFonts w:ascii="Times New Roman" w:hAnsi="Times New Roman" w:eastAsia="宋体"/>
                <w:b w:val="0"/>
                <w:sz w:val="20"/>
              </w:rPr>
              <w:t>MySQL + Redis + RabbitMQ</w:t>
            </w:r>
          </w:p>
        </w:tc>
        <w:tc>
          <w:tcPr>
            <w:tcW w:w="2871" w:type="dxa"/>
          </w:tcPr>
          <w:p w14:paraId="181A093A">
            <w:pPr>
              <w:spacing w:after="0" w:line="240" w:lineRule="auto"/>
              <w:jc w:val="left"/>
            </w:pPr>
            <w:r>
              <w:rPr>
                <w:rFonts w:ascii="Times New Roman" w:hAnsi="Times New Roman" w:eastAsia="宋体"/>
                <w:b w:val="0"/>
                <w:sz w:val="20"/>
              </w:rPr>
              <w:t>数据支撑</w:t>
            </w:r>
          </w:p>
        </w:tc>
        <w:tc>
          <w:tcPr>
            <w:tcW w:w="2871" w:type="dxa"/>
          </w:tcPr>
          <w:p w14:paraId="5A67E0C7">
            <w:pPr>
              <w:spacing w:after="0" w:line="240" w:lineRule="auto"/>
              <w:jc w:val="left"/>
            </w:pPr>
            <w:r>
              <w:rPr>
                <w:rFonts w:ascii="Times New Roman" w:hAnsi="Times New Roman" w:eastAsia="宋体"/>
                <w:b w:val="0"/>
                <w:sz w:val="20"/>
              </w:rPr>
              <w:t>存储、缓存、消息解耦</w:t>
            </w:r>
          </w:p>
        </w:tc>
      </w:tr>
    </w:tbl>
    <w:p w14:paraId="088EF233"/>
    <w:p w14:paraId="160334A8">
      <w:pPr>
        <w:spacing w:before="0" w:after="120" w:line="360" w:lineRule="auto"/>
        <w:ind w:firstLine="0"/>
        <w:jc w:val="left"/>
      </w:pPr>
      <w:r>
        <w:rPr>
          <w:rFonts w:ascii="Times New Roman" w:hAnsi="Times New Roman" w:eastAsia="宋体"/>
          <w:b w:val="0"/>
          <w:sz w:val="20"/>
        </w:rPr>
        <w:t>资料来源：本文根据项目 README 与架构文档整理。</w:t>
      </w:r>
    </w:p>
    <w:p w14:paraId="497F13AB">
      <w:pPr>
        <w:pStyle w:val="4"/>
        <w:bidi w:val="0"/>
        <w:rPr>
          <w:b w:val="0"/>
          <w:bCs w:val="0"/>
          <w:color w:val="000000" w:themeColor="text1"/>
          <w14:textFill>
            <w14:solidFill>
              <w14:schemeClr w14:val="tx1"/>
            </w14:solidFill>
          </w14:textFill>
        </w:rPr>
      </w:pPr>
      <w:bookmarkStart w:id="34" w:name="_Toc1920256012"/>
      <w:bookmarkStart w:id="35" w:name="_Toc2111637508"/>
      <w:r>
        <w:rPr>
          <w:b w:val="0"/>
          <w:bCs w:val="0"/>
          <w:color w:val="000000" w:themeColor="text1"/>
          <w14:textFill>
            <w14:solidFill>
              <w14:schemeClr w14:val="tx1"/>
            </w14:solidFill>
          </w14:textFill>
        </w:rPr>
        <w:t>4.2 多源数据接入与处理实现</w:t>
      </w:r>
      <w:bookmarkEnd w:id="34"/>
      <w:bookmarkEnd w:id="35"/>
    </w:p>
    <w:p w14:paraId="4235E2D7">
      <w:pPr>
        <w:spacing w:before="0" w:after="120" w:line="360" w:lineRule="auto"/>
        <w:ind w:firstLine="420"/>
        <w:jc w:val="both"/>
      </w:pPr>
      <w:r>
        <w:rPr>
          <w:rFonts w:ascii="Times New Roman" w:hAnsi="Times New Roman" w:eastAsia="宋体"/>
          <w:b w:val="0"/>
          <w:sz w:val="24"/>
        </w:rPr>
        <w:t>数据处理部分主要围绕车位状态、车辆进出记录和住户出行规律展开。系统首先对不同来源的数据进行清洗和字段对齐，再根据业务需求构建预测和调度所需的中间特征。通过这一过程，系统能够较好地解决不同数据来源格式不一致、时间粒度不同和字段含义分散的问题。</w:t>
      </w:r>
    </w:p>
    <w:p w14:paraId="137CDE24">
      <w:pPr>
        <w:spacing w:before="0" w:after="120" w:line="360" w:lineRule="auto"/>
        <w:ind w:firstLine="420"/>
        <w:jc w:val="both"/>
      </w:pPr>
      <w:r>
        <w:rPr>
          <w:rFonts w:ascii="Times New Roman" w:hAnsi="Times New Roman" w:eastAsia="宋体"/>
          <w:b w:val="0"/>
          <w:sz w:val="24"/>
        </w:rPr>
        <w:t>多源数据接入之后，预测服务和业务统计才有比较稳定的输入基础。对本课题来说，这部分实现虽然不直接展示在页面上，但它决定了后续推荐、经营分析和调度模块能否正常工作，因此是整个系统实现的重要前提。</w:t>
      </w:r>
    </w:p>
    <w:p w14:paraId="5A9B0378">
      <w:pPr>
        <w:pStyle w:val="4"/>
        <w:bidi w:val="0"/>
        <w:rPr>
          <w:b w:val="0"/>
          <w:bCs w:val="0"/>
          <w:color w:val="000000" w:themeColor="text1"/>
          <w14:textFill>
            <w14:solidFill>
              <w14:schemeClr w14:val="tx1"/>
            </w14:solidFill>
          </w14:textFill>
        </w:rPr>
      </w:pPr>
      <w:bookmarkStart w:id="36" w:name="_Toc976846634"/>
      <w:bookmarkStart w:id="37" w:name="_Toc1358546568"/>
      <w:r>
        <w:rPr>
          <w:b w:val="0"/>
          <w:bCs w:val="0"/>
          <w:color w:val="000000" w:themeColor="text1"/>
          <w14:textFill>
            <w14:solidFill>
              <w14:schemeClr w14:val="tx1"/>
            </w14:solidFill>
          </w14:textFill>
        </w:rPr>
        <w:t>4.3 预测与调度服务实现</w:t>
      </w:r>
      <w:bookmarkEnd w:id="36"/>
      <w:bookmarkEnd w:id="37"/>
    </w:p>
    <w:p w14:paraId="50E405F3">
      <w:pPr>
        <w:spacing w:before="0" w:after="120" w:line="360" w:lineRule="auto"/>
        <w:ind w:firstLine="420"/>
        <w:jc w:val="both"/>
      </w:pPr>
      <w:r>
        <w:rPr>
          <w:rFonts w:ascii="Times New Roman" w:hAnsi="Times New Roman" w:eastAsia="宋体"/>
          <w:b w:val="0"/>
          <w:sz w:val="24"/>
        </w:rPr>
        <w:t>模型服务主要负责停车需求预测和调度优化。预测部分使用 LSTM-Lite 对供需变化进行估计，给出推荐和经营分析所需的参考信息；调度部分则结合 Hungarian 匹配方法，在用户请求和可用车位之间完成动态分配。这里的重点不是把模型做得越复杂越好，而是让模型结果能够真正进入业务流程。</w:t>
      </w:r>
    </w:p>
    <w:p w14:paraId="033A3C95">
      <w:pPr>
        <w:spacing w:before="0" w:after="120" w:line="360" w:lineRule="auto"/>
        <w:ind w:firstLine="420"/>
        <w:jc w:val="both"/>
      </w:pPr>
      <w:r>
        <w:rPr>
          <w:rFonts w:ascii="Times New Roman" w:hAnsi="Times New Roman" w:eastAsia="宋体"/>
          <w:b w:val="0"/>
          <w:sz w:val="24"/>
        </w:rPr>
        <w:t>在实际实现中，预测服务和调度服务并不是完全独立于业务之外运行，而是与停车主业务服务保持协同关系。预测结果可以为推荐和经营图表提供数据参考，调度结果则直接影响车位分配和预约流程。这样的实现方式，使模型不只是一个展示模块，而是进入了系统主链。</w:t>
      </w:r>
    </w:p>
    <w:p w14:paraId="3063219C">
      <w:r>
        <w:drawing>
          <wp:inline distT="0" distB="0" distL="114300" distR="114300">
            <wp:extent cx="5669280" cy="2196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69280" cy="2196846"/>
                    </a:xfrm>
                    <a:prstGeom prst="rect">
                      <a:avLst/>
                    </a:prstGeom>
                  </pic:spPr>
                </pic:pic>
              </a:graphicData>
            </a:graphic>
          </wp:inline>
        </w:drawing>
      </w:r>
    </w:p>
    <w:p w14:paraId="05E31DA5">
      <w:pPr>
        <w:spacing w:before="0" w:after="120"/>
        <w:jc w:val="center"/>
      </w:pPr>
      <w:r>
        <w:rPr>
          <w:rFonts w:ascii="Times New Roman" w:hAnsi="Times New Roman" w:eastAsia="宋体"/>
          <w:b/>
          <w:sz w:val="22"/>
        </w:rPr>
        <w:t>图4-1 预测与调度协同流程图</w:t>
      </w:r>
    </w:p>
    <w:p w14:paraId="65FC8CE8">
      <w:pPr>
        <w:spacing w:before="0" w:after="120" w:line="360" w:lineRule="auto"/>
        <w:ind w:firstLine="420"/>
        <w:jc w:val="both"/>
      </w:pPr>
      <w:r>
        <w:rPr>
          <w:rFonts w:ascii="Times New Roman" w:hAnsi="Times New Roman" w:eastAsia="宋体"/>
          <w:b w:val="0"/>
          <w:sz w:val="24"/>
        </w:rPr>
        <w:t>从图4-1可以看到，预测和调度在系统中是前后衔接的。预测结果先给出趋势参考，随后调度模块再结合可用车位完成分配，最后统一进入停车主业务服务和前端页面。</w:t>
      </w:r>
    </w:p>
    <w:p w14:paraId="0B354D10">
      <w:pPr>
        <w:pStyle w:val="4"/>
        <w:bidi w:val="0"/>
        <w:jc w:val="left"/>
        <w:rPr>
          <w:b w:val="0"/>
          <w:bCs w:val="0"/>
          <w:color w:val="000000" w:themeColor="text1"/>
          <w14:textFill>
            <w14:solidFill>
              <w14:schemeClr w14:val="tx1"/>
            </w14:solidFill>
          </w14:textFill>
        </w:rPr>
      </w:pPr>
      <w:bookmarkStart w:id="38" w:name="_Toc1046033472"/>
      <w:bookmarkStart w:id="39" w:name="_Toc348896323"/>
      <w:r>
        <w:rPr>
          <w:b w:val="0"/>
          <w:bCs w:val="0"/>
          <w:color w:val="000000" w:themeColor="text1"/>
          <w14:textFill>
            <w14:solidFill>
              <w14:schemeClr w14:val="tx1"/>
            </w14:solidFill>
          </w14:textFill>
        </w:rPr>
        <w:t>4.4 预约、计费与订单主链实现</w:t>
      </w:r>
      <w:bookmarkEnd w:id="38"/>
      <w:bookmarkEnd w:id="39"/>
    </w:p>
    <w:p w14:paraId="14EBBD42">
      <w:pPr>
        <w:spacing w:before="0" w:after="120" w:line="360" w:lineRule="auto"/>
        <w:ind w:firstLine="420"/>
        <w:jc w:val="both"/>
      </w:pPr>
      <w:r>
        <w:rPr>
          <w:rFonts w:ascii="Times New Roman" w:hAnsi="Times New Roman" w:eastAsia="宋体"/>
          <w:b w:val="0"/>
          <w:sz w:val="24"/>
        </w:rPr>
        <w:t>停车主业务服务是系统中的核心模块，主要承担预约主链、共享计费、订单处理、收益统计、导航目标生成和 dashboard 聚合等职责。考虑到停车预约场景中可能出现重复提交和资源竞争，系统在这一层加入了幂等控制、锁机制和数据库约束等设计，尽量保证主要流程稳定可用。</w:t>
      </w:r>
    </w:p>
    <w:p w14:paraId="5B4F4FA9">
      <w:pPr>
        <w:spacing w:before="0" w:after="120" w:line="360" w:lineRule="auto"/>
        <w:ind w:firstLine="420"/>
        <w:jc w:val="both"/>
      </w:pPr>
      <w:r>
        <w:rPr>
          <w:rFonts w:ascii="Times New Roman" w:hAnsi="Times New Roman" w:eastAsia="宋体"/>
          <w:b w:val="0"/>
          <w:sz w:val="24"/>
        </w:rPr>
        <w:t>从业务流程看，用户发起预约后，系统首先校验资源状态和请求有效性，再根据业务规则生成计费结果与订单信息，最后把结果同步到订单页和导航相关页面。这一链路是整个智慧停车系统的核心，也是论文实现部分需要重点说明的内容。</w:t>
      </w:r>
    </w:p>
    <w:p w14:paraId="7EA3FCE3">
      <w:r>
        <w:drawing>
          <wp:inline distT="0" distB="0" distL="114300" distR="114300">
            <wp:extent cx="5669280" cy="3472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669280" cy="3472434"/>
                    </a:xfrm>
                    <a:prstGeom prst="rect">
                      <a:avLst/>
                    </a:prstGeom>
                  </pic:spPr>
                </pic:pic>
              </a:graphicData>
            </a:graphic>
          </wp:inline>
        </w:drawing>
      </w:r>
    </w:p>
    <w:p w14:paraId="735F1DA7">
      <w:pPr>
        <w:spacing w:before="0" w:after="120"/>
        <w:jc w:val="center"/>
      </w:pPr>
      <w:r>
        <w:rPr>
          <w:rFonts w:ascii="Times New Roman" w:hAnsi="Times New Roman" w:eastAsia="宋体"/>
          <w:b/>
          <w:sz w:val="22"/>
        </w:rPr>
        <w:t>图4-2 业主预约主链时序图</w:t>
      </w:r>
    </w:p>
    <w:p w14:paraId="2307A579">
      <w:pPr>
        <w:spacing w:before="0" w:after="120" w:line="360" w:lineRule="auto"/>
        <w:ind w:firstLine="420"/>
        <w:jc w:val="both"/>
      </w:pPr>
      <w:r>
        <w:rPr>
          <w:rFonts w:ascii="Times New Roman" w:hAnsi="Times New Roman" w:eastAsia="宋体"/>
          <w:b w:val="0"/>
          <w:sz w:val="24"/>
        </w:rPr>
        <w:t>图4-2所展示的处理过程，体现了系统在预约主链中对一致性和业务联动的同时考虑。也就是说，系统不是简单返回“预约成功”，而是把幂等校验、调度参考、订单写入和页面反馈连成了一条完整链路。</w:t>
      </w:r>
    </w:p>
    <w:p w14:paraId="324E77A6">
      <w:pPr>
        <w:pStyle w:val="4"/>
        <w:bidi w:val="0"/>
        <w:rPr>
          <w:b w:val="0"/>
          <w:bCs w:val="0"/>
          <w:color w:val="000000" w:themeColor="text1"/>
          <w14:textFill>
            <w14:solidFill>
              <w14:schemeClr w14:val="tx1"/>
            </w14:solidFill>
          </w14:textFill>
        </w:rPr>
      </w:pPr>
      <w:bookmarkStart w:id="40" w:name="_Toc1383429562"/>
      <w:bookmarkStart w:id="41" w:name="_Toc1270144351"/>
      <w:r>
        <w:rPr>
          <w:b w:val="0"/>
          <w:bCs w:val="0"/>
          <w:color w:val="000000" w:themeColor="text1"/>
          <w14:textFill>
            <w14:solidFill>
              <w14:schemeClr w14:val="tx1"/>
            </w14:solidFill>
          </w14:textFill>
        </w:rPr>
        <w:t>4.5 业主端页面实现</w:t>
      </w:r>
      <w:bookmarkEnd w:id="40"/>
      <w:bookmarkEnd w:id="41"/>
    </w:p>
    <w:p w14:paraId="085D91B3">
      <w:pPr>
        <w:spacing w:before="0" w:after="120" w:line="360" w:lineRule="auto"/>
        <w:ind w:firstLine="420"/>
        <w:jc w:val="both"/>
      </w:pPr>
      <w:r>
        <w:rPr>
          <w:rFonts w:ascii="Times New Roman" w:hAnsi="Times New Roman" w:eastAsia="宋体"/>
          <w:b w:val="0"/>
          <w:sz w:val="24"/>
        </w:rPr>
        <w:t>业主端主要包括推荐、预约、订单、账单和导航等页面。页面设计时不只是考虑展示效果，也考虑停车流程是否连贯。例如推荐页、订单页和导航页需要共享订单上下文，避免用户跳转后丢失主要信息。地图展示采用 Leaflet 加 OpenStreetMap 方案，既能满足页面内预览，也方便后续扩展外部导航跳转。</w:t>
      </w:r>
    </w:p>
    <w:p w14:paraId="7281FF64">
      <w:pPr>
        <w:spacing w:before="0" w:after="120" w:line="360" w:lineRule="auto"/>
        <w:ind w:firstLine="420"/>
        <w:jc w:val="both"/>
      </w:pPr>
      <w:r>
        <w:rPr>
          <w:rFonts w:ascii="Times New Roman" w:hAnsi="Times New Roman" w:eastAsia="宋体"/>
          <w:b w:val="0"/>
          <w:sz w:val="24"/>
        </w:rPr>
        <w:t>从用户体验角度看，业主端页面的关键不是单个页面做得多复杂，而是能否把推荐结果、预约操作、订单信息和导航入口连接起来。后期实现中，页面级数据编排被进一步下沉到 view-model 层，这让页面组件本身的职责更加清晰，也使状态切换更容易维护。</w:t>
      </w:r>
    </w:p>
    <w:p w14:paraId="7DE3F761">
      <w:pPr>
        <w:pStyle w:val="4"/>
        <w:bidi w:val="0"/>
        <w:rPr>
          <w:b w:val="0"/>
          <w:bCs w:val="0"/>
          <w:color w:val="000000" w:themeColor="text1"/>
          <w14:textFill>
            <w14:solidFill>
              <w14:schemeClr w14:val="tx1"/>
            </w14:solidFill>
          </w14:textFill>
        </w:rPr>
      </w:pPr>
      <w:bookmarkStart w:id="42" w:name="_Toc495202465"/>
      <w:bookmarkStart w:id="43" w:name="_Toc1328656077"/>
      <w:r>
        <w:rPr>
          <w:b w:val="0"/>
          <w:bCs w:val="0"/>
          <w:color w:val="000000" w:themeColor="text1"/>
          <w14:textFill>
            <w14:solidFill>
              <w14:schemeClr w14:val="tx1"/>
            </w14:solidFill>
          </w14:textFill>
        </w:rPr>
        <w:t>4.6 物业端页面实现</w:t>
      </w:r>
      <w:bookmarkEnd w:id="42"/>
      <w:bookmarkEnd w:id="43"/>
    </w:p>
    <w:p w14:paraId="5AFB9BEB">
      <w:pPr>
        <w:spacing w:before="0" w:after="120" w:line="360" w:lineRule="auto"/>
        <w:ind w:firstLine="420"/>
        <w:jc w:val="both"/>
      </w:pPr>
      <w:r>
        <w:rPr>
          <w:rFonts w:ascii="Times New Roman" w:hAnsi="Times New Roman" w:eastAsia="宋体"/>
          <w:b w:val="0"/>
          <w:sz w:val="24"/>
        </w:rPr>
        <w:t>物业端主要展示经营摘要、收益趋势、占用率趋势、预测对照和实时状态说明等内容。图表部分采用 ECharts 按需加载，减少无关页面的资源开销。相比只堆叠图表，本文更强调对结果来源、更新时间和降级原因的说明，这样管理人员更容易理解页面展示的含义。</w:t>
      </w:r>
    </w:p>
    <w:p w14:paraId="762F10A0">
      <w:pPr>
        <w:spacing w:before="0" w:after="120" w:line="360" w:lineRule="auto"/>
        <w:ind w:firstLine="420"/>
        <w:jc w:val="both"/>
      </w:pPr>
      <w:r>
        <w:rPr>
          <w:rFonts w:ascii="Times New Roman" w:hAnsi="Times New Roman" w:eastAsia="宋体"/>
          <w:b w:val="0"/>
          <w:sz w:val="24"/>
        </w:rPr>
        <w:t>在项目后期，owner 和 admin 两类 dashboard 接口被进一步纳入统一合同描述，并对页面级 view-model 进行了收敛。这种做法有两个好处：一是页面所需数据来源更加集中，二是 loading、error、empty、degraded、stale 等状态表达更加统一。对于论文写作来说，这也说明系统在前端工程化方面做了进一步完善。</w:t>
      </w:r>
    </w:p>
    <w:p w14:paraId="57330AAE">
      <w:r>
        <w:drawing>
          <wp:inline distT="0" distB="0" distL="114300" distR="114300">
            <wp:extent cx="5669280" cy="3046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669280" cy="3047238"/>
                    </a:xfrm>
                    <a:prstGeom prst="rect">
                      <a:avLst/>
                    </a:prstGeom>
                  </pic:spPr>
                </pic:pic>
              </a:graphicData>
            </a:graphic>
          </wp:inline>
        </w:drawing>
      </w:r>
    </w:p>
    <w:p w14:paraId="5578CDE5">
      <w:pPr>
        <w:spacing w:before="0" w:after="120"/>
        <w:jc w:val="center"/>
      </w:pPr>
      <w:r>
        <w:rPr>
          <w:rFonts w:ascii="Times New Roman" w:hAnsi="Times New Roman" w:eastAsia="宋体"/>
          <w:b/>
          <w:sz w:val="22"/>
        </w:rPr>
        <w:t>图4-3 物业端 dashboard 数据编排与状态回退流程图</w:t>
      </w:r>
    </w:p>
    <w:p w14:paraId="6C754CA9">
      <w:pPr>
        <w:spacing w:before="0" w:after="120" w:line="360" w:lineRule="auto"/>
        <w:ind w:firstLine="420"/>
        <w:jc w:val="both"/>
      </w:pPr>
      <w:r>
        <w:rPr>
          <w:rFonts w:ascii="Times New Roman" w:hAnsi="Times New Roman" w:eastAsia="宋体"/>
          <w:b w:val="0"/>
          <w:sz w:val="24"/>
        </w:rPr>
        <w:t>从图4-3可以看出，物业端页面并不是只请求一次接口后静态展示，而是将 dashboard 聚合数据、实时状态和降级回退策略统一组织到同一套页面编排逻辑中。</w:t>
      </w:r>
    </w:p>
    <w:p w14:paraId="6DA2EBE9">
      <w:pPr>
        <w:pStyle w:val="4"/>
        <w:bidi w:val="0"/>
        <w:rPr>
          <w:b w:val="0"/>
          <w:bCs w:val="0"/>
          <w:color w:val="000000" w:themeColor="text1"/>
          <w14:textFill>
            <w14:solidFill>
              <w14:schemeClr w14:val="tx1"/>
            </w14:solidFill>
          </w14:textFill>
        </w:rPr>
      </w:pPr>
      <w:bookmarkStart w:id="44" w:name="_Toc1187724633"/>
      <w:bookmarkStart w:id="45" w:name="_Toc1368697130"/>
      <w:r>
        <w:rPr>
          <w:b w:val="0"/>
          <w:bCs w:val="0"/>
          <w:color w:val="000000" w:themeColor="text1"/>
          <w14:textFill>
            <w14:solidFill>
              <w14:schemeClr w14:val="tx1"/>
            </w14:solidFill>
          </w14:textFill>
        </w:rPr>
        <w:t>4.7 可靠性与降级设计</w:t>
      </w:r>
      <w:bookmarkEnd w:id="44"/>
      <w:bookmarkEnd w:id="45"/>
    </w:p>
    <w:p w14:paraId="3220F289">
      <w:pPr>
        <w:spacing w:before="0" w:after="120" w:line="360" w:lineRule="auto"/>
        <w:ind w:firstLine="420"/>
        <w:jc w:val="both"/>
      </w:pPr>
      <w:r>
        <w:rPr>
          <w:rFonts w:ascii="Times New Roman" w:hAnsi="Times New Roman" w:eastAsia="宋体"/>
          <w:b w:val="0"/>
          <w:sz w:val="24"/>
        </w:rPr>
        <w:t>在智慧停车场景中，如果系统只关注正常流程，遇到异常时就很容易出现状态不一致、页面无反馈或请求重复提交等问题。因此，本课题在工程实现中加入了幂等控制、分布式锁、消息重试、服务降级和实时回退等设计。</w:t>
      </w:r>
    </w:p>
    <w:p w14:paraId="060146AE">
      <w:pPr>
        <w:spacing w:before="0" w:after="120" w:line="360" w:lineRule="auto"/>
        <w:ind w:firstLine="420"/>
        <w:jc w:val="both"/>
      </w:pPr>
      <w:r>
        <w:rPr>
          <w:rFonts w:ascii="Times New Roman" w:hAnsi="Times New Roman" w:eastAsia="宋体"/>
          <w:b w:val="0"/>
          <w:sz w:val="24"/>
        </w:rPr>
        <w:t>例如，在实时链路不可用时，系统会通过轮询等方式进行回退，保证页面仍然能够获得基本更新能力；在请求可能重复提交的场景中，系统则通过幂等设计和数据库约束减少重复处理风险。虽然这些设计不会像图表或页面一样直接展示给用户，但它们对系统的稳定运行和答辩演示都很重要。</w:t>
      </w:r>
    </w:p>
    <w:p w14:paraId="51061203">
      <w:pPr>
        <w:pStyle w:val="3"/>
        <w:bidi w:val="0"/>
        <w:jc w:val="center"/>
        <w:rPr>
          <w:b w:val="0"/>
          <w:bCs w:val="0"/>
          <w:color w:val="000000" w:themeColor="text1"/>
          <w14:textFill>
            <w14:solidFill>
              <w14:schemeClr w14:val="tx1"/>
            </w14:solidFill>
          </w14:textFill>
        </w:rPr>
      </w:pPr>
      <w:bookmarkStart w:id="46" w:name="_Toc1995320893"/>
      <w:bookmarkStart w:id="47" w:name="_Toc1227407966"/>
      <w:r>
        <w:rPr>
          <w:b w:val="0"/>
          <w:bCs w:val="0"/>
          <w:color w:val="000000" w:themeColor="text1"/>
          <w14:textFill>
            <w14:solidFill>
              <w14:schemeClr w14:val="tx1"/>
            </w14:solidFill>
          </w14:textFill>
        </w:rPr>
        <w:t>5 系统测试与结果分析</w:t>
      </w:r>
      <w:bookmarkEnd w:id="46"/>
      <w:bookmarkEnd w:id="47"/>
    </w:p>
    <w:p w14:paraId="2CE956E6">
      <w:pPr>
        <w:pStyle w:val="4"/>
        <w:bidi w:val="0"/>
        <w:rPr>
          <w:b w:val="0"/>
          <w:bCs w:val="0"/>
          <w:color w:val="000000" w:themeColor="text1"/>
          <w14:textFill>
            <w14:solidFill>
              <w14:schemeClr w14:val="tx1"/>
            </w14:solidFill>
          </w14:textFill>
        </w:rPr>
      </w:pPr>
      <w:bookmarkStart w:id="48" w:name="_Toc253617099"/>
      <w:bookmarkStart w:id="49" w:name="_Toc317771480"/>
      <w:r>
        <w:rPr>
          <w:b w:val="0"/>
          <w:bCs w:val="0"/>
          <w:color w:val="000000" w:themeColor="text1"/>
          <w14:textFill>
            <w14:solidFill>
              <w14:schemeClr w14:val="tx1"/>
            </w14:solidFill>
          </w14:textFill>
        </w:rPr>
        <w:t>5.1 测试依据与环境说明</w:t>
      </w:r>
      <w:bookmarkEnd w:id="48"/>
      <w:bookmarkEnd w:id="49"/>
    </w:p>
    <w:p w14:paraId="23D4F215">
      <w:pPr>
        <w:spacing w:before="0" w:after="120" w:line="360" w:lineRule="auto"/>
        <w:ind w:firstLine="420"/>
        <w:jc w:val="both"/>
      </w:pPr>
      <w:r>
        <w:rPr>
          <w:rFonts w:ascii="Times New Roman" w:hAnsi="Times New Roman" w:eastAsia="宋体"/>
          <w:b w:val="0"/>
          <w:sz w:val="24"/>
        </w:rPr>
        <w:t>本课题的测试与分析主要依据项目中的 README、系统架构文档、阶段性证据材料和综合技术验收报告展开。从测试内容上看，既包括数据和模型相关验证，也包括业务闭环、前端工程化和综合验收结果分析。</w:t>
      </w:r>
    </w:p>
    <w:p w14:paraId="663B7FE1">
      <w:pPr>
        <w:spacing w:before="120" w:after="120"/>
        <w:jc w:val="center"/>
      </w:pPr>
      <w:r>
        <w:rPr>
          <w:rFonts w:ascii="Times New Roman" w:hAnsi="Times New Roman" w:eastAsia="宋体"/>
          <w:b/>
          <w:sz w:val="22"/>
        </w:rPr>
        <w:t>表5-1 论文测试与分析依据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9"/>
        <w:gridCol w:w="3454"/>
        <w:gridCol w:w="2695"/>
      </w:tblGrid>
      <w:tr w14:paraId="6EC1659E">
        <w:trPr>
          <w:jc w:val="center"/>
        </w:trPr>
        <w:tc>
          <w:tcPr>
            <w:tcW w:w="2871" w:type="dxa"/>
          </w:tcPr>
          <w:p w14:paraId="2C28F445">
            <w:pPr>
              <w:spacing w:after="0" w:line="240" w:lineRule="auto"/>
              <w:jc w:val="center"/>
            </w:pPr>
            <w:r>
              <w:rPr>
                <w:rFonts w:ascii="Times New Roman" w:hAnsi="Times New Roman" w:eastAsia="宋体"/>
                <w:b/>
                <w:sz w:val="20"/>
              </w:rPr>
              <w:t>类别</w:t>
            </w:r>
          </w:p>
        </w:tc>
        <w:tc>
          <w:tcPr>
            <w:tcW w:w="2871" w:type="dxa"/>
          </w:tcPr>
          <w:p w14:paraId="26FFD235">
            <w:pPr>
              <w:spacing w:after="0" w:line="240" w:lineRule="auto"/>
              <w:jc w:val="center"/>
            </w:pPr>
            <w:r>
              <w:rPr>
                <w:rFonts w:ascii="Times New Roman" w:hAnsi="Times New Roman" w:eastAsia="宋体"/>
                <w:b/>
                <w:sz w:val="20"/>
              </w:rPr>
              <w:t>主要依据</w:t>
            </w:r>
          </w:p>
        </w:tc>
        <w:tc>
          <w:tcPr>
            <w:tcW w:w="2871" w:type="dxa"/>
          </w:tcPr>
          <w:p w14:paraId="41BF9767">
            <w:pPr>
              <w:spacing w:after="0" w:line="240" w:lineRule="auto"/>
              <w:jc w:val="center"/>
            </w:pPr>
            <w:r>
              <w:rPr>
                <w:rFonts w:ascii="Times New Roman" w:hAnsi="Times New Roman" w:eastAsia="宋体"/>
                <w:b/>
                <w:sz w:val="20"/>
              </w:rPr>
              <w:t>说明</w:t>
            </w:r>
          </w:p>
        </w:tc>
      </w:tr>
      <w:tr w14:paraId="26BDC69A">
        <w:trPr>
          <w:jc w:val="center"/>
        </w:trPr>
        <w:tc>
          <w:tcPr>
            <w:tcW w:w="2871" w:type="dxa"/>
          </w:tcPr>
          <w:p w14:paraId="1E90B4FD">
            <w:pPr>
              <w:spacing w:after="0" w:line="240" w:lineRule="auto"/>
              <w:jc w:val="left"/>
            </w:pPr>
            <w:r>
              <w:rPr>
                <w:rFonts w:ascii="Times New Roman" w:hAnsi="Times New Roman" w:eastAsia="宋体"/>
                <w:b w:val="0"/>
                <w:sz w:val="20"/>
              </w:rPr>
              <w:t>项目总览</w:t>
            </w:r>
          </w:p>
        </w:tc>
        <w:tc>
          <w:tcPr>
            <w:tcW w:w="2871" w:type="dxa"/>
          </w:tcPr>
          <w:p w14:paraId="466AFE6F">
            <w:pPr>
              <w:spacing w:after="0" w:line="240" w:lineRule="auto"/>
              <w:jc w:val="left"/>
            </w:pPr>
            <w:r>
              <w:rPr>
                <w:rFonts w:ascii="Times New Roman" w:hAnsi="Times New Roman" w:eastAsia="宋体"/>
                <w:b w:val="0"/>
                <w:sz w:val="20"/>
              </w:rPr>
              <w:t>README.md</w:t>
            </w:r>
          </w:p>
        </w:tc>
        <w:tc>
          <w:tcPr>
            <w:tcW w:w="2871" w:type="dxa"/>
          </w:tcPr>
          <w:p w14:paraId="42B524B2">
            <w:pPr>
              <w:spacing w:after="0" w:line="240" w:lineRule="auto"/>
              <w:jc w:val="left"/>
            </w:pPr>
            <w:r>
              <w:rPr>
                <w:rFonts w:ascii="Times New Roman" w:hAnsi="Times New Roman" w:eastAsia="宋体"/>
                <w:b w:val="0"/>
                <w:sz w:val="20"/>
              </w:rPr>
              <w:t>用于确认系统组成、模块职责和默认完成态</w:t>
            </w:r>
          </w:p>
        </w:tc>
      </w:tr>
      <w:tr w14:paraId="59751EAB">
        <w:trPr>
          <w:jc w:val="center"/>
        </w:trPr>
        <w:tc>
          <w:tcPr>
            <w:tcW w:w="2871" w:type="dxa"/>
          </w:tcPr>
          <w:p w14:paraId="15127BE6">
            <w:pPr>
              <w:spacing w:after="0" w:line="240" w:lineRule="auto"/>
              <w:jc w:val="left"/>
            </w:pPr>
            <w:r>
              <w:rPr>
                <w:rFonts w:ascii="Times New Roman" w:hAnsi="Times New Roman" w:eastAsia="宋体"/>
                <w:b w:val="0"/>
                <w:sz w:val="20"/>
              </w:rPr>
              <w:t>架构说明</w:t>
            </w:r>
          </w:p>
        </w:tc>
        <w:tc>
          <w:tcPr>
            <w:tcW w:w="2871" w:type="dxa"/>
          </w:tcPr>
          <w:p w14:paraId="4A9630E8">
            <w:pPr>
              <w:spacing w:after="0" w:line="240" w:lineRule="auto"/>
              <w:jc w:val="left"/>
            </w:pPr>
            <w:r>
              <w:rPr>
                <w:rFonts w:ascii="Times New Roman" w:hAnsi="Times New Roman" w:eastAsia="宋体"/>
                <w:b w:val="0"/>
                <w:sz w:val="20"/>
              </w:rPr>
              <w:t>memory-bank/architecture.md</w:t>
            </w:r>
          </w:p>
        </w:tc>
        <w:tc>
          <w:tcPr>
            <w:tcW w:w="2871" w:type="dxa"/>
          </w:tcPr>
          <w:p w14:paraId="078A5731">
            <w:pPr>
              <w:spacing w:after="0" w:line="240" w:lineRule="auto"/>
              <w:jc w:val="left"/>
            </w:pPr>
            <w:r>
              <w:rPr>
                <w:rFonts w:ascii="Times New Roman" w:hAnsi="Times New Roman" w:eastAsia="宋体"/>
                <w:b w:val="0"/>
                <w:sz w:val="20"/>
              </w:rPr>
              <w:t>用于确认服务划分、业务链路和接口聚合口径</w:t>
            </w:r>
          </w:p>
        </w:tc>
      </w:tr>
      <w:tr w14:paraId="397C3363">
        <w:trPr>
          <w:jc w:val="center"/>
        </w:trPr>
        <w:tc>
          <w:tcPr>
            <w:tcW w:w="2871" w:type="dxa"/>
          </w:tcPr>
          <w:p w14:paraId="1A3A92E1">
            <w:pPr>
              <w:spacing w:after="0" w:line="240" w:lineRule="auto"/>
              <w:jc w:val="left"/>
            </w:pPr>
            <w:r>
              <w:rPr>
                <w:rFonts w:ascii="Times New Roman" w:hAnsi="Times New Roman" w:eastAsia="宋体"/>
                <w:b w:val="0"/>
                <w:sz w:val="20"/>
              </w:rPr>
              <w:t>证据材料</w:t>
            </w:r>
          </w:p>
        </w:tc>
        <w:tc>
          <w:tcPr>
            <w:tcW w:w="2871" w:type="dxa"/>
          </w:tcPr>
          <w:p w14:paraId="70E8B98B">
            <w:pPr>
              <w:spacing w:after="0" w:line="240" w:lineRule="auto"/>
              <w:jc w:val="left"/>
            </w:pPr>
            <w:r>
              <w:rPr>
                <w:rFonts w:ascii="Times New Roman" w:hAnsi="Times New Roman" w:eastAsia="宋体"/>
                <w:b w:val="0"/>
                <w:sz w:val="20"/>
              </w:rPr>
              <w:t>reports/thesis_evidence_package.md</w:t>
            </w:r>
          </w:p>
        </w:tc>
        <w:tc>
          <w:tcPr>
            <w:tcW w:w="2871" w:type="dxa"/>
          </w:tcPr>
          <w:p w14:paraId="313C0220">
            <w:pPr>
              <w:spacing w:after="0" w:line="240" w:lineRule="auto"/>
              <w:jc w:val="left"/>
            </w:pPr>
            <w:r>
              <w:rPr>
                <w:rFonts w:ascii="Times New Roman" w:hAnsi="Times New Roman" w:eastAsia="宋体"/>
                <w:b w:val="0"/>
                <w:sz w:val="20"/>
              </w:rPr>
              <w:t>用于整理章节与项目材料的对应关系</w:t>
            </w:r>
          </w:p>
        </w:tc>
      </w:tr>
      <w:tr w14:paraId="2B523579">
        <w:trPr>
          <w:jc w:val="center"/>
        </w:trPr>
        <w:tc>
          <w:tcPr>
            <w:tcW w:w="2871" w:type="dxa"/>
          </w:tcPr>
          <w:p w14:paraId="52033370">
            <w:pPr>
              <w:spacing w:after="0" w:line="240" w:lineRule="auto"/>
              <w:jc w:val="left"/>
            </w:pPr>
            <w:r>
              <w:rPr>
                <w:rFonts w:ascii="Times New Roman" w:hAnsi="Times New Roman" w:eastAsia="宋体"/>
                <w:b w:val="0"/>
                <w:sz w:val="20"/>
              </w:rPr>
              <w:t>综合验收</w:t>
            </w:r>
          </w:p>
        </w:tc>
        <w:tc>
          <w:tcPr>
            <w:tcW w:w="2871" w:type="dxa"/>
          </w:tcPr>
          <w:p w14:paraId="27DDDE47">
            <w:pPr>
              <w:spacing w:after="0" w:line="240" w:lineRule="auto"/>
              <w:jc w:val="left"/>
            </w:pPr>
            <w:r>
              <w:rPr>
                <w:rFonts w:ascii="Times New Roman" w:hAnsi="Times New Roman" w:eastAsia="宋体"/>
                <w:b w:val="0"/>
                <w:sz w:val="20"/>
              </w:rPr>
              <w:t>reports/step40_technical_acceptance.md</w:t>
            </w:r>
          </w:p>
        </w:tc>
        <w:tc>
          <w:tcPr>
            <w:tcW w:w="2871" w:type="dxa"/>
          </w:tcPr>
          <w:p w14:paraId="04C79041">
            <w:pPr>
              <w:spacing w:after="0" w:line="240" w:lineRule="auto"/>
              <w:jc w:val="left"/>
            </w:pPr>
            <w:r>
              <w:rPr>
                <w:rFonts w:ascii="Times New Roman" w:hAnsi="Times New Roman" w:eastAsia="宋体"/>
                <w:b w:val="0"/>
                <w:sz w:val="20"/>
              </w:rPr>
              <w:t>用于确认后期合同收敛、聚合层拆分和前端性能优化结果</w:t>
            </w:r>
          </w:p>
        </w:tc>
      </w:tr>
    </w:tbl>
    <w:p w14:paraId="4C3FC87B"/>
    <w:p w14:paraId="5BBCE8F7">
      <w:pPr>
        <w:spacing w:before="0" w:after="120" w:line="360" w:lineRule="auto"/>
        <w:ind w:firstLine="0"/>
        <w:jc w:val="left"/>
      </w:pPr>
      <w:r>
        <w:rPr>
          <w:rFonts w:ascii="Times New Roman" w:hAnsi="Times New Roman" w:eastAsia="宋体"/>
          <w:b w:val="0"/>
          <w:sz w:val="20"/>
        </w:rPr>
        <w:t>资料来源：本文根据项目现有文档整理。</w:t>
      </w:r>
    </w:p>
    <w:p w14:paraId="75BE2A3B">
      <w:pPr>
        <w:spacing w:before="0" w:after="120" w:line="360" w:lineRule="auto"/>
        <w:ind w:firstLine="420"/>
        <w:jc w:val="both"/>
      </w:pPr>
      <w:r>
        <w:rPr>
          <w:rFonts w:ascii="Times New Roman" w:hAnsi="Times New Roman" w:eastAsia="宋体"/>
          <w:b w:val="0"/>
          <w:sz w:val="24"/>
        </w:rPr>
        <w:t>由于本课题是基于项目资料进行总结与撰写，因此测试环境部分更强调“项目已有实现和验收结果”的归纳，而不是另起一套独立环境重新验证。这样处理也更符合当前毕业论文撰写阶段的实际情况。</w:t>
      </w:r>
    </w:p>
    <w:p w14:paraId="743F55E4">
      <w:pPr>
        <w:pStyle w:val="4"/>
        <w:bidi w:val="0"/>
        <w:rPr>
          <w:b w:val="0"/>
          <w:bCs w:val="0"/>
          <w:color w:val="000000" w:themeColor="text1"/>
          <w14:textFill>
            <w14:solidFill>
              <w14:schemeClr w14:val="tx1"/>
            </w14:solidFill>
          </w14:textFill>
        </w:rPr>
      </w:pPr>
      <w:bookmarkStart w:id="50" w:name="_Toc1935027245"/>
      <w:bookmarkStart w:id="51" w:name="_Toc2140917918"/>
      <w:r>
        <w:rPr>
          <w:b w:val="0"/>
          <w:bCs w:val="0"/>
          <w:color w:val="000000" w:themeColor="text1"/>
          <w14:textFill>
            <w14:solidFill>
              <w14:schemeClr w14:val="tx1"/>
            </w14:solidFill>
          </w14:textFill>
        </w:rPr>
        <w:t>5.2 数据与模型验证</w:t>
      </w:r>
      <w:bookmarkEnd w:id="50"/>
      <w:bookmarkEnd w:id="51"/>
    </w:p>
    <w:p w14:paraId="0489177C">
      <w:pPr>
        <w:spacing w:before="0" w:after="120" w:line="360" w:lineRule="auto"/>
        <w:ind w:firstLine="420"/>
        <w:jc w:val="both"/>
      </w:pPr>
      <w:r>
        <w:rPr>
          <w:rFonts w:ascii="Times New Roman" w:hAnsi="Times New Roman" w:eastAsia="宋体"/>
          <w:b w:val="0"/>
          <w:sz w:val="24"/>
        </w:rPr>
        <w:t>在数据与模型方面，系统完成了数据质量检查、特征处理、模型训练与对比、模型注册和激活等相关工作，为预测与调度链路提供了基础支撑。虽然本文没有走特别复杂的建模路线，但从项目现有结果来看，轻量化方案已经能够满足系统演示和业务辅助的需要。</w:t>
      </w:r>
    </w:p>
    <w:p w14:paraId="3EA140ED">
      <w:pPr>
        <w:spacing w:before="0" w:after="120" w:line="360" w:lineRule="auto"/>
        <w:ind w:firstLine="420"/>
        <w:jc w:val="both"/>
      </w:pPr>
      <w:r>
        <w:rPr>
          <w:rFonts w:ascii="Times New Roman" w:hAnsi="Times New Roman" w:eastAsia="宋体"/>
          <w:b w:val="0"/>
          <w:sz w:val="24"/>
        </w:rPr>
        <w:t>从论文写作角度看，这部分结果说明多源数据融合和 LSTM-Lite 预测并不是孤立存在的，而是与整个系统主链发生了联系。预测结果既能进入推荐和经营分析，也能为后续资源调度提供辅助参考，这使模型模块具有了实际业务意义。</w:t>
      </w:r>
    </w:p>
    <w:p w14:paraId="54B97E2A">
      <w:pPr>
        <w:spacing w:before="120" w:after="120"/>
        <w:jc w:val="center"/>
      </w:pPr>
      <w:r>
        <w:rPr>
          <w:rFonts w:ascii="Times New Roman" w:hAnsi="Times New Roman" w:eastAsia="宋体"/>
          <w:b/>
          <w:sz w:val="22"/>
        </w:rPr>
        <w:t>表5-2 数据与模型验证内容汇总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871"/>
        <w:gridCol w:w="2871"/>
      </w:tblGrid>
      <w:tr w14:paraId="173467E0">
        <w:trPr>
          <w:jc w:val="center"/>
        </w:trPr>
        <w:tc>
          <w:tcPr>
            <w:tcW w:w="2871" w:type="dxa"/>
          </w:tcPr>
          <w:p w14:paraId="7E12C49C">
            <w:pPr>
              <w:spacing w:after="0" w:line="240" w:lineRule="auto"/>
              <w:jc w:val="center"/>
            </w:pPr>
            <w:r>
              <w:rPr>
                <w:rFonts w:ascii="Times New Roman" w:hAnsi="Times New Roman" w:eastAsia="宋体"/>
                <w:b/>
                <w:sz w:val="20"/>
              </w:rPr>
              <w:t>验证维度</w:t>
            </w:r>
          </w:p>
        </w:tc>
        <w:tc>
          <w:tcPr>
            <w:tcW w:w="2871" w:type="dxa"/>
          </w:tcPr>
          <w:p w14:paraId="0A25BC7A">
            <w:pPr>
              <w:spacing w:after="0" w:line="240" w:lineRule="auto"/>
              <w:jc w:val="center"/>
            </w:pPr>
            <w:r>
              <w:rPr>
                <w:rFonts w:ascii="Times New Roman" w:hAnsi="Times New Roman" w:eastAsia="宋体"/>
                <w:b/>
                <w:sz w:val="20"/>
              </w:rPr>
              <w:t>主要内容</w:t>
            </w:r>
          </w:p>
        </w:tc>
        <w:tc>
          <w:tcPr>
            <w:tcW w:w="2871" w:type="dxa"/>
          </w:tcPr>
          <w:p w14:paraId="07DFE6D9">
            <w:pPr>
              <w:spacing w:after="0" w:line="240" w:lineRule="auto"/>
              <w:jc w:val="center"/>
            </w:pPr>
            <w:r>
              <w:rPr>
                <w:rFonts w:ascii="Times New Roman" w:hAnsi="Times New Roman" w:eastAsia="宋体"/>
                <w:b/>
                <w:sz w:val="20"/>
              </w:rPr>
              <w:t>对系统的意义</w:t>
            </w:r>
          </w:p>
        </w:tc>
      </w:tr>
      <w:tr w14:paraId="50BF352C">
        <w:trPr>
          <w:jc w:val="center"/>
        </w:trPr>
        <w:tc>
          <w:tcPr>
            <w:tcW w:w="2871" w:type="dxa"/>
          </w:tcPr>
          <w:p w14:paraId="662921FF">
            <w:pPr>
              <w:spacing w:after="0" w:line="240" w:lineRule="auto"/>
              <w:jc w:val="left"/>
            </w:pPr>
            <w:r>
              <w:rPr>
                <w:rFonts w:ascii="Times New Roman" w:hAnsi="Times New Roman" w:eastAsia="宋体"/>
                <w:b w:val="0"/>
                <w:sz w:val="20"/>
              </w:rPr>
              <w:t>数据质量</w:t>
            </w:r>
          </w:p>
        </w:tc>
        <w:tc>
          <w:tcPr>
            <w:tcW w:w="2871" w:type="dxa"/>
          </w:tcPr>
          <w:p w14:paraId="2A78A39C">
            <w:pPr>
              <w:spacing w:after="0" w:line="240" w:lineRule="auto"/>
              <w:jc w:val="left"/>
            </w:pPr>
            <w:r>
              <w:rPr>
                <w:rFonts w:ascii="Times New Roman" w:hAnsi="Times New Roman" w:eastAsia="宋体"/>
                <w:b w:val="0"/>
                <w:sz w:val="20"/>
              </w:rPr>
              <w:t>原始数据检查、字段清洗、特征整理</w:t>
            </w:r>
          </w:p>
        </w:tc>
        <w:tc>
          <w:tcPr>
            <w:tcW w:w="2871" w:type="dxa"/>
          </w:tcPr>
          <w:p w14:paraId="15737E7B">
            <w:pPr>
              <w:spacing w:after="0" w:line="240" w:lineRule="auto"/>
              <w:jc w:val="left"/>
            </w:pPr>
            <w:r>
              <w:rPr>
                <w:rFonts w:ascii="Times New Roman" w:hAnsi="Times New Roman" w:eastAsia="宋体"/>
                <w:b w:val="0"/>
                <w:sz w:val="20"/>
              </w:rPr>
              <w:t>保证预测与调度输入可靠</w:t>
            </w:r>
          </w:p>
        </w:tc>
      </w:tr>
      <w:tr w14:paraId="26A1D9DF">
        <w:trPr>
          <w:jc w:val="center"/>
        </w:trPr>
        <w:tc>
          <w:tcPr>
            <w:tcW w:w="2871" w:type="dxa"/>
          </w:tcPr>
          <w:p w14:paraId="39632FDD">
            <w:pPr>
              <w:spacing w:after="0" w:line="240" w:lineRule="auto"/>
              <w:jc w:val="left"/>
            </w:pPr>
            <w:r>
              <w:rPr>
                <w:rFonts w:ascii="Times New Roman" w:hAnsi="Times New Roman" w:eastAsia="宋体"/>
                <w:b w:val="0"/>
                <w:sz w:val="20"/>
              </w:rPr>
              <w:t>模型训练</w:t>
            </w:r>
          </w:p>
        </w:tc>
        <w:tc>
          <w:tcPr>
            <w:tcW w:w="2871" w:type="dxa"/>
          </w:tcPr>
          <w:p w14:paraId="537E6FF1">
            <w:pPr>
              <w:spacing w:after="0" w:line="240" w:lineRule="auto"/>
              <w:jc w:val="left"/>
            </w:pPr>
            <w:r>
              <w:rPr>
                <w:rFonts w:ascii="Times New Roman" w:hAnsi="Times New Roman" w:eastAsia="宋体"/>
                <w:b w:val="0"/>
                <w:sz w:val="20"/>
              </w:rPr>
              <w:t>LSTM-Lite 训练与对比</w:t>
            </w:r>
          </w:p>
        </w:tc>
        <w:tc>
          <w:tcPr>
            <w:tcW w:w="2871" w:type="dxa"/>
          </w:tcPr>
          <w:p w14:paraId="078964A2">
            <w:pPr>
              <w:spacing w:after="0" w:line="240" w:lineRule="auto"/>
              <w:jc w:val="left"/>
            </w:pPr>
            <w:r>
              <w:rPr>
                <w:rFonts w:ascii="Times New Roman" w:hAnsi="Times New Roman" w:eastAsia="宋体"/>
                <w:b w:val="0"/>
                <w:sz w:val="20"/>
              </w:rPr>
              <w:t>提供供需趋势参考</w:t>
            </w:r>
          </w:p>
        </w:tc>
      </w:tr>
      <w:tr w14:paraId="1F54BE68">
        <w:trPr>
          <w:jc w:val="center"/>
        </w:trPr>
        <w:tc>
          <w:tcPr>
            <w:tcW w:w="2871" w:type="dxa"/>
          </w:tcPr>
          <w:p w14:paraId="40BC8D95">
            <w:pPr>
              <w:spacing w:after="0" w:line="240" w:lineRule="auto"/>
              <w:jc w:val="left"/>
            </w:pPr>
            <w:r>
              <w:rPr>
                <w:rFonts w:ascii="Times New Roman" w:hAnsi="Times New Roman" w:eastAsia="宋体"/>
                <w:b w:val="0"/>
                <w:sz w:val="20"/>
              </w:rPr>
              <w:t>模型注册</w:t>
            </w:r>
          </w:p>
        </w:tc>
        <w:tc>
          <w:tcPr>
            <w:tcW w:w="2871" w:type="dxa"/>
          </w:tcPr>
          <w:p w14:paraId="62819426">
            <w:pPr>
              <w:spacing w:after="0" w:line="240" w:lineRule="auto"/>
              <w:jc w:val="left"/>
            </w:pPr>
            <w:r>
              <w:rPr>
                <w:rFonts w:ascii="Times New Roman" w:hAnsi="Times New Roman" w:eastAsia="宋体"/>
                <w:b w:val="0"/>
                <w:sz w:val="20"/>
              </w:rPr>
              <w:t>版本激活与切换</w:t>
            </w:r>
          </w:p>
        </w:tc>
        <w:tc>
          <w:tcPr>
            <w:tcW w:w="2871" w:type="dxa"/>
          </w:tcPr>
          <w:p w14:paraId="7C1C22D5">
            <w:pPr>
              <w:spacing w:after="0" w:line="240" w:lineRule="auto"/>
              <w:jc w:val="left"/>
            </w:pPr>
            <w:r>
              <w:rPr>
                <w:rFonts w:ascii="Times New Roman" w:hAnsi="Times New Roman" w:eastAsia="宋体"/>
                <w:b w:val="0"/>
                <w:sz w:val="20"/>
              </w:rPr>
              <w:t>支持后续模型迭代和可追踪性</w:t>
            </w:r>
          </w:p>
        </w:tc>
      </w:tr>
      <w:tr w14:paraId="2BEF8553">
        <w:trPr>
          <w:jc w:val="center"/>
        </w:trPr>
        <w:tc>
          <w:tcPr>
            <w:tcW w:w="2871" w:type="dxa"/>
          </w:tcPr>
          <w:p w14:paraId="1E37BA4A">
            <w:pPr>
              <w:spacing w:after="0" w:line="240" w:lineRule="auto"/>
              <w:jc w:val="left"/>
            </w:pPr>
            <w:r>
              <w:rPr>
                <w:rFonts w:ascii="Times New Roman" w:hAnsi="Times New Roman" w:eastAsia="宋体"/>
                <w:b w:val="0"/>
                <w:sz w:val="20"/>
              </w:rPr>
              <w:t>结果接入</w:t>
            </w:r>
          </w:p>
        </w:tc>
        <w:tc>
          <w:tcPr>
            <w:tcW w:w="2871" w:type="dxa"/>
          </w:tcPr>
          <w:p w14:paraId="45FD8E60">
            <w:pPr>
              <w:spacing w:after="0" w:line="240" w:lineRule="auto"/>
              <w:jc w:val="left"/>
            </w:pPr>
            <w:r>
              <w:rPr>
                <w:rFonts w:ascii="Times New Roman" w:hAnsi="Times New Roman" w:eastAsia="宋体"/>
                <w:b w:val="0"/>
                <w:sz w:val="20"/>
              </w:rPr>
              <w:t>预测结果进入推荐与经营分析</w:t>
            </w:r>
          </w:p>
        </w:tc>
        <w:tc>
          <w:tcPr>
            <w:tcW w:w="2871" w:type="dxa"/>
          </w:tcPr>
          <w:p w14:paraId="6B9E7ECF">
            <w:pPr>
              <w:spacing w:after="0" w:line="240" w:lineRule="auto"/>
              <w:jc w:val="left"/>
            </w:pPr>
            <w:r>
              <w:rPr>
                <w:rFonts w:ascii="Times New Roman" w:hAnsi="Times New Roman" w:eastAsia="宋体"/>
                <w:b w:val="0"/>
                <w:sz w:val="20"/>
              </w:rPr>
              <w:t>说明模型和业务链路已打通</w:t>
            </w:r>
          </w:p>
        </w:tc>
      </w:tr>
    </w:tbl>
    <w:p w14:paraId="1C1BC98B"/>
    <w:p w14:paraId="7A1905D6">
      <w:pPr>
        <w:spacing w:before="0" w:after="120" w:line="360" w:lineRule="auto"/>
        <w:ind w:firstLine="0"/>
        <w:jc w:val="left"/>
      </w:pPr>
      <w:r>
        <w:rPr>
          <w:rFonts w:ascii="Times New Roman" w:hAnsi="Times New Roman" w:eastAsia="宋体"/>
          <w:b w:val="0"/>
          <w:sz w:val="20"/>
        </w:rPr>
        <w:t>资料来源：本文根据项目阶段材料整理。</w:t>
      </w:r>
    </w:p>
    <w:p w14:paraId="38A5A44B">
      <w:pPr>
        <w:pStyle w:val="4"/>
        <w:bidi w:val="0"/>
        <w:rPr>
          <w:b w:val="0"/>
          <w:bCs w:val="0"/>
          <w:color w:val="000000" w:themeColor="text1"/>
          <w14:textFill>
            <w14:solidFill>
              <w14:schemeClr w14:val="tx1"/>
            </w14:solidFill>
          </w14:textFill>
        </w:rPr>
      </w:pPr>
      <w:bookmarkStart w:id="52" w:name="_Toc510556547"/>
      <w:bookmarkStart w:id="53" w:name="_Toc1318942341"/>
      <w:r>
        <w:rPr>
          <w:b w:val="0"/>
          <w:bCs w:val="0"/>
          <w:color w:val="000000" w:themeColor="text1"/>
          <w14:textFill>
            <w14:solidFill>
              <w14:schemeClr w14:val="tx1"/>
            </w14:solidFill>
          </w14:textFill>
        </w:rPr>
        <w:t>5.3 业务闭环验证</w:t>
      </w:r>
      <w:bookmarkEnd w:id="52"/>
      <w:bookmarkEnd w:id="53"/>
    </w:p>
    <w:p w14:paraId="79F05339">
      <w:pPr>
        <w:spacing w:before="0" w:after="120" w:line="360" w:lineRule="auto"/>
        <w:ind w:firstLine="420"/>
        <w:jc w:val="both"/>
      </w:pPr>
      <w:r>
        <w:rPr>
          <w:rFonts w:ascii="Times New Roman" w:hAnsi="Times New Roman" w:eastAsia="宋体"/>
          <w:b w:val="0"/>
          <w:sz w:val="24"/>
        </w:rPr>
        <w:t>从业务流程角度看，业主端已经能够完成推荐、预约、订单、计费和导航的主要闭环，物业端也能够展示经营摘要、趋势图和状态说明。这说明系统并不是停留在模块级实现，而是已经形成了一套相对完整的业务流程。</w:t>
      </w:r>
    </w:p>
    <w:p w14:paraId="3FCAF679">
      <w:pPr>
        <w:spacing w:before="0" w:after="120" w:line="360" w:lineRule="auto"/>
        <w:ind w:firstLine="420"/>
        <w:jc w:val="both"/>
      </w:pPr>
      <w:r>
        <w:rPr>
          <w:rFonts w:ascii="Times New Roman" w:hAnsi="Times New Roman" w:eastAsia="宋体"/>
          <w:b w:val="0"/>
          <w:sz w:val="24"/>
        </w:rPr>
        <w:t>在主链验证中，预约和订单处理是关键环节。只有当预约主链、计费规则、订单状态和导航入口能够连起来，系统才算真正具备使用价值。结合项目现有阶段材料可以看出，这条主链已经完成主要打通，并且在一致性设计方面也做了进一步补充。</w:t>
      </w:r>
    </w:p>
    <w:p w14:paraId="15B01B74">
      <w:pPr>
        <w:spacing w:before="120" w:after="120"/>
        <w:jc w:val="center"/>
      </w:pPr>
      <w:r>
        <w:rPr>
          <w:rFonts w:ascii="Times New Roman" w:hAnsi="Times New Roman" w:eastAsia="宋体"/>
          <w:b/>
          <w:sz w:val="22"/>
        </w:rPr>
        <w:t>表5-3 业务闭环验证要点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871"/>
        <w:gridCol w:w="2871"/>
      </w:tblGrid>
      <w:tr w14:paraId="5AF1D1CB">
        <w:trPr>
          <w:jc w:val="center"/>
        </w:trPr>
        <w:tc>
          <w:tcPr>
            <w:tcW w:w="2871" w:type="dxa"/>
          </w:tcPr>
          <w:p w14:paraId="4FA45980">
            <w:pPr>
              <w:spacing w:after="0" w:line="240" w:lineRule="auto"/>
              <w:jc w:val="center"/>
            </w:pPr>
            <w:r>
              <w:rPr>
                <w:rFonts w:ascii="Times New Roman" w:hAnsi="Times New Roman" w:eastAsia="宋体"/>
                <w:b/>
                <w:sz w:val="20"/>
              </w:rPr>
              <w:t>业务阶段</w:t>
            </w:r>
          </w:p>
        </w:tc>
        <w:tc>
          <w:tcPr>
            <w:tcW w:w="2871" w:type="dxa"/>
          </w:tcPr>
          <w:p w14:paraId="7656F777">
            <w:pPr>
              <w:spacing w:after="0" w:line="240" w:lineRule="auto"/>
              <w:jc w:val="center"/>
            </w:pPr>
            <w:r>
              <w:rPr>
                <w:rFonts w:ascii="Times New Roman" w:hAnsi="Times New Roman" w:eastAsia="宋体"/>
                <w:b/>
                <w:sz w:val="20"/>
              </w:rPr>
              <w:t>主要检查点</w:t>
            </w:r>
          </w:p>
        </w:tc>
        <w:tc>
          <w:tcPr>
            <w:tcW w:w="2871" w:type="dxa"/>
          </w:tcPr>
          <w:p w14:paraId="12590F63">
            <w:pPr>
              <w:spacing w:after="0" w:line="240" w:lineRule="auto"/>
              <w:jc w:val="center"/>
            </w:pPr>
            <w:r>
              <w:rPr>
                <w:rFonts w:ascii="Times New Roman" w:hAnsi="Times New Roman" w:eastAsia="宋体"/>
                <w:b/>
                <w:sz w:val="20"/>
              </w:rPr>
              <w:t>验证结果概述</w:t>
            </w:r>
          </w:p>
        </w:tc>
      </w:tr>
      <w:tr w14:paraId="083FD572">
        <w:trPr>
          <w:jc w:val="center"/>
        </w:trPr>
        <w:tc>
          <w:tcPr>
            <w:tcW w:w="2871" w:type="dxa"/>
          </w:tcPr>
          <w:p w14:paraId="34DBC294">
            <w:pPr>
              <w:spacing w:after="0" w:line="240" w:lineRule="auto"/>
              <w:jc w:val="left"/>
            </w:pPr>
            <w:r>
              <w:rPr>
                <w:rFonts w:ascii="Times New Roman" w:hAnsi="Times New Roman" w:eastAsia="宋体"/>
                <w:b w:val="0"/>
                <w:sz w:val="20"/>
              </w:rPr>
              <w:t>推荐</w:t>
            </w:r>
          </w:p>
        </w:tc>
        <w:tc>
          <w:tcPr>
            <w:tcW w:w="2871" w:type="dxa"/>
          </w:tcPr>
          <w:p w14:paraId="37BF0369">
            <w:pPr>
              <w:spacing w:after="0" w:line="240" w:lineRule="auto"/>
              <w:jc w:val="left"/>
            </w:pPr>
            <w:r>
              <w:rPr>
                <w:rFonts w:ascii="Times New Roman" w:hAnsi="Times New Roman" w:eastAsia="宋体"/>
                <w:b w:val="0"/>
                <w:sz w:val="20"/>
              </w:rPr>
              <w:t>是否返回可理解的车位建议</w:t>
            </w:r>
          </w:p>
        </w:tc>
        <w:tc>
          <w:tcPr>
            <w:tcW w:w="2871" w:type="dxa"/>
          </w:tcPr>
          <w:p w14:paraId="2FF4C2F9">
            <w:pPr>
              <w:spacing w:after="0" w:line="240" w:lineRule="auto"/>
              <w:jc w:val="left"/>
            </w:pPr>
            <w:r>
              <w:rPr>
                <w:rFonts w:ascii="Times New Roman" w:hAnsi="Times New Roman" w:eastAsia="宋体"/>
                <w:b w:val="0"/>
                <w:sz w:val="20"/>
              </w:rPr>
              <w:t>已完成推荐页与 dashboard 聚合支撑</w:t>
            </w:r>
          </w:p>
        </w:tc>
      </w:tr>
      <w:tr w14:paraId="0E0FDB90">
        <w:trPr>
          <w:jc w:val="center"/>
        </w:trPr>
        <w:tc>
          <w:tcPr>
            <w:tcW w:w="2871" w:type="dxa"/>
          </w:tcPr>
          <w:p w14:paraId="7E497D57">
            <w:pPr>
              <w:spacing w:after="0" w:line="240" w:lineRule="auto"/>
              <w:jc w:val="left"/>
            </w:pPr>
            <w:r>
              <w:rPr>
                <w:rFonts w:ascii="Times New Roman" w:hAnsi="Times New Roman" w:eastAsia="宋体"/>
                <w:b w:val="0"/>
                <w:sz w:val="20"/>
              </w:rPr>
              <w:t>预约</w:t>
            </w:r>
          </w:p>
        </w:tc>
        <w:tc>
          <w:tcPr>
            <w:tcW w:w="2871" w:type="dxa"/>
          </w:tcPr>
          <w:p w14:paraId="360973E8">
            <w:pPr>
              <w:spacing w:after="0" w:line="240" w:lineRule="auto"/>
              <w:jc w:val="left"/>
            </w:pPr>
            <w:r>
              <w:rPr>
                <w:rFonts w:ascii="Times New Roman" w:hAnsi="Times New Roman" w:eastAsia="宋体"/>
                <w:b w:val="0"/>
                <w:sz w:val="20"/>
              </w:rPr>
              <w:t>是否能够稳定发起并生成订单</w:t>
            </w:r>
          </w:p>
        </w:tc>
        <w:tc>
          <w:tcPr>
            <w:tcW w:w="2871" w:type="dxa"/>
          </w:tcPr>
          <w:p w14:paraId="60008BF1">
            <w:pPr>
              <w:spacing w:after="0" w:line="240" w:lineRule="auto"/>
              <w:jc w:val="left"/>
            </w:pPr>
            <w:r>
              <w:rPr>
                <w:rFonts w:ascii="Times New Roman" w:hAnsi="Times New Roman" w:eastAsia="宋体"/>
                <w:b w:val="0"/>
                <w:sz w:val="20"/>
              </w:rPr>
              <w:t>已完成预约主链联通</w:t>
            </w:r>
          </w:p>
        </w:tc>
      </w:tr>
      <w:tr w14:paraId="7C8F6694">
        <w:trPr>
          <w:jc w:val="center"/>
        </w:trPr>
        <w:tc>
          <w:tcPr>
            <w:tcW w:w="2871" w:type="dxa"/>
          </w:tcPr>
          <w:p w14:paraId="2A07E6F5">
            <w:pPr>
              <w:spacing w:after="0" w:line="240" w:lineRule="auto"/>
              <w:jc w:val="left"/>
            </w:pPr>
            <w:r>
              <w:rPr>
                <w:rFonts w:ascii="Times New Roman" w:hAnsi="Times New Roman" w:eastAsia="宋体"/>
                <w:b w:val="0"/>
                <w:sz w:val="20"/>
              </w:rPr>
              <w:t>计费</w:t>
            </w:r>
          </w:p>
        </w:tc>
        <w:tc>
          <w:tcPr>
            <w:tcW w:w="2871" w:type="dxa"/>
          </w:tcPr>
          <w:p w14:paraId="7166ECDD">
            <w:pPr>
              <w:spacing w:after="0" w:line="240" w:lineRule="auto"/>
              <w:jc w:val="left"/>
            </w:pPr>
            <w:r>
              <w:rPr>
                <w:rFonts w:ascii="Times New Roman" w:hAnsi="Times New Roman" w:eastAsia="宋体"/>
                <w:b w:val="0"/>
                <w:sz w:val="20"/>
              </w:rPr>
              <w:t>是否可形成账单与收益记录</w:t>
            </w:r>
          </w:p>
        </w:tc>
        <w:tc>
          <w:tcPr>
            <w:tcW w:w="2871" w:type="dxa"/>
          </w:tcPr>
          <w:p w14:paraId="0E12726D">
            <w:pPr>
              <w:spacing w:after="0" w:line="240" w:lineRule="auto"/>
              <w:jc w:val="left"/>
            </w:pPr>
            <w:r>
              <w:rPr>
                <w:rFonts w:ascii="Times New Roman" w:hAnsi="Times New Roman" w:eastAsia="宋体"/>
                <w:b w:val="0"/>
                <w:sz w:val="20"/>
              </w:rPr>
              <w:t>已完成共享计费与收益统计</w:t>
            </w:r>
          </w:p>
        </w:tc>
      </w:tr>
      <w:tr w14:paraId="2AA1EF14">
        <w:trPr>
          <w:jc w:val="center"/>
        </w:trPr>
        <w:tc>
          <w:tcPr>
            <w:tcW w:w="2871" w:type="dxa"/>
          </w:tcPr>
          <w:p w14:paraId="1FA76C00">
            <w:pPr>
              <w:spacing w:after="0" w:line="240" w:lineRule="auto"/>
              <w:jc w:val="left"/>
            </w:pPr>
            <w:r>
              <w:rPr>
                <w:rFonts w:ascii="Times New Roman" w:hAnsi="Times New Roman" w:eastAsia="宋体"/>
                <w:b w:val="0"/>
                <w:sz w:val="20"/>
              </w:rPr>
              <w:t>导航</w:t>
            </w:r>
          </w:p>
        </w:tc>
        <w:tc>
          <w:tcPr>
            <w:tcW w:w="2871" w:type="dxa"/>
          </w:tcPr>
          <w:p w14:paraId="04C3E7EC">
            <w:pPr>
              <w:spacing w:after="0" w:line="240" w:lineRule="auto"/>
              <w:jc w:val="left"/>
            </w:pPr>
            <w:r>
              <w:rPr>
                <w:rFonts w:ascii="Times New Roman" w:hAnsi="Times New Roman" w:eastAsia="宋体"/>
                <w:b w:val="0"/>
                <w:sz w:val="20"/>
              </w:rPr>
              <w:t>是否可查看目标与路线信息</w:t>
            </w:r>
          </w:p>
        </w:tc>
        <w:tc>
          <w:tcPr>
            <w:tcW w:w="2871" w:type="dxa"/>
          </w:tcPr>
          <w:p w14:paraId="69999565">
            <w:pPr>
              <w:spacing w:after="0" w:line="240" w:lineRule="auto"/>
              <w:jc w:val="left"/>
            </w:pPr>
            <w:r>
              <w:rPr>
                <w:rFonts w:ascii="Times New Roman" w:hAnsi="Times New Roman" w:eastAsia="宋体"/>
                <w:b w:val="0"/>
                <w:sz w:val="20"/>
              </w:rPr>
              <w:t>已完成地图预览与导航入口</w:t>
            </w:r>
          </w:p>
        </w:tc>
      </w:tr>
      <w:tr w14:paraId="0048EA48">
        <w:trPr>
          <w:jc w:val="center"/>
        </w:trPr>
        <w:tc>
          <w:tcPr>
            <w:tcW w:w="2871" w:type="dxa"/>
          </w:tcPr>
          <w:p w14:paraId="6C7A912C">
            <w:pPr>
              <w:spacing w:after="0" w:line="240" w:lineRule="auto"/>
              <w:jc w:val="left"/>
            </w:pPr>
            <w:r>
              <w:rPr>
                <w:rFonts w:ascii="Times New Roman" w:hAnsi="Times New Roman" w:eastAsia="宋体"/>
                <w:b w:val="0"/>
                <w:sz w:val="20"/>
              </w:rPr>
              <w:t>物业监控</w:t>
            </w:r>
          </w:p>
        </w:tc>
        <w:tc>
          <w:tcPr>
            <w:tcW w:w="2871" w:type="dxa"/>
          </w:tcPr>
          <w:p w14:paraId="681BD520">
            <w:pPr>
              <w:spacing w:after="0" w:line="240" w:lineRule="auto"/>
              <w:jc w:val="left"/>
            </w:pPr>
            <w:r>
              <w:rPr>
                <w:rFonts w:ascii="Times New Roman" w:hAnsi="Times New Roman" w:eastAsia="宋体"/>
                <w:b w:val="0"/>
                <w:sz w:val="20"/>
              </w:rPr>
              <w:t>是否可查看经营图表与状态说明</w:t>
            </w:r>
          </w:p>
        </w:tc>
        <w:tc>
          <w:tcPr>
            <w:tcW w:w="2871" w:type="dxa"/>
          </w:tcPr>
          <w:p w14:paraId="2C3C5537">
            <w:pPr>
              <w:spacing w:after="0" w:line="240" w:lineRule="auto"/>
              <w:jc w:val="left"/>
            </w:pPr>
            <w:r>
              <w:rPr>
                <w:rFonts w:ascii="Times New Roman" w:hAnsi="Times New Roman" w:eastAsia="宋体"/>
                <w:b w:val="0"/>
                <w:sz w:val="20"/>
              </w:rPr>
              <w:t>已完成 admin dashboard 展示</w:t>
            </w:r>
          </w:p>
        </w:tc>
      </w:tr>
    </w:tbl>
    <w:p w14:paraId="429A1FA0"/>
    <w:p w14:paraId="4178FF02">
      <w:pPr>
        <w:spacing w:before="0" w:after="120" w:line="360" w:lineRule="auto"/>
        <w:ind w:firstLine="0"/>
        <w:jc w:val="left"/>
      </w:pPr>
      <w:r>
        <w:rPr>
          <w:rFonts w:ascii="Times New Roman" w:hAnsi="Times New Roman" w:eastAsia="宋体"/>
          <w:b w:val="0"/>
          <w:sz w:val="20"/>
        </w:rPr>
        <w:t>资料来源：本文根据项目实现与验收结果整理。</w:t>
      </w:r>
    </w:p>
    <w:p w14:paraId="31ECAA0D">
      <w:pPr>
        <w:pStyle w:val="4"/>
        <w:bidi w:val="0"/>
        <w:rPr>
          <w:b w:val="0"/>
          <w:bCs w:val="0"/>
          <w:color w:val="000000" w:themeColor="text1"/>
          <w14:textFill>
            <w14:solidFill>
              <w14:schemeClr w14:val="tx1"/>
            </w14:solidFill>
          </w14:textFill>
        </w:rPr>
      </w:pPr>
      <w:bookmarkStart w:id="54" w:name="_Toc1726715664"/>
      <w:bookmarkStart w:id="55" w:name="_Toc1137720853"/>
      <w:r>
        <w:rPr>
          <w:b w:val="0"/>
          <w:bCs w:val="0"/>
          <w:color w:val="000000" w:themeColor="text1"/>
          <w14:textFill>
            <w14:solidFill>
              <w14:schemeClr w14:val="tx1"/>
            </w14:solidFill>
          </w14:textFill>
        </w:rPr>
        <w:t>5.4 前端工程化与页面表现验证</w:t>
      </w:r>
      <w:bookmarkEnd w:id="54"/>
      <w:bookmarkEnd w:id="55"/>
    </w:p>
    <w:p w14:paraId="04A84C48">
      <w:pPr>
        <w:spacing w:before="0" w:after="120" w:line="360" w:lineRule="auto"/>
        <w:ind w:firstLine="420"/>
        <w:jc w:val="both"/>
      </w:pPr>
      <w:r>
        <w:rPr>
          <w:rFonts w:ascii="Times New Roman" w:hAnsi="Times New Roman" w:eastAsia="宋体"/>
          <w:b w:val="0"/>
          <w:sz w:val="24"/>
        </w:rPr>
        <w:t>随着项目推进，前端部分不仅完成了页面展示，还进一步补充了页面级数据编排、统一状态提示和 dashboard 聚合消费逻辑。这使 owner 端和 admin 端在状态表达上更加统一，也避免了不同页面各自维护一套分散逻辑。</w:t>
      </w:r>
    </w:p>
    <w:p w14:paraId="1DC04668">
      <w:pPr>
        <w:spacing w:before="0" w:after="120" w:line="360" w:lineRule="auto"/>
        <w:ind w:firstLine="420"/>
        <w:jc w:val="both"/>
      </w:pPr>
      <w:r>
        <w:rPr>
          <w:rFonts w:ascii="Times New Roman" w:hAnsi="Times New Roman" w:eastAsia="宋体"/>
          <w:b w:val="0"/>
          <w:sz w:val="24"/>
        </w:rPr>
        <w:t>从项目后期结果来看，页面中的 loading、error、empty、degraded、stale 等状态已经能够通过统一组件进行表达。与此同时，图表能力只在 admin 相关页面按需加载，减少了无关页面的资源负担。这些改动虽然属于工程化细节，但对提升页面完整性和答辩演示稳定性都有实际帮助。</w:t>
      </w:r>
    </w:p>
    <w:p w14:paraId="7DE3E955">
      <w:r>
        <w:drawing>
          <wp:inline distT="0" distB="0" distL="114300" distR="114300">
            <wp:extent cx="5669280" cy="2703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669280" cy="2703810"/>
                    </a:xfrm>
                    <a:prstGeom prst="rect">
                      <a:avLst/>
                    </a:prstGeom>
                  </pic:spPr>
                </pic:pic>
              </a:graphicData>
            </a:graphic>
          </wp:inline>
        </w:drawing>
      </w:r>
    </w:p>
    <w:p w14:paraId="7CDB0D46">
      <w:pPr>
        <w:spacing w:before="0" w:after="120"/>
        <w:jc w:val="center"/>
      </w:pPr>
      <w:r>
        <w:rPr>
          <w:rFonts w:ascii="Times New Roman" w:hAnsi="Times New Roman" w:eastAsia="宋体"/>
          <w:b/>
          <w:sz w:val="22"/>
        </w:rPr>
        <w:t>图5-1 页面状态统一表达示意图</w:t>
      </w:r>
    </w:p>
    <w:p w14:paraId="05D4C3A8">
      <w:pPr>
        <w:spacing w:before="0" w:after="120" w:line="360" w:lineRule="auto"/>
        <w:ind w:firstLine="420"/>
        <w:jc w:val="both"/>
      </w:pPr>
      <w:r>
        <w:rPr>
          <w:rFonts w:ascii="Times New Roman" w:hAnsi="Times New Roman" w:eastAsia="宋体"/>
          <w:b w:val="0"/>
          <w:sz w:val="24"/>
        </w:rPr>
        <w:t>图5-1反映了前端页面状态管理的统一思路。相比每个页面单独处理提示信息，这种方式更便于维护，也让异常场景在展示上更一致。</w:t>
      </w:r>
    </w:p>
    <w:p w14:paraId="7651252E">
      <w:pPr>
        <w:pStyle w:val="4"/>
        <w:bidi w:val="0"/>
        <w:rPr>
          <w:b w:val="0"/>
          <w:bCs w:val="0"/>
          <w:color w:val="000000" w:themeColor="text1"/>
          <w14:textFill>
            <w14:solidFill>
              <w14:schemeClr w14:val="tx1"/>
            </w14:solidFill>
          </w14:textFill>
        </w:rPr>
      </w:pPr>
      <w:bookmarkStart w:id="56" w:name="_Toc479983483"/>
      <w:bookmarkStart w:id="57" w:name="_Toc1963642937"/>
      <w:r>
        <w:rPr>
          <w:b w:val="0"/>
          <w:bCs w:val="0"/>
          <w:color w:val="000000" w:themeColor="text1"/>
          <w14:textFill>
            <w14:solidFill>
              <w14:schemeClr w14:val="tx1"/>
            </w14:solidFill>
          </w14:textFill>
        </w:rPr>
        <w:t>5.5 综合验收结果分析</w:t>
      </w:r>
      <w:bookmarkEnd w:id="56"/>
      <w:bookmarkEnd w:id="57"/>
    </w:p>
    <w:p w14:paraId="058DD8DD">
      <w:pPr>
        <w:spacing w:before="0" w:after="120" w:line="360" w:lineRule="auto"/>
        <w:ind w:firstLine="420"/>
        <w:jc w:val="both"/>
      </w:pPr>
      <w:r>
        <w:rPr>
          <w:rFonts w:ascii="Times New Roman" w:hAnsi="Times New Roman" w:eastAsia="宋体"/>
          <w:b w:val="0"/>
          <w:sz w:val="24"/>
        </w:rPr>
        <w:t>在项目后期，系统又进一步补充了 dashboard 接口文档、聚合层模块化、实时通道硬化和前端性能优化等内容，并完成了综合技术验收。验收结果表明，历史稳定基线保持有效，新增加的 dashboard 合同收敛、页面级数据编排、聚合层拆分和图表按需加载等内容也已经通过检查。</w:t>
      </w:r>
    </w:p>
    <w:p w14:paraId="3EC4AB0A">
      <w:pPr>
        <w:spacing w:before="0" w:after="120" w:line="360" w:lineRule="auto"/>
        <w:ind w:firstLine="420"/>
        <w:jc w:val="both"/>
      </w:pPr>
      <w:r>
        <w:rPr>
          <w:rFonts w:ascii="Times New Roman" w:hAnsi="Times New Roman" w:eastAsia="宋体"/>
          <w:b w:val="0"/>
          <w:sz w:val="24"/>
        </w:rPr>
        <w:t>综合来看，系统的主要功能、结构设计和工程化能力都具备较完整的答辩支撑基础。对本课题来说，综合验收的意义并不只是“通过了检查”，更重要的是它为论文中的结论提供了相对明确的证据来源，使论文内容能够和项目现有材料形成对应关系。</w:t>
      </w:r>
    </w:p>
    <w:p w14:paraId="6F800DE1">
      <w:pPr>
        <w:spacing w:before="120" w:after="120"/>
        <w:jc w:val="center"/>
      </w:pPr>
      <w:r>
        <w:rPr>
          <w:rFonts w:ascii="Times New Roman" w:hAnsi="Times New Roman" w:eastAsia="宋体"/>
          <w:b/>
          <w:sz w:val="22"/>
        </w:rPr>
        <w:t>表5-4 Step40 综合验收结果汇总</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1"/>
        <w:gridCol w:w="2871"/>
        <w:gridCol w:w="2871"/>
      </w:tblGrid>
      <w:tr w14:paraId="4822A8A1">
        <w:trPr>
          <w:jc w:val="center"/>
        </w:trPr>
        <w:tc>
          <w:tcPr>
            <w:tcW w:w="2871" w:type="dxa"/>
          </w:tcPr>
          <w:p w14:paraId="7D773CA6">
            <w:pPr>
              <w:spacing w:after="0" w:line="240" w:lineRule="auto"/>
              <w:jc w:val="center"/>
            </w:pPr>
            <w:r>
              <w:rPr>
                <w:rFonts w:ascii="Times New Roman" w:hAnsi="Times New Roman" w:eastAsia="宋体"/>
                <w:b/>
                <w:sz w:val="20"/>
              </w:rPr>
              <w:t>验收项</w:t>
            </w:r>
          </w:p>
        </w:tc>
        <w:tc>
          <w:tcPr>
            <w:tcW w:w="2871" w:type="dxa"/>
          </w:tcPr>
          <w:p w14:paraId="05D1FD93">
            <w:pPr>
              <w:spacing w:after="0" w:line="240" w:lineRule="auto"/>
              <w:jc w:val="center"/>
            </w:pPr>
            <w:r>
              <w:rPr>
                <w:rFonts w:ascii="Times New Roman" w:hAnsi="Times New Roman" w:eastAsia="宋体"/>
                <w:b/>
                <w:sz w:val="20"/>
              </w:rPr>
              <w:t>结果</w:t>
            </w:r>
          </w:p>
        </w:tc>
        <w:tc>
          <w:tcPr>
            <w:tcW w:w="2871" w:type="dxa"/>
          </w:tcPr>
          <w:p w14:paraId="0652CAF7">
            <w:pPr>
              <w:spacing w:after="0" w:line="240" w:lineRule="auto"/>
              <w:jc w:val="center"/>
            </w:pPr>
            <w:r>
              <w:rPr>
                <w:rFonts w:ascii="Times New Roman" w:hAnsi="Times New Roman" w:eastAsia="宋体"/>
                <w:b/>
                <w:sz w:val="20"/>
              </w:rPr>
              <w:t>说明</w:t>
            </w:r>
          </w:p>
        </w:tc>
      </w:tr>
      <w:tr w14:paraId="3D7E04BA">
        <w:trPr>
          <w:jc w:val="center"/>
        </w:trPr>
        <w:tc>
          <w:tcPr>
            <w:tcW w:w="2871" w:type="dxa"/>
          </w:tcPr>
          <w:p w14:paraId="50C8573A">
            <w:pPr>
              <w:spacing w:after="0" w:line="240" w:lineRule="auto"/>
              <w:jc w:val="left"/>
            </w:pPr>
            <w:r>
              <w:rPr>
                <w:rFonts w:ascii="Times New Roman" w:hAnsi="Times New Roman" w:eastAsia="宋体"/>
                <w:b w:val="0"/>
                <w:sz w:val="20"/>
              </w:rPr>
              <w:t>Step30 历史增强基线</w:t>
            </w:r>
          </w:p>
        </w:tc>
        <w:tc>
          <w:tcPr>
            <w:tcW w:w="2871" w:type="dxa"/>
          </w:tcPr>
          <w:p w14:paraId="2FB1FF13">
            <w:pPr>
              <w:spacing w:after="0" w:line="240" w:lineRule="auto"/>
              <w:jc w:val="left"/>
            </w:pPr>
            <w:r>
              <w:rPr>
                <w:rFonts w:ascii="Times New Roman" w:hAnsi="Times New Roman" w:eastAsia="宋体"/>
                <w:b w:val="0"/>
                <w:sz w:val="20"/>
              </w:rPr>
              <w:t>通过</w:t>
            </w:r>
          </w:p>
        </w:tc>
        <w:tc>
          <w:tcPr>
            <w:tcW w:w="2871" w:type="dxa"/>
          </w:tcPr>
          <w:p w14:paraId="38889886">
            <w:pPr>
              <w:spacing w:after="0" w:line="240" w:lineRule="auto"/>
              <w:jc w:val="left"/>
            </w:pPr>
            <w:r>
              <w:rPr>
                <w:rFonts w:ascii="Times New Roman" w:hAnsi="Times New Roman" w:eastAsia="宋体"/>
                <w:b w:val="0"/>
                <w:sz w:val="20"/>
              </w:rPr>
              <w:t>历史功能与增强行为保持有效</w:t>
            </w:r>
          </w:p>
        </w:tc>
      </w:tr>
      <w:tr w14:paraId="419DF48C">
        <w:trPr>
          <w:jc w:val="center"/>
        </w:trPr>
        <w:tc>
          <w:tcPr>
            <w:tcW w:w="2871" w:type="dxa"/>
          </w:tcPr>
          <w:p w14:paraId="62C2C805">
            <w:pPr>
              <w:spacing w:after="0" w:line="240" w:lineRule="auto"/>
              <w:jc w:val="left"/>
            </w:pPr>
            <w:r>
              <w:rPr>
                <w:rFonts w:ascii="Times New Roman" w:hAnsi="Times New Roman" w:eastAsia="宋体"/>
                <w:b w:val="0"/>
                <w:sz w:val="20"/>
              </w:rPr>
              <w:t>Step36 发布化稳定能力</w:t>
            </w:r>
          </w:p>
        </w:tc>
        <w:tc>
          <w:tcPr>
            <w:tcW w:w="2871" w:type="dxa"/>
          </w:tcPr>
          <w:p w14:paraId="436F0791">
            <w:pPr>
              <w:spacing w:after="0" w:line="240" w:lineRule="auto"/>
              <w:jc w:val="left"/>
            </w:pPr>
            <w:r>
              <w:rPr>
                <w:rFonts w:ascii="Times New Roman" w:hAnsi="Times New Roman" w:eastAsia="宋体"/>
                <w:b w:val="0"/>
                <w:sz w:val="20"/>
              </w:rPr>
              <w:t>通过</w:t>
            </w:r>
          </w:p>
        </w:tc>
        <w:tc>
          <w:tcPr>
            <w:tcW w:w="2871" w:type="dxa"/>
          </w:tcPr>
          <w:p w14:paraId="20DB810E">
            <w:pPr>
              <w:spacing w:after="0" w:line="240" w:lineRule="auto"/>
              <w:jc w:val="left"/>
            </w:pPr>
            <w:r>
              <w:rPr>
                <w:rFonts w:ascii="Times New Roman" w:hAnsi="Times New Roman" w:eastAsia="宋体"/>
                <w:b w:val="0"/>
                <w:sz w:val="20"/>
              </w:rPr>
              <w:t>作为稳定锚点继续保留</w:t>
            </w:r>
          </w:p>
        </w:tc>
      </w:tr>
      <w:tr w14:paraId="56527452">
        <w:trPr>
          <w:jc w:val="center"/>
        </w:trPr>
        <w:tc>
          <w:tcPr>
            <w:tcW w:w="2871" w:type="dxa"/>
          </w:tcPr>
          <w:p w14:paraId="26D83CD6">
            <w:pPr>
              <w:spacing w:after="0" w:line="240" w:lineRule="auto"/>
              <w:jc w:val="left"/>
            </w:pPr>
            <w:r>
              <w:rPr>
                <w:rFonts w:ascii="Times New Roman" w:hAnsi="Times New Roman" w:eastAsia="宋体"/>
                <w:b w:val="0"/>
                <w:sz w:val="20"/>
              </w:rPr>
              <w:t>Step37 现代化入口能力</w:t>
            </w:r>
          </w:p>
        </w:tc>
        <w:tc>
          <w:tcPr>
            <w:tcW w:w="2871" w:type="dxa"/>
          </w:tcPr>
          <w:p w14:paraId="754EE3CE">
            <w:pPr>
              <w:spacing w:after="0" w:line="240" w:lineRule="auto"/>
              <w:jc w:val="left"/>
            </w:pPr>
            <w:r>
              <w:rPr>
                <w:rFonts w:ascii="Times New Roman" w:hAnsi="Times New Roman" w:eastAsia="宋体"/>
                <w:b w:val="0"/>
                <w:sz w:val="20"/>
              </w:rPr>
              <w:t>通过</w:t>
            </w:r>
          </w:p>
        </w:tc>
        <w:tc>
          <w:tcPr>
            <w:tcW w:w="2871" w:type="dxa"/>
          </w:tcPr>
          <w:p w14:paraId="69FC9B72">
            <w:pPr>
              <w:spacing w:after="0" w:line="240" w:lineRule="auto"/>
              <w:jc w:val="left"/>
            </w:pPr>
            <w:r>
              <w:rPr>
                <w:rFonts w:ascii="Times New Roman" w:hAnsi="Times New Roman" w:eastAsia="宋体"/>
                <w:b w:val="0"/>
                <w:sz w:val="20"/>
              </w:rPr>
              <w:t>首轮现代化改造保持有效</w:t>
            </w:r>
          </w:p>
        </w:tc>
      </w:tr>
      <w:tr w14:paraId="4A4D2B8B">
        <w:trPr>
          <w:jc w:val="center"/>
        </w:trPr>
        <w:tc>
          <w:tcPr>
            <w:tcW w:w="2871" w:type="dxa"/>
          </w:tcPr>
          <w:p w14:paraId="4FD748EC">
            <w:pPr>
              <w:spacing w:after="0" w:line="240" w:lineRule="auto"/>
              <w:jc w:val="left"/>
            </w:pPr>
            <w:r>
              <w:rPr>
                <w:rFonts w:ascii="Times New Roman" w:hAnsi="Times New Roman" w:eastAsia="宋体"/>
                <w:b w:val="0"/>
                <w:sz w:val="20"/>
              </w:rPr>
              <w:t>Step38 dashboard 合同与 view-model 收敛</w:t>
            </w:r>
          </w:p>
        </w:tc>
        <w:tc>
          <w:tcPr>
            <w:tcW w:w="2871" w:type="dxa"/>
          </w:tcPr>
          <w:p w14:paraId="0D80B42A">
            <w:pPr>
              <w:spacing w:after="0" w:line="240" w:lineRule="auto"/>
              <w:jc w:val="left"/>
            </w:pPr>
            <w:r>
              <w:rPr>
                <w:rFonts w:ascii="Times New Roman" w:hAnsi="Times New Roman" w:eastAsia="宋体"/>
                <w:b w:val="0"/>
                <w:sz w:val="20"/>
              </w:rPr>
              <w:t>通过</w:t>
            </w:r>
          </w:p>
        </w:tc>
        <w:tc>
          <w:tcPr>
            <w:tcW w:w="2871" w:type="dxa"/>
          </w:tcPr>
          <w:p w14:paraId="4C6D23FA">
            <w:pPr>
              <w:spacing w:after="0" w:line="240" w:lineRule="auto"/>
              <w:jc w:val="left"/>
            </w:pPr>
            <w:r>
              <w:rPr>
                <w:rFonts w:ascii="Times New Roman" w:hAnsi="Times New Roman" w:eastAsia="宋体"/>
                <w:b w:val="0"/>
                <w:sz w:val="20"/>
              </w:rPr>
              <w:t>OpenAPI 与页面编排口径一致</w:t>
            </w:r>
          </w:p>
        </w:tc>
      </w:tr>
      <w:tr w14:paraId="17EBC53F">
        <w:trPr>
          <w:jc w:val="center"/>
        </w:trPr>
        <w:tc>
          <w:tcPr>
            <w:tcW w:w="2871" w:type="dxa"/>
          </w:tcPr>
          <w:p w14:paraId="4B2C3548">
            <w:pPr>
              <w:spacing w:after="0" w:line="240" w:lineRule="auto"/>
              <w:jc w:val="left"/>
            </w:pPr>
            <w:r>
              <w:rPr>
                <w:rFonts w:ascii="Times New Roman" w:hAnsi="Times New Roman" w:eastAsia="宋体"/>
                <w:b w:val="0"/>
                <w:sz w:val="20"/>
              </w:rPr>
              <w:t>Step39 聚合层与性能硬化</w:t>
            </w:r>
          </w:p>
        </w:tc>
        <w:tc>
          <w:tcPr>
            <w:tcW w:w="2871" w:type="dxa"/>
          </w:tcPr>
          <w:p w14:paraId="10569A7C">
            <w:pPr>
              <w:spacing w:after="0" w:line="240" w:lineRule="auto"/>
              <w:jc w:val="left"/>
            </w:pPr>
            <w:r>
              <w:rPr>
                <w:rFonts w:ascii="Times New Roman" w:hAnsi="Times New Roman" w:eastAsia="宋体"/>
                <w:b w:val="0"/>
                <w:sz w:val="20"/>
              </w:rPr>
              <w:t>通过</w:t>
            </w:r>
          </w:p>
        </w:tc>
        <w:tc>
          <w:tcPr>
            <w:tcW w:w="2871" w:type="dxa"/>
          </w:tcPr>
          <w:p w14:paraId="4E61D850">
            <w:pPr>
              <w:spacing w:after="0" w:line="240" w:lineRule="auto"/>
              <w:jc w:val="left"/>
            </w:pPr>
            <w:r>
              <w:rPr>
                <w:rFonts w:ascii="Times New Roman" w:hAnsi="Times New Roman" w:eastAsia="宋体"/>
                <w:b w:val="0"/>
                <w:sz w:val="20"/>
              </w:rPr>
              <w:t>聚合层拆分完成，前端构建无大 chunk warning</w:t>
            </w:r>
          </w:p>
        </w:tc>
      </w:tr>
      <w:tr w14:paraId="607B78EE">
        <w:trPr>
          <w:jc w:val="center"/>
        </w:trPr>
        <w:tc>
          <w:tcPr>
            <w:tcW w:w="2871" w:type="dxa"/>
          </w:tcPr>
          <w:p w14:paraId="7D4E7659">
            <w:pPr>
              <w:spacing w:after="0" w:line="240" w:lineRule="auto"/>
              <w:jc w:val="left"/>
            </w:pPr>
            <w:r>
              <w:rPr>
                <w:rFonts w:ascii="Times New Roman" w:hAnsi="Times New Roman" w:eastAsia="宋体"/>
                <w:b w:val="0"/>
                <w:sz w:val="20"/>
              </w:rPr>
              <w:t>Step40 默认完成态升级</w:t>
            </w:r>
          </w:p>
        </w:tc>
        <w:tc>
          <w:tcPr>
            <w:tcW w:w="2871" w:type="dxa"/>
          </w:tcPr>
          <w:p w14:paraId="59D7592E">
            <w:pPr>
              <w:spacing w:after="0" w:line="240" w:lineRule="auto"/>
              <w:jc w:val="left"/>
            </w:pPr>
            <w:r>
              <w:rPr>
                <w:rFonts w:ascii="Times New Roman" w:hAnsi="Times New Roman" w:eastAsia="宋体"/>
                <w:b w:val="0"/>
                <w:sz w:val="20"/>
              </w:rPr>
              <w:t>完成</w:t>
            </w:r>
          </w:p>
        </w:tc>
        <w:tc>
          <w:tcPr>
            <w:tcW w:w="2871" w:type="dxa"/>
          </w:tcPr>
          <w:p w14:paraId="24C157AD">
            <w:pPr>
              <w:spacing w:after="0" w:line="240" w:lineRule="auto"/>
              <w:jc w:val="left"/>
            </w:pPr>
            <w:r>
              <w:rPr>
                <w:rFonts w:ascii="Times New Roman" w:hAnsi="Times New Roman" w:eastAsia="宋体"/>
                <w:b w:val="0"/>
                <w:sz w:val="20"/>
              </w:rPr>
              <w:t>默认完成态升级为 Step40</w:t>
            </w:r>
          </w:p>
        </w:tc>
      </w:tr>
    </w:tbl>
    <w:p w14:paraId="3147ECB3"/>
    <w:p w14:paraId="5001C1D6">
      <w:r>
        <w:drawing>
          <wp:inline distT="0" distB="0" distL="114300" distR="114300">
            <wp:extent cx="5669280" cy="3590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669280" cy="3590544"/>
                    </a:xfrm>
                    <a:prstGeom prst="rect">
                      <a:avLst/>
                    </a:prstGeom>
                  </pic:spPr>
                </pic:pic>
              </a:graphicData>
            </a:graphic>
          </wp:inline>
        </w:drawing>
      </w:r>
    </w:p>
    <w:p w14:paraId="574F1AAC">
      <w:pPr>
        <w:spacing w:before="0" w:after="120"/>
        <w:jc w:val="center"/>
      </w:pPr>
      <w:r>
        <w:rPr>
          <w:rFonts w:ascii="Times New Roman" w:hAnsi="Times New Roman" w:eastAsia="宋体"/>
          <w:b/>
          <w:sz w:val="22"/>
        </w:rPr>
        <w:t>图5-2 综合验收覆盖维度示意图</w:t>
      </w:r>
    </w:p>
    <w:p w14:paraId="750B5E24">
      <w:pPr>
        <w:spacing w:before="0" w:after="120" w:line="360" w:lineRule="auto"/>
        <w:ind w:firstLine="420"/>
        <w:jc w:val="both"/>
      </w:pPr>
      <w:r>
        <w:rPr>
          <w:rFonts w:ascii="Times New Roman" w:hAnsi="Times New Roman" w:eastAsia="宋体"/>
          <w:b w:val="0"/>
          <w:sz w:val="24"/>
        </w:rPr>
        <w:t>图5-2依据 Step40 验收结论中的核心项目整理，反映了本课题在历史兼容、合同收敛、聚合层拆分和性能硬化几个方面都形成了对应的验收覆盖。</w:t>
      </w:r>
    </w:p>
    <w:p w14:paraId="535D0032">
      <w:pPr>
        <w:pStyle w:val="3"/>
        <w:bidi w:val="0"/>
        <w:jc w:val="center"/>
        <w:rPr>
          <w:b w:val="0"/>
          <w:bCs w:val="0"/>
          <w:color w:val="000000" w:themeColor="text1"/>
          <w14:textFill>
            <w14:solidFill>
              <w14:schemeClr w14:val="tx1"/>
            </w14:solidFill>
          </w14:textFill>
        </w:rPr>
      </w:pPr>
      <w:bookmarkStart w:id="58" w:name="_Toc418155063"/>
      <w:bookmarkStart w:id="59" w:name="_Toc1133820649"/>
      <w:r>
        <w:rPr>
          <w:b w:val="0"/>
          <w:bCs w:val="0"/>
          <w:color w:val="000000" w:themeColor="text1"/>
          <w14:textFill>
            <w14:solidFill>
              <w14:schemeClr w14:val="tx1"/>
            </w14:solidFill>
          </w14:textFill>
        </w:rPr>
        <w:t>6 结论</w:t>
      </w:r>
      <w:bookmarkEnd w:id="58"/>
      <w:bookmarkEnd w:id="59"/>
    </w:p>
    <w:p w14:paraId="0ADA0794">
      <w:pPr>
        <w:pStyle w:val="4"/>
        <w:bidi w:val="0"/>
        <w:rPr>
          <w:b w:val="0"/>
          <w:bCs w:val="0"/>
          <w:color w:val="000000" w:themeColor="text1"/>
          <w14:textFill>
            <w14:solidFill>
              <w14:schemeClr w14:val="tx1"/>
            </w14:solidFill>
          </w14:textFill>
        </w:rPr>
      </w:pPr>
      <w:bookmarkStart w:id="60" w:name="_Toc1501247912"/>
      <w:bookmarkStart w:id="61" w:name="_Toc1365650857"/>
      <w:r>
        <w:rPr>
          <w:b w:val="0"/>
          <w:bCs w:val="0"/>
          <w:color w:val="000000" w:themeColor="text1"/>
          <w14:textFill>
            <w14:solidFill>
              <w14:schemeClr w14:val="tx1"/>
            </w14:solidFill>
          </w14:textFill>
        </w:rPr>
        <w:t>6.1 主要结论</w:t>
      </w:r>
      <w:bookmarkEnd w:id="60"/>
      <w:bookmarkEnd w:id="61"/>
    </w:p>
    <w:p w14:paraId="32895603">
      <w:pPr>
        <w:spacing w:before="0" w:after="120" w:line="360" w:lineRule="auto"/>
        <w:ind w:firstLine="420"/>
        <w:jc w:val="both"/>
      </w:pPr>
      <w:r>
        <w:rPr>
          <w:rFonts w:ascii="Times New Roman" w:hAnsi="Times New Roman" w:eastAsia="宋体"/>
          <w:b w:val="0"/>
          <w:sz w:val="24"/>
        </w:rPr>
        <w:t>本文围绕社区停车难这一现实问题，完成了一套集多源数据融合、需求预测、动态调度、预约计费导航和经营监控于一体的智慧停车系统设计与实现。通过对系统结构、业务流程和工程实现的整理，可以得出以下几点结论。</w:t>
      </w:r>
    </w:p>
    <w:p w14:paraId="66FDC3E2">
      <w:pPr>
        <w:spacing w:before="0" w:after="120" w:line="360" w:lineRule="auto"/>
        <w:ind w:firstLine="420"/>
        <w:jc w:val="both"/>
      </w:pPr>
      <w:r>
        <w:rPr>
          <w:rFonts w:ascii="Times New Roman" w:hAnsi="Times New Roman" w:eastAsia="宋体"/>
          <w:b w:val="0"/>
          <w:sz w:val="24"/>
        </w:rPr>
        <w:t>第一，多源数据融合为停车预测和调度提供了较稳定的基础。将车位状态、车辆进出和住户出行规律等信息结合起来后，系统对社区停车场景的描述更加完整。</w:t>
      </w:r>
    </w:p>
    <w:p w14:paraId="0F72D753">
      <w:pPr>
        <w:spacing w:before="0" w:after="120" w:line="360" w:lineRule="auto"/>
        <w:ind w:firstLine="420"/>
        <w:jc w:val="both"/>
      </w:pPr>
      <w:r>
        <w:rPr>
          <w:rFonts w:ascii="Times New Roman" w:hAnsi="Times New Roman" w:eastAsia="宋体"/>
          <w:b w:val="0"/>
          <w:sz w:val="24"/>
        </w:rPr>
        <w:t>第二，LSTM-Lite 预测和 Hungarian 调度能够在本课题中形成较好的配合关系。预测结果为推荐和经营分析提供参考，调度方法则进一步把请求与车位资源进行匹配，使系统不只是展示信息，而是能够参与业务决策。</w:t>
      </w:r>
    </w:p>
    <w:p w14:paraId="319BFEF4">
      <w:pPr>
        <w:spacing w:before="0" w:after="120" w:line="360" w:lineRule="auto"/>
        <w:ind w:firstLine="420"/>
        <w:jc w:val="both"/>
      </w:pPr>
      <w:r>
        <w:rPr>
          <w:rFonts w:ascii="Times New Roman" w:hAnsi="Times New Roman" w:eastAsia="宋体"/>
          <w:b w:val="0"/>
          <w:sz w:val="24"/>
        </w:rPr>
        <w:t>第三，系统已经形成较完整的业务闭环。业主端能够完成推荐、预约、订单、计费和导航的主要流程，物业端能够完成经营监控和状态说明，这说明课题已经从单点功能实现走向整体系统实现。</w:t>
      </w:r>
    </w:p>
    <w:p w14:paraId="2285D932">
      <w:pPr>
        <w:spacing w:before="0" w:after="120" w:line="360" w:lineRule="auto"/>
        <w:ind w:firstLine="420"/>
        <w:jc w:val="both"/>
      </w:pPr>
      <w:r>
        <w:rPr>
          <w:rFonts w:ascii="Times New Roman" w:hAnsi="Times New Roman" w:eastAsia="宋体"/>
          <w:b w:val="0"/>
          <w:sz w:val="24"/>
        </w:rPr>
        <w:t>第四，系统在工程实现中补充了幂等、锁机制、降级和实时回退等设计，使系统在异常场景下仍能保持基本可用，也增强了项目的答辩展示和验收基础。</w:t>
      </w:r>
    </w:p>
    <w:p w14:paraId="68D6F8BE">
      <w:pPr>
        <w:pStyle w:val="4"/>
        <w:bidi w:val="0"/>
        <w:rPr>
          <w:b w:val="0"/>
          <w:bCs w:val="0"/>
          <w:color w:val="000000" w:themeColor="text1"/>
          <w14:textFill>
            <w14:solidFill>
              <w14:schemeClr w14:val="tx1"/>
            </w14:solidFill>
          </w14:textFill>
        </w:rPr>
      </w:pPr>
      <w:bookmarkStart w:id="62" w:name="_Toc688288381"/>
      <w:bookmarkStart w:id="63" w:name="_Toc188734463"/>
      <w:r>
        <w:rPr>
          <w:b w:val="0"/>
          <w:bCs w:val="0"/>
          <w:color w:val="000000" w:themeColor="text1"/>
          <w14:textFill>
            <w14:solidFill>
              <w14:schemeClr w14:val="tx1"/>
            </w14:solidFill>
          </w14:textFill>
        </w:rPr>
        <w:t>6.2 不足与展望</w:t>
      </w:r>
      <w:bookmarkEnd w:id="62"/>
      <w:bookmarkEnd w:id="63"/>
    </w:p>
    <w:p w14:paraId="1D87B8AF">
      <w:pPr>
        <w:spacing w:before="0" w:after="120" w:line="360" w:lineRule="auto"/>
        <w:ind w:firstLine="420"/>
        <w:jc w:val="both"/>
      </w:pPr>
      <w:r>
        <w:rPr>
          <w:rFonts w:ascii="Times New Roman" w:hAnsi="Times New Roman" w:eastAsia="宋体"/>
          <w:b w:val="0"/>
          <w:sz w:val="24"/>
        </w:rPr>
        <w:t>虽然本课题已经完成主要业务链，但仍然存在一些不足。第一，当前实验规模和复杂场景覆盖还比较有限，整体上更适合社区级演示和工程验证。第二，模型部分采用的是轻量实现路线，后续还可以继续补充更细的特征和更系统的评估。第三，调度策略目前更强调可解释性和确定性，如果后续增加更多业务约束，还可以继续扩展。第四，论文中的横向比较和量化分析仍然可以进一步补强。</w:t>
      </w:r>
    </w:p>
    <w:p w14:paraId="2A410F56">
      <w:pPr>
        <w:spacing w:before="0" w:after="120" w:line="360" w:lineRule="auto"/>
        <w:ind w:firstLine="420"/>
        <w:jc w:val="both"/>
      </w:pPr>
      <w:r>
        <w:rPr>
          <w:rFonts w:ascii="Times New Roman" w:hAnsi="Times New Roman" w:eastAsia="宋体"/>
          <w:b w:val="0"/>
          <w:sz w:val="24"/>
        </w:rPr>
        <w:t>如果后续还有继续完善的时间，我认为可以从以下几个方向推进：一是补充更细粒度的实验矩阵和性能对比；二是增强多场景、多时间段的数据验证；三是进一步优化图表说明与管理端解释能力；四是在保证系统可复现性的基础上，继续提升模型与调度模块的适应性。通过这些工作，可以让系统在保持当前完整性的同时，进一步提高分析深度和工程表现。</w:t>
      </w:r>
    </w:p>
    <w:p w14:paraId="2951BEAF">
      <w:r>
        <w:br w:type="page"/>
      </w:r>
    </w:p>
    <w:p w14:paraId="40975616">
      <w:pPr>
        <w:pStyle w:val="3"/>
        <w:bidi w:val="0"/>
        <w:jc w:val="center"/>
        <w:rPr>
          <w:b/>
          <w:bCs/>
          <w:color w:val="000000" w:themeColor="text1"/>
          <w14:textFill>
            <w14:solidFill>
              <w14:schemeClr w14:val="tx1"/>
            </w14:solidFill>
          </w14:textFill>
        </w:rPr>
      </w:pPr>
      <w:bookmarkStart w:id="64" w:name="_Toc1715896725"/>
      <w:bookmarkStart w:id="65" w:name="_Toc226773022"/>
      <w:r>
        <w:rPr>
          <w:b/>
          <w:bCs/>
          <w:color w:val="000000" w:themeColor="text1"/>
          <w14:textFill>
            <w14:solidFill>
              <w14:schemeClr w14:val="tx1"/>
            </w14:solidFill>
          </w14:textFill>
        </w:rPr>
        <w:t>参考文献</w:t>
      </w:r>
      <w:bookmarkEnd w:id="64"/>
      <w:bookmarkEnd w:id="65"/>
    </w:p>
    <w:p w14:paraId="63F7BE0E">
      <w:pPr>
        <w:spacing w:before="0" w:after="120" w:line="360" w:lineRule="auto"/>
        <w:ind w:firstLine="420"/>
        <w:jc w:val="both"/>
      </w:pPr>
      <w:r>
        <w:rPr>
          <w:rFonts w:ascii="Times New Roman" w:hAnsi="Times New Roman" w:eastAsia="宋体"/>
          <w:b w:val="0"/>
          <w:sz w:val="24"/>
        </w:rPr>
        <w:t>[1] 刘汀. 基于 SpringBoot 的微服务体系在企业信息管理系统中的应用[J]. 信息技术与信息化, 2023(05): 23-26. [2] 马荣彦. Spring Cloud 微服务框架浅析[J]. 现代电影技术, 2021(10): 47-50. [3] 何毅平, 吴元杰, 陈庚, 朱晓庆. 基于 Spring Cloud 的任务调度微服务化的设计与实现[J]. 信息记录材料, 2021, 22(09): 130-131. [4] 张宇薇. HTML5 在 Web 前端开发中的应用[J]. 集成电路应用, 2024, 41(04): 274-276. [5] smart-parking-thesis项目组. 智慧停车系统README说明[R]. 项目内部资料, 2026. [6] smart-parking-thesis项目组. 系统架构文档[R]. 项目内部资料, 2026. [7] smart-parking-thesis项目组. 论文证据包[R]. 项目内部资料, 2026. [8] smart-parking-thesis项目组. Step40综合技术验收报告[R]. 项目内部资料, 2026.</w:t>
      </w:r>
    </w:p>
    <w:p w14:paraId="45930532">
      <w:r>
        <w:br w:type="page"/>
      </w:r>
    </w:p>
    <w:p w14:paraId="33B48C18">
      <w:pPr>
        <w:pStyle w:val="3"/>
        <w:bidi w:val="0"/>
        <w:jc w:val="center"/>
        <w:rPr>
          <w:b w:val="0"/>
          <w:bCs w:val="0"/>
          <w:color w:val="000000" w:themeColor="text1"/>
          <w14:textFill>
            <w14:solidFill>
              <w14:schemeClr w14:val="tx1"/>
            </w14:solidFill>
          </w14:textFill>
        </w:rPr>
      </w:pPr>
      <w:bookmarkStart w:id="66" w:name="_Toc518361512"/>
      <w:bookmarkStart w:id="67" w:name="_Toc1738190976"/>
      <w:r>
        <w:rPr>
          <w:b w:val="0"/>
          <w:bCs w:val="0"/>
          <w:color w:val="000000" w:themeColor="text1"/>
          <w14:textFill>
            <w14:solidFill>
              <w14:schemeClr w14:val="tx1"/>
            </w14:solidFill>
          </w14:textFill>
        </w:rPr>
        <w:t>致谢</w:t>
      </w:r>
      <w:bookmarkEnd w:id="66"/>
      <w:bookmarkEnd w:id="67"/>
    </w:p>
    <w:p w14:paraId="146404F6">
      <w:pPr>
        <w:spacing w:before="0" w:after="120" w:line="360" w:lineRule="auto"/>
        <w:ind w:firstLine="420"/>
        <w:jc w:val="both"/>
      </w:pPr>
      <w:r>
        <w:rPr>
          <w:rFonts w:ascii="Times New Roman" w:hAnsi="Times New Roman" w:eastAsia="宋体"/>
          <w:b w:val="0"/>
          <w:sz w:val="24"/>
        </w:rPr>
        <w:t>在本课题完成过程中，感谢指导教师在选题、系统设计和论文撰写方面给予的指导与帮助。也感谢在项目实现和材料整理过程中提供支持的老师和同学。通过这次毕业设计，我不仅完成了一个相对完整的系统，也对工程实现、论文写作和答辩准备有了更直接的体会。</w:t>
      </w:r>
    </w:p>
    <w:sectPr>
      <w:footerReference r:id="rId5" w:type="default"/>
      <w:pgSz w:w="12240" w:h="15840"/>
      <w:pgMar w:top="2154" w:right="1814" w:bottom="2154" w:left="181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00"/>
    <w:family w:val="auto"/>
    <w:pitch w:val="default"/>
    <w:sig w:usb0="00000000" w:usb1="00000000" w:usb2="00000000" w:usb3="00000000" w:csb0="0004009F" w:csb1="DFD7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华文楷体">
    <w:panose1 w:val="02010600040101010101"/>
    <w:charset w:val="86"/>
    <w:family w:val="auto"/>
    <w:pitch w:val="default"/>
    <w:sig w:usb0="80000287" w:usb1="280F3C52"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D2092">
    <w:pPr>
      <w:pStyle w:val="25"/>
      <w:jc w:val="center"/>
    </w:pPr>
    <w:r>
      <w:rPr>
        <w:rFonts w:ascii="Times New Roman" w:hAnsi="Times New Roman" w:eastAsia="宋体"/>
        <w:b w:val="0"/>
        <w:sz w:val="20"/>
      </w:rPr>
      <w:fldChar w:fldCharType="begin"/>
    </w:r>
    <w:r>
      <w:rPr>
        <w:rFonts w:ascii="Times New Roman" w:hAnsi="Times New Roman" w:eastAsia="宋体"/>
        <w:b w:val="0"/>
        <w:sz w:val="20"/>
      </w:rPr>
      <w:instrText xml:space="preserve">PAGE</w:instrText>
    </w:r>
    <w:r>
      <w:rPr>
        <w:rFonts w:ascii="Times New Roman" w:hAnsi="Times New Roman"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6CEFCF7"/>
    <w:rsid w:val="FB4E3D39"/>
    <w:rsid w:val="FDFF26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qFormat/>
    <w:uiPriority w:val="0"/>
    <w:pPr>
      <w:jc w:val="left"/>
    </w:pPr>
  </w:style>
  <w:style w:type="paragraph" w:styleId="18">
    <w:name w:val="Body Text 3"/>
    <w:basedOn w:val="1"/>
    <w:link w:val="150"/>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8"/>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9"/>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annotation reference"/>
    <w:semiHidden/>
    <w:qFormat/>
    <w:uiPriority w:val="0"/>
    <w:rPr>
      <w:sz w:val="21"/>
      <w:szCs w:val="21"/>
    </w:rPr>
  </w:style>
  <w:style w:type="character" w:customStyle="1" w:styleId="139">
    <w:name w:val="Header Char"/>
    <w:basedOn w:val="135"/>
    <w:link w:val="26"/>
    <w:uiPriority w:val="99"/>
  </w:style>
  <w:style w:type="character" w:customStyle="1" w:styleId="140">
    <w:name w:val="Footer Char"/>
    <w:basedOn w:val="135"/>
    <w:link w:val="25"/>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20"/>
    <w:uiPriority w:val="99"/>
  </w:style>
  <w:style w:type="character" w:customStyle="1" w:styleId="149">
    <w:name w:val="Body Text 2 Char"/>
    <w:basedOn w:val="135"/>
    <w:link w:val="31"/>
    <w:uiPriority w:val="99"/>
  </w:style>
  <w:style w:type="character" w:customStyle="1" w:styleId="150">
    <w:name w:val="Body Text 3 Char"/>
    <w:basedOn w:val="135"/>
    <w:link w:val="18"/>
    <w:uiPriority w:val="99"/>
    <w:rPr>
      <w:sz w:val="16"/>
      <w:szCs w:val="16"/>
    </w:rPr>
  </w:style>
  <w:style w:type="character" w:customStyle="1" w:styleId="151">
    <w:name w:val="Macro Text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uiPriority w:val="29"/>
    <w:rPr>
      <w:i/>
      <w:iCs/>
      <w:color w:val="000000" w:themeColor="text1"/>
      <w14:textFill>
        <w14:solidFill>
          <w14:schemeClr w14:val="tx1"/>
        </w14:solidFill>
      </w14:textFill>
    </w:rPr>
  </w:style>
  <w:style w:type="character" w:customStyle="1" w:styleId="154">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17</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WPS_1772522678</cp:lastModifiedBy>
  <dcterms:modified xsi:type="dcterms:W3CDTF">2026-04-10T14:00:08Z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F402F2D8C9316488250ACE69403EC0EE_42</vt:lpwstr>
  </property>
</Properties>
</file>