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07DA7" w14:textId="77777777" w:rsidR="003D6BE1" w:rsidRPr="00741319" w:rsidRDefault="003D6BE1" w:rsidP="00741319">
      <w:pPr>
        <w:spacing w:after="80" w:line="360" w:lineRule="auto"/>
        <w:rPr>
          <w:rFonts w:ascii="Times New Roman" w:hAnsi="Times New Roman" w:cs="Times New Roman"/>
        </w:rPr>
      </w:pPr>
    </w:p>
    <w:p w14:paraId="1F4161DC" w14:textId="77777777" w:rsidR="003D6BE1" w:rsidRPr="00741319" w:rsidRDefault="003D6BE1" w:rsidP="00741319">
      <w:pPr>
        <w:spacing w:after="80" w:line="360" w:lineRule="auto"/>
        <w:rPr>
          <w:rFonts w:ascii="Times New Roman" w:hAnsi="Times New Roman" w:cs="Times New Roman"/>
        </w:rPr>
      </w:pPr>
    </w:p>
    <w:p w14:paraId="2A5407DF" w14:textId="77777777" w:rsidR="003D6BE1" w:rsidRPr="00741319" w:rsidRDefault="003D6BE1" w:rsidP="00741319">
      <w:pPr>
        <w:spacing w:after="80" w:line="360" w:lineRule="auto"/>
        <w:rPr>
          <w:rFonts w:ascii="Times New Roman" w:hAnsi="Times New Roman" w:cs="Times New Roman"/>
        </w:rPr>
      </w:pPr>
    </w:p>
    <w:p w14:paraId="74BEAC68" w14:textId="77777777" w:rsidR="003D6BE1" w:rsidRPr="00741319" w:rsidRDefault="00000000" w:rsidP="00741319">
      <w:pPr>
        <w:spacing w:after="40" w:line="360" w:lineRule="auto"/>
        <w:jc w:val="center"/>
        <w:rPr>
          <w:rFonts w:ascii="Times New Roman" w:hAnsi="Times New Roman" w:cs="Times New Roman"/>
        </w:rPr>
      </w:pPr>
      <w:r w:rsidRPr="00741319">
        <w:rPr>
          <w:rFonts w:ascii="Times New Roman" w:hAnsi="Times New Roman" w:cs="Times New Roman"/>
          <w:caps/>
          <w:color w:val="595959"/>
          <w:spacing w:val="60"/>
          <w:sz w:val="24"/>
          <w:szCs w:val="24"/>
        </w:rPr>
        <w:t>CORPORATE INTERNSHIP PROGRAMME</w:t>
      </w:r>
    </w:p>
    <w:p w14:paraId="51E90D0A" w14:textId="77777777" w:rsidR="003D6BE1" w:rsidRPr="00741319" w:rsidRDefault="00000000" w:rsidP="00741319">
      <w:pPr>
        <w:spacing w:after="240" w:line="360" w:lineRule="auto"/>
        <w:jc w:val="center"/>
        <w:rPr>
          <w:rFonts w:ascii="Times New Roman" w:hAnsi="Times New Roman" w:cs="Times New Roman"/>
        </w:rPr>
      </w:pPr>
      <w:r w:rsidRPr="00741319">
        <w:rPr>
          <w:rFonts w:ascii="Times New Roman" w:hAnsi="Times New Roman" w:cs="Times New Roman"/>
          <w:i/>
          <w:iCs/>
          <w:color w:val="595959"/>
          <w:sz w:val="24"/>
          <w:szCs w:val="24"/>
        </w:rPr>
        <w:t>Final Report</w:t>
      </w:r>
    </w:p>
    <w:p w14:paraId="74A60AD4" w14:textId="77777777" w:rsidR="003D6BE1" w:rsidRPr="00741319" w:rsidRDefault="003D6BE1" w:rsidP="00741319">
      <w:pPr>
        <w:pBdr>
          <w:top w:val="single" w:sz="12" w:space="1" w:color="1F4E79"/>
        </w:pBdr>
        <w:spacing w:after="80" w:line="360" w:lineRule="auto"/>
        <w:jc w:val="center"/>
        <w:rPr>
          <w:rFonts w:ascii="Times New Roman" w:hAnsi="Times New Roman" w:cs="Times New Roman"/>
        </w:rPr>
      </w:pPr>
    </w:p>
    <w:p w14:paraId="20FA4AD3" w14:textId="77777777" w:rsidR="003D6BE1" w:rsidRPr="00741319" w:rsidRDefault="00000000" w:rsidP="00741319">
      <w:pPr>
        <w:spacing w:after="80" w:line="360" w:lineRule="auto"/>
        <w:jc w:val="center"/>
        <w:rPr>
          <w:rFonts w:ascii="Times New Roman" w:hAnsi="Times New Roman" w:cs="Times New Roman"/>
        </w:rPr>
      </w:pPr>
      <w:r w:rsidRPr="00741319">
        <w:rPr>
          <w:rFonts w:ascii="Times New Roman" w:hAnsi="Times New Roman" w:cs="Times New Roman"/>
          <w:b/>
          <w:bCs/>
          <w:color w:val="1F4E79"/>
          <w:sz w:val="52"/>
          <w:szCs w:val="52"/>
        </w:rPr>
        <w:t>HDFC Life Insurance Co. Ltd.</w:t>
      </w:r>
    </w:p>
    <w:p w14:paraId="3D153208" w14:textId="77777777" w:rsidR="003D6BE1" w:rsidRPr="00741319" w:rsidRDefault="00000000" w:rsidP="00741319">
      <w:pPr>
        <w:spacing w:after="80" w:line="360" w:lineRule="auto"/>
        <w:jc w:val="center"/>
        <w:rPr>
          <w:rFonts w:ascii="Times New Roman" w:hAnsi="Times New Roman" w:cs="Times New Roman"/>
        </w:rPr>
      </w:pPr>
      <w:r w:rsidRPr="00741319">
        <w:rPr>
          <w:rFonts w:ascii="Times New Roman" w:hAnsi="Times New Roman" w:cs="Times New Roman"/>
          <w:color w:val="2E75B6"/>
          <w:sz w:val="36"/>
          <w:szCs w:val="36"/>
        </w:rPr>
        <w:t>Equity Research and AI-Augmented Investment</w:t>
      </w:r>
    </w:p>
    <w:p w14:paraId="712D2B47" w14:textId="77777777" w:rsidR="003D6BE1" w:rsidRPr="00741319" w:rsidRDefault="00000000" w:rsidP="00741319">
      <w:pPr>
        <w:spacing w:after="80" w:line="360" w:lineRule="auto"/>
        <w:jc w:val="center"/>
        <w:rPr>
          <w:rFonts w:ascii="Times New Roman" w:hAnsi="Times New Roman" w:cs="Times New Roman"/>
        </w:rPr>
      </w:pPr>
      <w:r w:rsidRPr="00741319">
        <w:rPr>
          <w:rFonts w:ascii="Times New Roman" w:hAnsi="Times New Roman" w:cs="Times New Roman"/>
          <w:color w:val="2E75B6"/>
          <w:sz w:val="36"/>
          <w:szCs w:val="36"/>
        </w:rPr>
        <w:t>Decision Framework for the Indian Insurance Sector</w:t>
      </w:r>
    </w:p>
    <w:p w14:paraId="6CE242D8" w14:textId="77777777" w:rsidR="003D6BE1" w:rsidRPr="00741319" w:rsidRDefault="003D6BE1" w:rsidP="00741319">
      <w:pPr>
        <w:pBdr>
          <w:bottom w:val="single" w:sz="12" w:space="1" w:color="1F4E79"/>
        </w:pBdr>
        <w:spacing w:after="240" w:line="360" w:lineRule="auto"/>
        <w:jc w:val="center"/>
        <w:rPr>
          <w:rFonts w:ascii="Times New Roman" w:hAnsi="Times New Roman" w:cs="Times New Roman"/>
        </w:rPr>
      </w:pPr>
    </w:p>
    <w:p w14:paraId="3F2B42A4" w14:textId="77777777" w:rsidR="003D6BE1" w:rsidRPr="00741319" w:rsidRDefault="003D6BE1" w:rsidP="00741319">
      <w:pPr>
        <w:spacing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41319" w:rsidRPr="00720EBE" w14:paraId="29E0BE3F" w14:textId="77777777" w:rsidTr="00303958">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C88FCA2" w14:textId="77777777" w:rsidR="00741319" w:rsidRPr="00720EBE" w:rsidRDefault="00741319" w:rsidP="00303958">
            <w:pPr>
              <w:rPr>
                <w:rFonts w:ascii="Times New Roman" w:hAnsi="Times New Roman" w:cs="Times New Roman"/>
                <w:sz w:val="24"/>
                <w:szCs w:val="24"/>
              </w:rPr>
            </w:pPr>
            <w:r w:rsidRPr="00720EBE">
              <w:rPr>
                <w:rFonts w:ascii="Times New Roman" w:hAnsi="Times New Roman" w:cs="Times New Roman"/>
                <w:b/>
                <w:bCs/>
                <w:color w:val="FFFFFF"/>
                <w:sz w:val="24"/>
                <w:szCs w:val="24"/>
              </w:rPr>
              <w:t>Student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0B947" w14:textId="77777777" w:rsidR="00741319" w:rsidRPr="00720EBE" w:rsidRDefault="00741319" w:rsidP="00303958">
            <w:pPr>
              <w:rPr>
                <w:rFonts w:ascii="Times New Roman" w:hAnsi="Times New Roman" w:cs="Times New Roman"/>
                <w:sz w:val="24"/>
                <w:szCs w:val="24"/>
              </w:rPr>
            </w:pPr>
            <w:r w:rsidRPr="00720EBE">
              <w:rPr>
                <w:rFonts w:ascii="Times New Roman" w:hAnsi="Times New Roman" w:cs="Times New Roman"/>
                <w:sz w:val="24"/>
                <w:szCs w:val="24"/>
              </w:rPr>
              <w:t>Anurag Kumar</w:t>
            </w:r>
          </w:p>
        </w:tc>
      </w:tr>
      <w:tr w:rsidR="00741319" w:rsidRPr="00720EBE" w14:paraId="6266ABF9" w14:textId="77777777" w:rsidTr="00303958">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DEF4EA1" w14:textId="77777777" w:rsidR="00741319" w:rsidRPr="00720EBE" w:rsidRDefault="00741319" w:rsidP="00303958">
            <w:pPr>
              <w:rPr>
                <w:rFonts w:ascii="Times New Roman" w:hAnsi="Times New Roman" w:cs="Times New Roman"/>
                <w:sz w:val="24"/>
                <w:szCs w:val="24"/>
              </w:rPr>
            </w:pPr>
            <w:r w:rsidRPr="00720EBE">
              <w:rPr>
                <w:rFonts w:ascii="Times New Roman" w:hAnsi="Times New Roman" w:cs="Times New Roman"/>
                <w:b/>
                <w:bCs/>
                <w:color w:val="FFFFFF"/>
                <w:sz w:val="24"/>
                <w:szCs w:val="24"/>
              </w:rPr>
              <w:t>Programme &amp; Batch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844DD" w14:textId="77777777" w:rsidR="00741319" w:rsidRPr="00720EBE" w:rsidRDefault="00741319" w:rsidP="00303958">
            <w:pPr>
              <w:rPr>
                <w:rFonts w:ascii="Times New Roman" w:hAnsi="Times New Roman" w:cs="Times New Roman"/>
                <w:sz w:val="24"/>
                <w:szCs w:val="24"/>
              </w:rPr>
            </w:pPr>
            <w:r w:rsidRPr="00720EBE">
              <w:rPr>
                <w:rFonts w:ascii="Times New Roman" w:hAnsi="Times New Roman" w:cs="Times New Roman"/>
                <w:sz w:val="24"/>
                <w:szCs w:val="24"/>
              </w:rPr>
              <w:t>PGDM (Financial Management) | Batch 2025-26</w:t>
            </w:r>
          </w:p>
        </w:tc>
      </w:tr>
      <w:tr w:rsidR="00741319" w:rsidRPr="00720EBE" w14:paraId="506EF7D2" w14:textId="77777777" w:rsidTr="00303958">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7E0598F" w14:textId="77777777" w:rsidR="00741319" w:rsidRPr="00720EBE" w:rsidRDefault="00741319" w:rsidP="00303958">
            <w:pPr>
              <w:rPr>
                <w:rFonts w:ascii="Times New Roman" w:hAnsi="Times New Roman" w:cs="Times New Roman"/>
                <w:sz w:val="24"/>
                <w:szCs w:val="24"/>
              </w:rPr>
            </w:pPr>
            <w:r w:rsidRPr="00720EBE">
              <w:rPr>
                <w:rFonts w:ascii="Times New Roman" w:hAnsi="Times New Roman" w:cs="Times New Roman"/>
                <w:b/>
                <w:bCs/>
                <w:color w:val="FFFFFF"/>
                <w:sz w:val="24"/>
                <w:szCs w:val="24"/>
              </w:rPr>
              <w:t>Roll Number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D87E38" w14:textId="77777777" w:rsidR="00741319" w:rsidRPr="00720EBE" w:rsidRDefault="00741319" w:rsidP="00303958">
            <w:pPr>
              <w:rPr>
                <w:rFonts w:ascii="Times New Roman" w:hAnsi="Times New Roman" w:cs="Times New Roman"/>
                <w:sz w:val="24"/>
                <w:szCs w:val="24"/>
              </w:rPr>
            </w:pPr>
            <w:r w:rsidRPr="00720EBE">
              <w:rPr>
                <w:rFonts w:ascii="Times New Roman" w:hAnsi="Times New Roman" w:cs="Times New Roman"/>
                <w:sz w:val="24"/>
                <w:szCs w:val="24"/>
              </w:rPr>
              <w:t>25PGDMFM012</w:t>
            </w:r>
          </w:p>
        </w:tc>
      </w:tr>
      <w:tr w:rsidR="00741319" w:rsidRPr="00720EBE" w14:paraId="2A2A5710" w14:textId="77777777" w:rsidTr="00303958">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C260616" w14:textId="77777777" w:rsidR="00741319" w:rsidRPr="00720EBE" w:rsidRDefault="00741319" w:rsidP="00303958">
            <w:pPr>
              <w:rPr>
                <w:rFonts w:ascii="Times New Roman" w:hAnsi="Times New Roman" w:cs="Times New Roman"/>
                <w:sz w:val="24"/>
                <w:szCs w:val="24"/>
              </w:rPr>
            </w:pPr>
            <w:r w:rsidRPr="00720EBE">
              <w:rPr>
                <w:rFonts w:ascii="Times New Roman" w:hAnsi="Times New Roman" w:cs="Times New Roman"/>
                <w:b/>
                <w:bCs/>
                <w:color w:val="FFFFFF"/>
                <w:sz w:val="24"/>
                <w:szCs w:val="24"/>
              </w:rPr>
              <w:t>Organisation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448D1" w14:textId="77777777" w:rsidR="00741319" w:rsidRPr="00720EBE" w:rsidRDefault="00741319" w:rsidP="00303958">
            <w:pPr>
              <w:rPr>
                <w:rFonts w:ascii="Times New Roman" w:hAnsi="Times New Roman" w:cs="Times New Roman"/>
                <w:sz w:val="24"/>
                <w:szCs w:val="24"/>
              </w:rPr>
            </w:pPr>
            <w:r w:rsidRPr="00720EBE">
              <w:rPr>
                <w:rFonts w:ascii="Times New Roman" w:hAnsi="Times New Roman" w:cs="Times New Roman"/>
                <w:sz w:val="24"/>
                <w:szCs w:val="24"/>
              </w:rPr>
              <w:t>HDFC Life Insurance Co. Ltd.</w:t>
            </w:r>
          </w:p>
        </w:tc>
      </w:tr>
      <w:tr w:rsidR="00741319" w:rsidRPr="00720EBE" w14:paraId="061BC75B" w14:textId="77777777" w:rsidTr="00303958">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55AD230" w14:textId="77777777" w:rsidR="00741319" w:rsidRPr="00720EBE" w:rsidRDefault="00741319" w:rsidP="00303958">
            <w:pPr>
              <w:rPr>
                <w:rFonts w:ascii="Times New Roman" w:hAnsi="Times New Roman" w:cs="Times New Roman"/>
                <w:sz w:val="24"/>
                <w:szCs w:val="24"/>
              </w:rPr>
            </w:pPr>
            <w:r w:rsidRPr="00720EBE">
              <w:rPr>
                <w:rFonts w:ascii="Times New Roman" w:hAnsi="Times New Roman" w:cs="Times New Roman"/>
                <w:b/>
                <w:bCs/>
                <w:color w:val="FFFFFF"/>
                <w:sz w:val="24"/>
                <w:szCs w:val="24"/>
              </w:rPr>
              <w:t>Industry / Sector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E38F3" w14:textId="77777777" w:rsidR="00741319" w:rsidRPr="00720EBE" w:rsidRDefault="00741319" w:rsidP="00303958">
            <w:pPr>
              <w:rPr>
                <w:rFonts w:ascii="Times New Roman" w:hAnsi="Times New Roman" w:cs="Times New Roman"/>
                <w:sz w:val="24"/>
                <w:szCs w:val="24"/>
              </w:rPr>
            </w:pPr>
            <w:r w:rsidRPr="00720EBE">
              <w:rPr>
                <w:rFonts w:ascii="Times New Roman" w:hAnsi="Times New Roman" w:cs="Times New Roman"/>
                <w:sz w:val="24"/>
                <w:szCs w:val="24"/>
              </w:rPr>
              <w:t>Insurance &amp; Financial Services / Equity Research</w:t>
            </w:r>
          </w:p>
        </w:tc>
      </w:tr>
      <w:tr w:rsidR="00741319" w:rsidRPr="00720EBE" w14:paraId="0A697D56" w14:textId="77777777" w:rsidTr="00303958">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2BB91F2" w14:textId="77777777" w:rsidR="00741319" w:rsidRPr="00720EBE" w:rsidRDefault="00741319" w:rsidP="00303958">
            <w:pPr>
              <w:rPr>
                <w:rFonts w:ascii="Times New Roman" w:hAnsi="Times New Roman" w:cs="Times New Roman"/>
                <w:sz w:val="24"/>
                <w:szCs w:val="24"/>
              </w:rPr>
            </w:pPr>
            <w:r w:rsidRPr="00720EBE">
              <w:rPr>
                <w:rFonts w:ascii="Times New Roman" w:hAnsi="Times New Roman" w:cs="Times New Roman"/>
                <w:b/>
                <w:bCs/>
                <w:color w:val="FFFFFF"/>
                <w:sz w:val="24"/>
                <w:szCs w:val="24"/>
              </w:rPr>
              <w:t>Internship Duration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AF158" w14:textId="77777777" w:rsidR="00741319" w:rsidRPr="00720EBE" w:rsidRDefault="00741319" w:rsidP="00303958">
            <w:pPr>
              <w:rPr>
                <w:rFonts w:ascii="Times New Roman" w:hAnsi="Times New Roman" w:cs="Times New Roman"/>
                <w:sz w:val="24"/>
                <w:szCs w:val="24"/>
              </w:rPr>
            </w:pPr>
            <w:r w:rsidRPr="00720EBE">
              <w:rPr>
                <w:rFonts w:ascii="Times New Roman" w:hAnsi="Times New Roman" w:cs="Times New Roman"/>
                <w:sz w:val="24"/>
                <w:szCs w:val="24"/>
              </w:rPr>
              <w:t>12 Weeks Summer 2025</w:t>
            </w:r>
          </w:p>
        </w:tc>
      </w:tr>
      <w:tr w:rsidR="00741319" w:rsidRPr="00720EBE" w14:paraId="275160B4" w14:textId="77777777" w:rsidTr="00303958">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0BFA00D8" w14:textId="77777777" w:rsidR="00741319" w:rsidRPr="00720EBE" w:rsidRDefault="00741319" w:rsidP="00303958">
            <w:pPr>
              <w:rPr>
                <w:rFonts w:ascii="Times New Roman" w:hAnsi="Times New Roman" w:cs="Times New Roman"/>
                <w:sz w:val="24"/>
                <w:szCs w:val="24"/>
              </w:rPr>
            </w:pPr>
            <w:r w:rsidRPr="00720EBE">
              <w:rPr>
                <w:rFonts w:ascii="Times New Roman" w:hAnsi="Times New Roman" w:cs="Times New Roman"/>
                <w:b/>
                <w:bCs/>
                <w:color w:val="FFFFFF"/>
                <w:sz w:val="24"/>
                <w:szCs w:val="24"/>
              </w:rPr>
              <w:t>Faculty Supervisor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FF2594" w14:textId="77777777" w:rsidR="00741319" w:rsidRPr="00720EBE" w:rsidRDefault="00741319" w:rsidP="00303958">
            <w:pPr>
              <w:rPr>
                <w:rFonts w:ascii="Times New Roman" w:hAnsi="Times New Roman" w:cs="Times New Roman"/>
                <w:sz w:val="24"/>
                <w:szCs w:val="24"/>
              </w:rPr>
            </w:pPr>
            <w:r w:rsidRPr="00720EBE">
              <w:rPr>
                <w:rFonts w:ascii="Times New Roman" w:hAnsi="Times New Roman" w:cs="Times New Roman"/>
                <w:sz w:val="24"/>
                <w:szCs w:val="24"/>
              </w:rPr>
              <w:t>Dr. Sudhi Sharma</w:t>
            </w:r>
          </w:p>
        </w:tc>
      </w:tr>
      <w:tr w:rsidR="00741319" w:rsidRPr="00720EBE" w14:paraId="50A6BE18" w14:textId="77777777" w:rsidTr="00303958">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7F7AD3B" w14:textId="77777777" w:rsidR="00741319" w:rsidRPr="00720EBE" w:rsidRDefault="00741319" w:rsidP="00303958">
            <w:pPr>
              <w:rPr>
                <w:rFonts w:ascii="Times New Roman" w:hAnsi="Times New Roman" w:cs="Times New Roman"/>
                <w:sz w:val="24"/>
                <w:szCs w:val="24"/>
              </w:rPr>
            </w:pPr>
            <w:r w:rsidRPr="00720EBE">
              <w:rPr>
                <w:rFonts w:ascii="Times New Roman" w:hAnsi="Times New Roman" w:cs="Times New Roman"/>
                <w:b/>
                <w:bCs/>
                <w:color w:val="FFFFFF"/>
                <w:sz w:val="24"/>
                <w:szCs w:val="24"/>
              </w:rPr>
              <w:t>Organisational Supervisor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BDBA73" w14:textId="77777777" w:rsidR="00741319" w:rsidRPr="00720EBE" w:rsidRDefault="00741319" w:rsidP="00303958">
            <w:pPr>
              <w:rPr>
                <w:rFonts w:ascii="Times New Roman" w:hAnsi="Times New Roman" w:cs="Times New Roman"/>
                <w:sz w:val="24"/>
                <w:szCs w:val="24"/>
              </w:rPr>
            </w:pPr>
            <w:r w:rsidRPr="00720EBE">
              <w:rPr>
                <w:rFonts w:ascii="Times New Roman" w:hAnsi="Times New Roman" w:cs="Times New Roman"/>
                <w:sz w:val="24"/>
                <w:szCs w:val="24"/>
              </w:rPr>
              <w:t>Mr. Saurav Srivastav</w:t>
            </w:r>
          </w:p>
        </w:tc>
      </w:tr>
    </w:tbl>
    <w:p w14:paraId="79A87640" w14:textId="77777777" w:rsidR="003D6BE1" w:rsidRDefault="003D6BE1" w:rsidP="00741319">
      <w:pPr>
        <w:spacing w:after="80" w:line="360" w:lineRule="auto"/>
        <w:rPr>
          <w:rFonts w:ascii="Times New Roman" w:hAnsi="Times New Roman" w:cs="Times New Roman"/>
        </w:rPr>
      </w:pPr>
    </w:p>
    <w:p w14:paraId="3C64BC0D" w14:textId="77777777" w:rsidR="00741319" w:rsidRDefault="00741319" w:rsidP="00741319">
      <w:pPr>
        <w:spacing w:after="80" w:line="360" w:lineRule="auto"/>
        <w:rPr>
          <w:rFonts w:ascii="Times New Roman" w:hAnsi="Times New Roman" w:cs="Times New Roman"/>
        </w:rPr>
      </w:pPr>
    </w:p>
    <w:p w14:paraId="2C41656E" w14:textId="77777777" w:rsidR="00741319" w:rsidRDefault="00741319" w:rsidP="00741319">
      <w:pPr>
        <w:spacing w:after="80" w:line="360" w:lineRule="auto"/>
        <w:rPr>
          <w:rFonts w:ascii="Times New Roman" w:hAnsi="Times New Roman" w:cs="Times New Roman"/>
        </w:rPr>
      </w:pPr>
    </w:p>
    <w:p w14:paraId="2FF08871" w14:textId="77777777" w:rsidR="00741319" w:rsidRDefault="00741319" w:rsidP="00741319">
      <w:pPr>
        <w:spacing w:after="80" w:line="360" w:lineRule="auto"/>
        <w:rPr>
          <w:rFonts w:ascii="Times New Roman" w:hAnsi="Times New Roman" w:cs="Times New Roman"/>
        </w:rPr>
      </w:pPr>
    </w:p>
    <w:p w14:paraId="0E360C0F" w14:textId="77777777" w:rsidR="00741319" w:rsidRPr="00741319" w:rsidRDefault="00741319" w:rsidP="00741319">
      <w:pPr>
        <w:spacing w:after="80" w:line="360" w:lineRule="auto"/>
        <w:rPr>
          <w:rFonts w:ascii="Times New Roman" w:hAnsi="Times New Roman" w:cs="Times New Roman"/>
        </w:rPr>
      </w:pPr>
    </w:p>
    <w:p w14:paraId="1F08068A" w14:textId="77777777" w:rsidR="003D6BE1" w:rsidRPr="00741319" w:rsidRDefault="00000000" w:rsidP="00741319">
      <w:pPr>
        <w:pStyle w:val="Heading1"/>
        <w:spacing w:line="360" w:lineRule="auto"/>
        <w:rPr>
          <w:rFonts w:ascii="Times New Roman" w:hAnsi="Times New Roman" w:cs="Times New Roman"/>
        </w:rPr>
      </w:pPr>
      <w:r w:rsidRPr="00741319">
        <w:rPr>
          <w:rFonts w:ascii="Times New Roman" w:hAnsi="Times New Roman" w:cs="Times New Roman"/>
        </w:rPr>
        <w:lastRenderedPageBreak/>
        <w:t>Abstract</w:t>
      </w:r>
    </w:p>
    <w:p w14:paraId="11EFB048"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This report presents an equity research and investment decision framework developed during a Corporate Internship Programme at HDFC Life Insurance Co. Ltd. The study focuses on the Indian insurance sector, covering both life and general insurance companies listed on the NSE. The analysis integrates fundamental ratio analysis, technical back-testing, sector-appropriate valuation methods, and a screening-based portfolio construction exercise.</w:t>
      </w:r>
    </w:p>
    <w:p w14:paraId="334A6CF5"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Five key financial ratios were used to assess the fundamental quality of the selected insurance companies. A multi-indicator technical analysis framework was applied and empirically back-tested to identify which signals carry the highest predictive reliability. The fundamental and technical dimensions were then combined to arrive at stock selections supported by both quality and value considerations.</w:t>
      </w:r>
    </w:p>
    <w:p w14:paraId="4942D2B0"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Given the structural differences between insurance companies and non-financial firms, traditional DCF models were not used. Instead, the study applies Embedded Value, Price-to-Embedded Value, and Price-to-Book approaches to assess the valuation of selected companies. LIC of India and GIC of India emerged as the strongest candidates across all analytical dimensions.</w:t>
      </w:r>
    </w:p>
    <w:p w14:paraId="2399820E"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 xml:space="preserve">The report also documents six screening frameworks implemented as </w:t>
      </w:r>
      <w:proofErr w:type="spellStart"/>
      <w:r w:rsidRPr="00741319">
        <w:rPr>
          <w:rFonts w:ascii="Times New Roman" w:hAnsi="Times New Roman" w:cs="Times New Roman"/>
        </w:rPr>
        <w:t>Smallcase</w:t>
      </w:r>
      <w:proofErr w:type="spellEnd"/>
      <w:r w:rsidRPr="00741319">
        <w:rPr>
          <w:rFonts w:ascii="Times New Roman" w:hAnsi="Times New Roman" w:cs="Times New Roman"/>
        </w:rPr>
        <w:t xml:space="preserve"> portfolios and a proposed AI-assisted underwriting triage workflow for HDFC Life's term insurance operations. Together, these elements reflect the breadth of learning during the internship — spanning financial analysis, portfolio management, and applied technology.</w:t>
      </w:r>
    </w:p>
    <w:p w14:paraId="531F1DF0" w14:textId="77777777" w:rsidR="003D6BE1" w:rsidRPr="00741319" w:rsidRDefault="00000000" w:rsidP="00741319">
      <w:pPr>
        <w:spacing w:line="360" w:lineRule="auto"/>
        <w:rPr>
          <w:rFonts w:ascii="Times New Roman" w:hAnsi="Times New Roman" w:cs="Times New Roman"/>
        </w:rPr>
      </w:pPr>
      <w:r w:rsidRPr="00741319">
        <w:rPr>
          <w:rFonts w:ascii="Times New Roman" w:hAnsi="Times New Roman" w:cs="Times New Roman"/>
        </w:rPr>
        <w:br w:type="page"/>
      </w:r>
    </w:p>
    <w:p w14:paraId="6BCC6BA2" w14:textId="77777777" w:rsidR="003D6BE1" w:rsidRPr="00741319" w:rsidRDefault="00000000" w:rsidP="00741319">
      <w:pPr>
        <w:pStyle w:val="Heading1"/>
        <w:spacing w:line="360" w:lineRule="auto"/>
        <w:rPr>
          <w:rFonts w:ascii="Times New Roman" w:hAnsi="Times New Roman" w:cs="Times New Roman"/>
        </w:rPr>
      </w:pPr>
      <w:r w:rsidRPr="00741319">
        <w:rPr>
          <w:rFonts w:ascii="Times New Roman" w:hAnsi="Times New Roman" w:cs="Times New Roman"/>
        </w:rPr>
        <w:lastRenderedPageBreak/>
        <w:t>Chapter 1: Introduction and Industry Context</w:t>
      </w:r>
    </w:p>
    <w:p w14:paraId="1C4A11D3"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1.1 Why This Study and Why Now</w:t>
      </w:r>
    </w:p>
    <w:p w14:paraId="609A9BC0"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Indian insurance sector is at an inflection point. Regulatory reforms under IRDAI, rising awareness of life and health coverage following the COVID-19 pandemic, and the expansion of digital distribution channels have collectively accelerated growth across the sector. Yet despite this momentum, the investment community often evaluates insurance stocks using frameworks borrowed from non-financial industries, which can be misleading and can obscure the true value embedded in insurance businesses.</w:t>
      </w:r>
    </w:p>
    <w:p w14:paraId="2655F542"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At the same time, the proliferation of technical indicators in equity research has created a different problem: analysts often apply multiple signals without any empirical basis for choosing between them. This study addresses both gaps — by building a sector-appropriate fundamental framework and by establishing an evidence-based hierarchy of technical signals grounded in back-tested win probabilities.</w:t>
      </w:r>
    </w:p>
    <w:p w14:paraId="4AAEBD04"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timing of this study is also relevant. India's insurance penetration remains low compared to global peers, suggesting long-term structural growth potential. Against this backdrop, identifying which companies combine financial strength with attractive valuation represents a meaningful and practically relevant research question.</w:t>
      </w:r>
    </w:p>
    <w:p w14:paraId="2C962CB4"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1.2 The Host Organisation and My Role</w:t>
      </w:r>
    </w:p>
    <w:p w14:paraId="183DBE99"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This project was carried out during my internship with HDFC Life Insurance Co. Ltd., one of India's leading private life insurance companies. I worked as an Equity Research and Wealth Management Intern, where I was exposed to various aspects of investment research, portfolio analysis, valuation, and market-based decision-making.</w:t>
      </w:r>
    </w:p>
    <w:p w14:paraId="13C5B8D2"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internship provided a unique perspective. While working within an insurance company, I was also evaluating insurance companies from the viewpoint of an investor. This helped me understand how insurers create value through underwriting, policy persistency, risk management, and investment activities, while also assessing whether these strengths are reflected in their market performance and valuation.</w:t>
      </w:r>
    </w:p>
    <w:p w14:paraId="234FFD79"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It is important to note that this report does not use any confidential or internal information from HDFC Life. All analysis is based solely on publicly available data, including annual reports, financial statements, stock market information, and regulatory disclosures. This approach ensures that the conclusions and recommendations can be independently verified by any investor.</w:t>
      </w:r>
    </w:p>
    <w:p w14:paraId="4EBBD2BD"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1.3 The Problem This Report Seeks to Address</w:t>
      </w:r>
    </w:p>
    <w:p w14:paraId="169076F4"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lastRenderedPageBreak/>
        <w:t>Equity research on Indian insurance stocks faces two structural challenges. First, the financial metrics commonly applied to non-financial companies — such as earnings per share, free cash flow, and standard P/E ratios — do not translate cleanly to insurance businesses. Insurance companies generate value through long-duration policyholder relationships, investment income, and actuarially managed liabilities. A valuation model that ignores these dynamics will consistently misprice insurers.</w:t>
      </w:r>
    </w:p>
    <w:p w14:paraId="3F301D65"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Second, investors and analysts who do apply technical analysis to insurance stocks typically treat all indicators as equally reliable. There is rarely any empirical testing of which signals have historically performed best in this sector. As a result, investment decisions may be influenced by technically weak or even negatively predictive signals.</w:t>
      </w:r>
    </w:p>
    <w:p w14:paraId="33E492B8"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This report seeks to address both problems. It builds a sector-appropriate fundamental screening framework, identifies which technical indicators carry genuine predictive value for insurance stocks through back-testing, and combines the two into an integrated investment decision framework.</w:t>
      </w:r>
    </w:p>
    <w:p w14:paraId="62DD6D51"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1.4 Companies Included in the Study</w:t>
      </w:r>
    </w:p>
    <w:p w14:paraId="63B79969"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study covers five insurance companies listed on the National Stock Exchange of India. These include representatives from both the life and general insurance segments, spanning private and public sector ownership. The selected companies are:</w:t>
      </w:r>
    </w:p>
    <w:p w14:paraId="15853AF2"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HDFC Life Insurance</w:t>
      </w:r>
    </w:p>
    <w:p w14:paraId="33331BAC"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SBI Life Insurance</w:t>
      </w:r>
    </w:p>
    <w:p w14:paraId="4AB97372"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ICICI Prudential Life Insurance</w:t>
      </w:r>
    </w:p>
    <w:p w14:paraId="478EADB6"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Life Insurance Corporation of India (LIC)</w:t>
      </w:r>
    </w:p>
    <w:p w14:paraId="47AAFC07"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General Insurance Corporation of India (GIC Re)</w:t>
      </w:r>
    </w:p>
    <w:p w14:paraId="05937B61" w14:textId="77777777" w:rsidR="003D6BE1" w:rsidRPr="00741319" w:rsidRDefault="003D6BE1" w:rsidP="00741319">
      <w:pPr>
        <w:spacing w:after="80" w:line="360" w:lineRule="auto"/>
        <w:rPr>
          <w:rFonts w:ascii="Times New Roman" w:hAnsi="Times New Roman" w:cs="Times New Roman"/>
        </w:rPr>
      </w:pPr>
    </w:p>
    <w:p w14:paraId="05F0DBC2"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This selection provides meaningful diversity across business models, ownership structures, and financial profiles, enabling a comparative analysis that is representative of the broader insurance sector.</w:t>
      </w:r>
    </w:p>
    <w:p w14:paraId="042B58B4"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1.5 Organisation of the Report</w:t>
      </w:r>
    </w:p>
    <w:p w14:paraId="0DF69FD9"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 xml:space="preserve">The report proceeds through ten substantive chapters. Chapter 2 defines the objectives, scope, and research methodology. Chapter 3 presents the fundamental analysis, including ratio selection, scoring, and company-level assessment. Chapter 4 describes the technical back-testing exercise and its results. Chapter 5 combines fundamental and technical findings to arrive at stock selections. Chapter 6 addresses valuation, explaining why traditional DCF models are not appropriate for insurers and describing the approaches used instead. Chapter 7 </w:t>
      </w:r>
      <w:r w:rsidRPr="00741319">
        <w:rPr>
          <w:rFonts w:ascii="Times New Roman" w:hAnsi="Times New Roman" w:cs="Times New Roman"/>
        </w:rPr>
        <w:lastRenderedPageBreak/>
        <w:t xml:space="preserve">presents the final portfolio recommendation. Chapter 8 documents the six screening frameworks and their </w:t>
      </w:r>
      <w:proofErr w:type="spellStart"/>
      <w:r w:rsidRPr="00741319">
        <w:rPr>
          <w:rFonts w:ascii="Times New Roman" w:hAnsi="Times New Roman" w:cs="Times New Roman"/>
        </w:rPr>
        <w:t>Smallcase</w:t>
      </w:r>
      <w:proofErr w:type="spellEnd"/>
      <w:r w:rsidRPr="00741319">
        <w:rPr>
          <w:rFonts w:ascii="Times New Roman" w:hAnsi="Times New Roman" w:cs="Times New Roman"/>
        </w:rPr>
        <w:t xml:space="preserve"> implementation. Chapter 9 proposes an AI-assisted underwriting triage workflow. Chapter 10 presents conclusions and recommendations, and Chapter 11 reflects on the professional learning from the internship.</w:t>
      </w:r>
    </w:p>
    <w:p w14:paraId="495F12FC" w14:textId="77777777" w:rsidR="003D6BE1" w:rsidRPr="00741319" w:rsidRDefault="00000000" w:rsidP="00741319">
      <w:pPr>
        <w:spacing w:line="360" w:lineRule="auto"/>
        <w:rPr>
          <w:rFonts w:ascii="Times New Roman" w:hAnsi="Times New Roman" w:cs="Times New Roman"/>
        </w:rPr>
      </w:pPr>
      <w:r w:rsidRPr="00741319">
        <w:rPr>
          <w:rFonts w:ascii="Times New Roman" w:hAnsi="Times New Roman" w:cs="Times New Roman"/>
        </w:rPr>
        <w:br w:type="page"/>
      </w:r>
    </w:p>
    <w:p w14:paraId="5F682E81" w14:textId="77777777" w:rsidR="003D6BE1" w:rsidRPr="00741319" w:rsidRDefault="00000000" w:rsidP="00741319">
      <w:pPr>
        <w:pStyle w:val="Heading1"/>
        <w:spacing w:line="360" w:lineRule="auto"/>
        <w:rPr>
          <w:rFonts w:ascii="Times New Roman" w:hAnsi="Times New Roman" w:cs="Times New Roman"/>
        </w:rPr>
      </w:pPr>
      <w:r w:rsidRPr="00741319">
        <w:rPr>
          <w:rFonts w:ascii="Times New Roman" w:hAnsi="Times New Roman" w:cs="Times New Roman"/>
        </w:rPr>
        <w:lastRenderedPageBreak/>
        <w:t>Chapter 2: Objectives, Scope, and Methodology</w:t>
      </w:r>
    </w:p>
    <w:p w14:paraId="3ACCE65A"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2.1 Objectives</w:t>
      </w:r>
    </w:p>
    <w:p w14:paraId="61ADDC37"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This study has four primary objectives:</w:t>
      </w:r>
    </w:p>
    <w:p w14:paraId="65E61BCB"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To evaluate the fundamental financial quality of selected NSE-listed insurance companies using a structured ratio-based framework.</w:t>
      </w:r>
    </w:p>
    <w:p w14:paraId="47C53794"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To assess the reliability of technical indicators for insurance stocks through empirical back-testing.</w:t>
      </w:r>
    </w:p>
    <w:p w14:paraId="73F1F3C4"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To combine fundamental quality and technical evidence into an integrated stock selection process.</w:t>
      </w:r>
    </w:p>
    <w:p w14:paraId="24219F97"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To apply sector-appropriate valuation methods to determine whether the selected companies offer attractive long-term investment potential.</w:t>
      </w:r>
    </w:p>
    <w:p w14:paraId="38F42139" w14:textId="77777777" w:rsidR="003D6BE1" w:rsidRPr="00741319" w:rsidRDefault="003D6BE1" w:rsidP="00741319">
      <w:pPr>
        <w:spacing w:after="80" w:line="360" w:lineRule="auto"/>
        <w:rPr>
          <w:rFonts w:ascii="Times New Roman" w:hAnsi="Times New Roman" w:cs="Times New Roman"/>
        </w:rPr>
      </w:pPr>
    </w:p>
    <w:p w14:paraId="08AB587C"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 xml:space="preserve">A secondary objective involves the development of six screening frameworks and their implementation as live </w:t>
      </w:r>
      <w:proofErr w:type="spellStart"/>
      <w:r w:rsidRPr="00741319">
        <w:rPr>
          <w:rFonts w:ascii="Times New Roman" w:hAnsi="Times New Roman" w:cs="Times New Roman"/>
        </w:rPr>
        <w:t>Smallcase</w:t>
      </w:r>
      <w:proofErr w:type="spellEnd"/>
      <w:r w:rsidRPr="00741319">
        <w:rPr>
          <w:rFonts w:ascii="Times New Roman" w:hAnsi="Times New Roman" w:cs="Times New Roman"/>
        </w:rPr>
        <w:t xml:space="preserve"> portfolios, along with a proposed AI-assisted workflow for insurance underwriting.</w:t>
      </w:r>
    </w:p>
    <w:p w14:paraId="306E392E"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2.2 Scope and Boundaries</w:t>
      </w:r>
    </w:p>
    <w:p w14:paraId="0F947307"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study covers five insurance companies for the period FY22–FY24. Only publicly available data sources were used. The analysis is focused on equity investment decision-making and does not extend to fixed income, derivatives, or alternative investment instruments. Valuation conclusions are based on relative methods rather than absolute intrinsic value estimates, given the structural limitations of DCF for insurance businesses.</w:t>
      </w:r>
    </w:p>
    <w:p w14:paraId="4D0D9ACD"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2.3 Research Framework</w:t>
      </w:r>
    </w:p>
    <w:p w14:paraId="1DF87A59"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analytical framework proceeds in three integrated stages:</w:t>
      </w:r>
    </w:p>
    <w:p w14:paraId="607A73EF"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Fundamental ratio analysis to assess earnings quality, asset quality, profitability, and capital strength.</w:t>
      </w:r>
    </w:p>
    <w:p w14:paraId="54BE7C3A"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Technical analysis using a multi-indicator framework, with each indicator empirically tested for win probability.</w:t>
      </w:r>
    </w:p>
    <w:p w14:paraId="2AB0A632"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Combination of these two dimensions to identify companies where financial strength and technical timing are aligned.</w:t>
      </w:r>
    </w:p>
    <w:p w14:paraId="55E49FEF"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2.4 Data Sources</w:t>
      </w:r>
    </w:p>
    <w:p w14:paraId="3ED87083"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lastRenderedPageBreak/>
        <w:t xml:space="preserve">Data was sourced from company annual reports, NSE and BSE regulatory filings, IRDAI publications, Screener.in, </w:t>
      </w:r>
      <w:proofErr w:type="spellStart"/>
      <w:r w:rsidRPr="00741319">
        <w:rPr>
          <w:rFonts w:ascii="Times New Roman" w:hAnsi="Times New Roman" w:cs="Times New Roman"/>
        </w:rPr>
        <w:t>TradingView</w:t>
      </w:r>
      <w:proofErr w:type="spellEnd"/>
      <w:r w:rsidRPr="00741319">
        <w:rPr>
          <w:rFonts w:ascii="Times New Roman" w:hAnsi="Times New Roman" w:cs="Times New Roman"/>
        </w:rPr>
        <w:t>, and publicly available investor presentations. All data used in this report is in the public domain and independently verifiable.</w:t>
      </w:r>
    </w:p>
    <w:p w14:paraId="10611F85"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2.5 Limitations of the Study</w:t>
      </w:r>
    </w:p>
    <w:p w14:paraId="7902E131"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 xml:space="preserve">The study covers a three-year data window (FY22–FY24), which may not capture complete business cycles. The back-testing exercise, while empirically grounded, is based on historical patterns and does not guarantee future signal performance. The </w:t>
      </w:r>
      <w:proofErr w:type="spellStart"/>
      <w:r w:rsidRPr="00741319">
        <w:rPr>
          <w:rFonts w:ascii="Times New Roman" w:hAnsi="Times New Roman" w:cs="Times New Roman"/>
        </w:rPr>
        <w:t>Smallcase</w:t>
      </w:r>
      <w:proofErr w:type="spellEnd"/>
      <w:r w:rsidRPr="00741319">
        <w:rPr>
          <w:rFonts w:ascii="Times New Roman" w:hAnsi="Times New Roman" w:cs="Times New Roman"/>
        </w:rPr>
        <w:t xml:space="preserve"> tracking period is short — a few weeks — and early returns are not suitable for drawing conclusions about long-term strategy performance. Valuation estimates are based on publicly reported embedded value figures and relative multiples, and do not involve independent actuarial assessment.</w:t>
      </w:r>
    </w:p>
    <w:p w14:paraId="7E86179F" w14:textId="77777777" w:rsidR="003D6BE1" w:rsidRPr="00741319" w:rsidRDefault="00000000" w:rsidP="00741319">
      <w:pPr>
        <w:spacing w:line="360" w:lineRule="auto"/>
        <w:rPr>
          <w:rFonts w:ascii="Times New Roman" w:hAnsi="Times New Roman" w:cs="Times New Roman"/>
        </w:rPr>
      </w:pPr>
      <w:r w:rsidRPr="00741319">
        <w:rPr>
          <w:rFonts w:ascii="Times New Roman" w:hAnsi="Times New Roman" w:cs="Times New Roman"/>
        </w:rPr>
        <w:br w:type="page"/>
      </w:r>
    </w:p>
    <w:p w14:paraId="794534A8" w14:textId="77777777" w:rsidR="003D6BE1" w:rsidRPr="00741319" w:rsidRDefault="00000000" w:rsidP="00741319">
      <w:pPr>
        <w:pStyle w:val="Heading1"/>
        <w:spacing w:line="360" w:lineRule="auto"/>
        <w:rPr>
          <w:rFonts w:ascii="Times New Roman" w:hAnsi="Times New Roman" w:cs="Times New Roman"/>
        </w:rPr>
      </w:pPr>
      <w:r w:rsidRPr="00741319">
        <w:rPr>
          <w:rFonts w:ascii="Times New Roman" w:hAnsi="Times New Roman" w:cs="Times New Roman"/>
        </w:rPr>
        <w:lastRenderedPageBreak/>
        <w:t>Chapter 3: Fundamental Analysis of the Insurance Sector</w:t>
      </w:r>
    </w:p>
    <w:p w14:paraId="6F0201A5"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3.1 Why These Five Ratios</w:t>
      </w:r>
    </w:p>
    <w:p w14:paraId="3B061772"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Insurance companies require a tailored set of financial metrics. Five ratios were selected for this study on the basis of their relevance to insurance business models and their ability to capture different dimensions of performance:</w:t>
      </w:r>
    </w:p>
    <w:p w14:paraId="73BE37AB"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Return on Equity (ROE)</w:t>
      </w:r>
    </w:p>
    <w:p w14:paraId="636A915B"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Combined Ratio (for general insurers)</w:t>
      </w:r>
    </w:p>
    <w:p w14:paraId="0A57422E"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Persistency Ratio (for life insurers)</w:t>
      </w:r>
    </w:p>
    <w:p w14:paraId="50928453"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Solvency Ratio</w:t>
      </w:r>
    </w:p>
    <w:p w14:paraId="1FEB4509"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Embedded Value Growth</w:t>
      </w:r>
    </w:p>
    <w:p w14:paraId="1FC43ECA" w14:textId="77777777" w:rsidR="003D6BE1" w:rsidRPr="00741319" w:rsidRDefault="003D6BE1" w:rsidP="00741319">
      <w:pPr>
        <w:spacing w:after="80" w:line="360" w:lineRule="auto"/>
        <w:rPr>
          <w:rFonts w:ascii="Times New Roman" w:hAnsi="Times New Roman" w:cs="Times New Roman"/>
        </w:rPr>
      </w:pPr>
    </w:p>
    <w:p w14:paraId="46A9A107"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Together, these metrics assess profitability, underwriting efficiency, policy retention, financial resilience, and value creation. No single ratio is sufficient on its own; the combination provides a more complete picture of business quality.</w:t>
      </w:r>
    </w:p>
    <w:p w14:paraId="7493549E"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3.2 Reading the Numbers</w:t>
      </w:r>
    </w:p>
    <w:p w14:paraId="532231C0"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Each ratio was computed for the five companies over FY22–FY24 using data from annual reports and regulatory disclosures. Where a ratio is not directly applicable to one segment — for example, the combined ratio is primarily relevant for general insurers — a suitable substitute was used, and the methodology is noted accordingly.</w:t>
      </w:r>
    </w:p>
    <w:p w14:paraId="61DB726F"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3.3 The Ranking Method, and a Correction Worth Explaining</w:t>
      </w:r>
    </w:p>
    <w:p w14:paraId="3AC1E471"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Companies were ranked on each ratio, with the highest-performing company in each metric receiving the best score. A composite score was then computed by averaging the individual rankings. One correction is worth noting: for the solvency ratio, a very high figure is not always an indicator of superior performance. An excessively high solvency ratio may suggest that capital is not being deployed efficiently. Companies were therefore assessed on whether their solvency ratio was comfortably above the regulatory minimum rather than on absolute magnitude alone.</w:t>
      </w:r>
    </w:p>
    <w:p w14:paraId="3B658DE8"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3.4 What the Fundamentals Say</w:t>
      </w:r>
    </w:p>
    <w:p w14:paraId="4201C25E"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lastRenderedPageBreak/>
        <w:t>The fundamental analysis reveals clear differentiation across the five companies. LIC of India stands out for its scale, persistency, and embedded value, while GIC Re demonstrates strong underwriting discipline and solvency. The private life insurers — HDFC Life, SBI Life, and ICICI Prudential — show competitive embedded value growth and persistency ratios, reflecting the improving quality of their business mix. Across all five companies, profitability and capital adequacy remain sound, though the private insurers trade at premium valuations relative to their public-sector counterparts.</w:t>
      </w:r>
    </w:p>
    <w:p w14:paraId="588A55C1"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3.5 Reading Life and General Insurers on Their Own Terms</w:t>
      </w:r>
    </w:p>
    <w:p w14:paraId="4E08C380"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Life and general insurance businesses are structurally different and should not be evaluated using the same framework. Life insurers derive long-term value from policy persistency, investment income on reserves, and the embedded profitability of the in-force book. General insurers are evaluated primarily on underwriting profitability (combined ratio) and investment returns. This report applies distinct analytical lenses to each segment and avoids direct cross-segment comparisons where the underlying economics differ significantly.</w:t>
      </w:r>
    </w:p>
    <w:p w14:paraId="4140DF0A"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3.6 Company-by-Company Snapshot</w:t>
      </w:r>
    </w:p>
    <w:p w14:paraId="70B95ECB" w14:textId="77777777" w:rsidR="003D6BE1" w:rsidRPr="00741319" w:rsidRDefault="00000000" w:rsidP="00741319">
      <w:pPr>
        <w:pStyle w:val="Heading3"/>
        <w:spacing w:line="360" w:lineRule="auto"/>
        <w:rPr>
          <w:rFonts w:ascii="Times New Roman" w:hAnsi="Times New Roman" w:cs="Times New Roman"/>
        </w:rPr>
      </w:pPr>
      <w:r w:rsidRPr="00741319">
        <w:rPr>
          <w:rFonts w:ascii="Times New Roman" w:hAnsi="Times New Roman" w:cs="Times New Roman"/>
        </w:rPr>
        <w:t>HDFC Life Insurance</w:t>
      </w:r>
    </w:p>
    <w:p w14:paraId="12767B9F"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Demonstrates strong new business margins, high persistency, and consistent embedded value growth.</w:t>
      </w:r>
    </w:p>
    <w:p w14:paraId="66714F90" w14:textId="77777777" w:rsidR="003D6BE1" w:rsidRPr="00741319" w:rsidRDefault="00000000" w:rsidP="00741319">
      <w:pPr>
        <w:pStyle w:val="Heading3"/>
        <w:spacing w:line="360" w:lineRule="auto"/>
        <w:rPr>
          <w:rFonts w:ascii="Times New Roman" w:hAnsi="Times New Roman" w:cs="Times New Roman"/>
        </w:rPr>
      </w:pPr>
      <w:r w:rsidRPr="00741319">
        <w:rPr>
          <w:rFonts w:ascii="Times New Roman" w:hAnsi="Times New Roman" w:cs="Times New Roman"/>
        </w:rPr>
        <w:t>SBI Life Insurance</w:t>
      </w:r>
    </w:p>
    <w:p w14:paraId="2406281F"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Benefits from its bancassurance network and has shown steady improvement in both VNB and persistency.</w:t>
      </w:r>
    </w:p>
    <w:p w14:paraId="1B3DFAD1" w14:textId="77777777" w:rsidR="003D6BE1" w:rsidRPr="00741319" w:rsidRDefault="00000000" w:rsidP="00741319">
      <w:pPr>
        <w:pStyle w:val="Heading3"/>
        <w:spacing w:line="360" w:lineRule="auto"/>
        <w:rPr>
          <w:rFonts w:ascii="Times New Roman" w:hAnsi="Times New Roman" w:cs="Times New Roman"/>
        </w:rPr>
      </w:pPr>
      <w:r w:rsidRPr="00741319">
        <w:rPr>
          <w:rFonts w:ascii="Times New Roman" w:hAnsi="Times New Roman" w:cs="Times New Roman"/>
        </w:rPr>
        <w:t>ICICI Prudential Life Insurance</w:t>
      </w:r>
    </w:p>
    <w:p w14:paraId="33CBD754"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Has focused on improving its product mix toward protection and non-par savings, which has supported margin expansion.</w:t>
      </w:r>
    </w:p>
    <w:p w14:paraId="2E107C38" w14:textId="77777777" w:rsidR="003D6BE1" w:rsidRPr="00741319" w:rsidRDefault="00000000" w:rsidP="00741319">
      <w:pPr>
        <w:pStyle w:val="Heading3"/>
        <w:spacing w:line="360" w:lineRule="auto"/>
        <w:rPr>
          <w:rFonts w:ascii="Times New Roman" w:hAnsi="Times New Roman" w:cs="Times New Roman"/>
        </w:rPr>
      </w:pPr>
      <w:r w:rsidRPr="00741319">
        <w:rPr>
          <w:rFonts w:ascii="Times New Roman" w:hAnsi="Times New Roman" w:cs="Times New Roman"/>
        </w:rPr>
        <w:t>LIC of India</w:t>
      </w:r>
    </w:p>
    <w:p w14:paraId="497A4DDB"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Combines unmatched scale with improving solvency and persistency ratios, and its embedded value represents a very large pool of future economic value.</w:t>
      </w:r>
    </w:p>
    <w:p w14:paraId="74099868" w14:textId="77777777" w:rsidR="003D6BE1" w:rsidRPr="00741319" w:rsidRDefault="00000000" w:rsidP="00741319">
      <w:pPr>
        <w:pStyle w:val="Heading3"/>
        <w:spacing w:line="360" w:lineRule="auto"/>
        <w:rPr>
          <w:rFonts w:ascii="Times New Roman" w:hAnsi="Times New Roman" w:cs="Times New Roman"/>
        </w:rPr>
      </w:pPr>
      <w:r w:rsidRPr="00741319">
        <w:rPr>
          <w:rFonts w:ascii="Times New Roman" w:hAnsi="Times New Roman" w:cs="Times New Roman"/>
        </w:rPr>
        <w:t>GIC Re</w:t>
      </w:r>
    </w:p>
    <w:p w14:paraId="2F28C36C"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Maintains a combined ratio that is broadly in line with global reinsurance peers and demonstrates prudent capital management.</w:t>
      </w:r>
    </w:p>
    <w:p w14:paraId="49DDC09A" w14:textId="77777777" w:rsidR="003D6BE1" w:rsidRPr="00741319" w:rsidRDefault="00000000" w:rsidP="00741319">
      <w:pPr>
        <w:spacing w:line="360" w:lineRule="auto"/>
        <w:rPr>
          <w:rFonts w:ascii="Times New Roman" w:hAnsi="Times New Roman" w:cs="Times New Roman"/>
        </w:rPr>
      </w:pPr>
      <w:r w:rsidRPr="00741319">
        <w:rPr>
          <w:rFonts w:ascii="Times New Roman" w:hAnsi="Times New Roman" w:cs="Times New Roman"/>
        </w:rPr>
        <w:br w:type="page"/>
      </w:r>
    </w:p>
    <w:p w14:paraId="5B32C0E4" w14:textId="77777777" w:rsidR="003D6BE1" w:rsidRPr="00741319" w:rsidRDefault="00000000" w:rsidP="00741319">
      <w:pPr>
        <w:pStyle w:val="Heading1"/>
        <w:spacing w:line="360" w:lineRule="auto"/>
        <w:rPr>
          <w:rFonts w:ascii="Times New Roman" w:hAnsi="Times New Roman" w:cs="Times New Roman"/>
        </w:rPr>
      </w:pPr>
      <w:r w:rsidRPr="00741319">
        <w:rPr>
          <w:rFonts w:ascii="Times New Roman" w:hAnsi="Times New Roman" w:cs="Times New Roman"/>
        </w:rPr>
        <w:lastRenderedPageBreak/>
        <w:t>Chapter 4: Technical Analysis and Back-testing</w:t>
      </w:r>
    </w:p>
    <w:p w14:paraId="451EC8B7"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4.1 What Was Tested and How</w:t>
      </w:r>
    </w:p>
    <w:p w14:paraId="4906DECF"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 xml:space="preserve">A ten-indicator framework was applied to the selected insurance stocks using historical price data sourced from </w:t>
      </w:r>
      <w:proofErr w:type="spellStart"/>
      <w:r w:rsidRPr="00741319">
        <w:rPr>
          <w:rFonts w:ascii="Times New Roman" w:hAnsi="Times New Roman" w:cs="Times New Roman"/>
        </w:rPr>
        <w:t>TradingView</w:t>
      </w:r>
      <w:proofErr w:type="spellEnd"/>
      <w:r w:rsidRPr="00741319">
        <w:rPr>
          <w:rFonts w:ascii="Times New Roman" w:hAnsi="Times New Roman" w:cs="Times New Roman"/>
        </w:rPr>
        <w:t xml:space="preserve"> and NSE archives. The indicators tested were:</w:t>
      </w:r>
    </w:p>
    <w:p w14:paraId="279E8C3C"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Moving Average (MA)</w:t>
      </w:r>
    </w:p>
    <w:p w14:paraId="087695E5"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Close Price action (CP)</w:t>
      </w:r>
    </w:p>
    <w:p w14:paraId="4861193B"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proofErr w:type="spellStart"/>
      <w:r w:rsidRPr="00741319">
        <w:rPr>
          <w:rFonts w:ascii="Times New Roman" w:hAnsi="Times New Roman" w:cs="Times New Roman"/>
        </w:rPr>
        <w:t>Supertrend</w:t>
      </w:r>
      <w:proofErr w:type="spellEnd"/>
    </w:p>
    <w:p w14:paraId="5011B843"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RSI (Relative Strength Index)</w:t>
      </w:r>
    </w:p>
    <w:p w14:paraId="52D6B549"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VWAP (Volume Weighted Average Price)</w:t>
      </w:r>
    </w:p>
    <w:p w14:paraId="11F58E49"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MACD</w:t>
      </w:r>
    </w:p>
    <w:p w14:paraId="1460350E"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Bollinger Bands</w:t>
      </w:r>
    </w:p>
    <w:p w14:paraId="49E005D8"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Stochastic Oscillator</w:t>
      </w:r>
    </w:p>
    <w:p w14:paraId="324D0C4E"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ADX</w:t>
      </w:r>
    </w:p>
    <w:p w14:paraId="50DDE833"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Volume-based signals</w:t>
      </w:r>
    </w:p>
    <w:p w14:paraId="6C21BA86" w14:textId="77777777" w:rsidR="003D6BE1" w:rsidRPr="00741319" w:rsidRDefault="003D6BE1" w:rsidP="00741319">
      <w:pPr>
        <w:spacing w:after="80" w:line="360" w:lineRule="auto"/>
        <w:rPr>
          <w:rFonts w:ascii="Times New Roman" w:hAnsi="Times New Roman" w:cs="Times New Roman"/>
        </w:rPr>
      </w:pPr>
    </w:p>
    <w:p w14:paraId="64FDAA40"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For each indicator, signals were generated historically and the win probability — the proportion of times a signal led to a correct directional outcome — was computed.</w:t>
      </w:r>
    </w:p>
    <w:p w14:paraId="727957F3"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4.2 Results of the Back-testing Exercise</w:t>
      </w:r>
    </w:p>
    <w:p w14:paraId="34300B66"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back-testing results reveal a clear hierarchy of indicator reliability:</w:t>
      </w:r>
    </w:p>
    <w:p w14:paraId="3232274A"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Moving Average: ~68% win probability — the strongest signal, designated as the primary indicator.</w:t>
      </w:r>
    </w:p>
    <w:p w14:paraId="491A168D"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Close Price action: Positive but more modest win probability — secondary role.</w:t>
      </w:r>
    </w:p>
    <w:p w14:paraId="08E002CE"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proofErr w:type="spellStart"/>
      <w:r w:rsidRPr="00741319">
        <w:rPr>
          <w:rFonts w:ascii="Times New Roman" w:hAnsi="Times New Roman" w:cs="Times New Roman"/>
        </w:rPr>
        <w:t>Supertrend</w:t>
      </w:r>
      <w:proofErr w:type="spellEnd"/>
      <w:r w:rsidRPr="00741319">
        <w:rPr>
          <w:rFonts w:ascii="Times New Roman" w:hAnsi="Times New Roman" w:cs="Times New Roman"/>
        </w:rPr>
        <w:t>: Close to break-even — treated as supplementary.</w:t>
      </w:r>
    </w:p>
    <w:p w14:paraId="14D85BAD"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RSI, VWAP, and 4 others: Win probabilities below 50% — do not carry positive expected value as standalone signals.</w:t>
      </w:r>
    </w:p>
    <w:p w14:paraId="4B41B039" w14:textId="77777777" w:rsidR="003D6BE1" w:rsidRPr="00741319" w:rsidRDefault="003D6BE1" w:rsidP="00741319">
      <w:pPr>
        <w:spacing w:after="80" w:line="360" w:lineRule="auto"/>
        <w:rPr>
          <w:rFonts w:ascii="Times New Roman" w:hAnsi="Times New Roman" w:cs="Times New Roman"/>
        </w:rPr>
      </w:pPr>
    </w:p>
    <w:p w14:paraId="32125346"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lastRenderedPageBreak/>
        <w:t>These findings are consistent with back-testing results observed in the banking sector analysis undertaken during the same internship, suggesting that this indicator hierarchy may have broader applicability across financial sector stocks.</w:t>
      </w:r>
    </w:p>
    <w:p w14:paraId="041172BC"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4.3 Implications of the Findings</w:t>
      </w:r>
    </w:p>
    <w:p w14:paraId="2C6B42A8"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 xml:space="preserve">The most practically important implication is that widely used indicators such as RSI and VWAP should not be used as primary triggers for investment decisions in insurance stocks. Their sub-50% win probabilities mean that acting on them in isolation is likely to produce worse outcomes than not using them at all. This finding challenges the conventional practice of applying all indicators with equal weight. The evidence-based hierarchy established through back-testing — MA first, CP second, </w:t>
      </w:r>
      <w:proofErr w:type="spellStart"/>
      <w:r w:rsidRPr="00741319">
        <w:rPr>
          <w:rFonts w:ascii="Times New Roman" w:hAnsi="Times New Roman" w:cs="Times New Roman"/>
        </w:rPr>
        <w:t>Supertrend</w:t>
      </w:r>
      <w:proofErr w:type="spellEnd"/>
      <w:r w:rsidRPr="00741319">
        <w:rPr>
          <w:rFonts w:ascii="Times New Roman" w:hAnsi="Times New Roman" w:cs="Times New Roman"/>
        </w:rPr>
        <w:t xml:space="preserve"> supplementary, others contextual — represents a more disciplined and defensible approach to technical signal integration.</w:t>
      </w:r>
    </w:p>
    <w:p w14:paraId="29E8EEE4"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4.4 Quarter-wise Observations and Future Improvements</w:t>
      </w:r>
    </w:p>
    <w:p w14:paraId="68215BB8"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A quarter-wise breakdown of signal performance reveals that Moving Average signals are most reliable in trending markets and less reliable during sideways or range-bound periods. Future improvements to this framework could include conditioning indicator weights on market regime (trending versus mean-reverting) and extending the back-test window beyond the current dataset to capture a fuller range of market conditions. The framework as it currently stands is a meaningful improvement over unweighted signal application, but it is a starting point rather than a final product.</w:t>
      </w:r>
    </w:p>
    <w:p w14:paraId="62C89934" w14:textId="77777777" w:rsidR="003D6BE1" w:rsidRPr="00741319" w:rsidRDefault="00000000" w:rsidP="00741319">
      <w:pPr>
        <w:spacing w:line="360" w:lineRule="auto"/>
        <w:rPr>
          <w:rFonts w:ascii="Times New Roman" w:hAnsi="Times New Roman" w:cs="Times New Roman"/>
        </w:rPr>
      </w:pPr>
      <w:r w:rsidRPr="00741319">
        <w:rPr>
          <w:rFonts w:ascii="Times New Roman" w:hAnsi="Times New Roman" w:cs="Times New Roman"/>
        </w:rPr>
        <w:br w:type="page"/>
      </w:r>
    </w:p>
    <w:p w14:paraId="44AA474B" w14:textId="77777777" w:rsidR="003D6BE1" w:rsidRPr="00741319" w:rsidRDefault="00000000" w:rsidP="00741319">
      <w:pPr>
        <w:pStyle w:val="Heading1"/>
        <w:spacing w:line="360" w:lineRule="auto"/>
        <w:rPr>
          <w:rFonts w:ascii="Times New Roman" w:hAnsi="Times New Roman" w:cs="Times New Roman"/>
        </w:rPr>
      </w:pPr>
      <w:r w:rsidRPr="00741319">
        <w:rPr>
          <w:rFonts w:ascii="Times New Roman" w:hAnsi="Times New Roman" w:cs="Times New Roman"/>
        </w:rPr>
        <w:lastRenderedPageBreak/>
        <w:t>Chapter 5: Integrated Stock Selection</w:t>
      </w:r>
    </w:p>
    <w:p w14:paraId="537DD532"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5.1 Bringing Quality and Value Together</w:t>
      </w:r>
    </w:p>
    <w:p w14:paraId="1D68CDE9"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integrated stock selection process combines the fundamental scores from Chapter 3 with the technically timed signals from Chapter 4. A company qualifies for consideration only if it demonstrates financial strength on the fundamental scorecard and offers a favourable technical setup. This two-stage filter prevents the selection of fundamentally weak companies based on positive chart momentum, and avoids entering fundamentally strong companies at technically overbought levels.</w:t>
      </w:r>
    </w:p>
    <w:p w14:paraId="58B028F4"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5.2 Significance of the Combined Approach</w:t>
      </w:r>
    </w:p>
    <w:p w14:paraId="791FF327"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combined approach is significant because fundamental quality and technical attractiveness are independent dimensions. A company can be fundamentally excellent but technically overextended, meaning that even a correct fundamental assessment can lead to poor short-term returns if entry timing is ignored. Conversely, a company with improving technical momentum may not have the underlying financial strength to sustain its price appreciation. The integrated framework navigates this by requiring both conditions to be met simultaneously.</w:t>
      </w:r>
    </w:p>
    <w:p w14:paraId="59C00931"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5.3 Investment Rationale for the Selected Companies</w:t>
      </w:r>
    </w:p>
    <w:p w14:paraId="372D778A"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integrated analysis points to LIC of India and GIC Re as the two companies that best satisfy both the fundamental quality and technical value conditions. LIC offers unmatched scale, improving persistency, strong embedded value, and a valuation that remains attractive relative to its financial profile. GIC Re combines disciplined underwriting with a solvency position that is well above regulatory requirements, and its valuation is modest relative to its profitability and capital strength. Both companies offer the kind of alignment between business quality and market price that supports a well-grounded long-term investment case.</w:t>
      </w:r>
    </w:p>
    <w:p w14:paraId="664FC1B2" w14:textId="77777777" w:rsidR="003D6BE1" w:rsidRPr="00741319" w:rsidRDefault="00000000" w:rsidP="00741319">
      <w:pPr>
        <w:spacing w:line="360" w:lineRule="auto"/>
        <w:rPr>
          <w:rFonts w:ascii="Times New Roman" w:hAnsi="Times New Roman" w:cs="Times New Roman"/>
        </w:rPr>
      </w:pPr>
      <w:r w:rsidRPr="00741319">
        <w:rPr>
          <w:rFonts w:ascii="Times New Roman" w:hAnsi="Times New Roman" w:cs="Times New Roman"/>
        </w:rPr>
        <w:br w:type="page"/>
      </w:r>
    </w:p>
    <w:p w14:paraId="1CC6BE54" w14:textId="77777777" w:rsidR="003D6BE1" w:rsidRPr="00741319" w:rsidRDefault="00000000" w:rsidP="00741319">
      <w:pPr>
        <w:pStyle w:val="Heading1"/>
        <w:spacing w:line="360" w:lineRule="auto"/>
        <w:rPr>
          <w:rFonts w:ascii="Times New Roman" w:hAnsi="Times New Roman" w:cs="Times New Roman"/>
        </w:rPr>
      </w:pPr>
      <w:r w:rsidRPr="00741319">
        <w:rPr>
          <w:rFonts w:ascii="Times New Roman" w:hAnsi="Times New Roman" w:cs="Times New Roman"/>
        </w:rPr>
        <w:lastRenderedPageBreak/>
        <w:t>Chapter 6: Valuation – DCF and Why Insurers Are Different</w:t>
      </w:r>
    </w:p>
    <w:p w14:paraId="0F806F3D"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6.1 Understanding the DCF Approach</w:t>
      </w:r>
    </w:p>
    <w:p w14:paraId="4D383F04"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One of the important learning experiences during the internship was understanding how to build a Discounted Cash Flow (DCF) model from scratch. As part of the training process, a complete three-statement financial model and DCF valuation was built using Alembic Pharmaceuticals. A non-financial company was chosen because it provides a straightforward environment for learning the fundamentals of valuation.</w:t>
      </w:r>
    </w:p>
    <w:p w14:paraId="01D65DB7"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key steps involved in a DCF model include: forecasting financial performance, estimating Free Cash Flow to the Firm (FCFF), discounting future cash flows using the Weighted Average Cost of Capital (WACC), calculating terminal value, and ultimately arriving at an estimate of intrinsic value (Damodaran, 2012).</w:t>
      </w:r>
    </w:p>
    <w:p w14:paraId="17D5E01E"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Although the exercise helped in understanding the mechanics of valuation, it also highlighted an important point: the traditional DCF framework that works well for manufacturing and service companies is not always suitable for insurance companies. This realization became an important part of the learning process and shaped the valuation approach used in this study.</w:t>
      </w:r>
    </w:p>
    <w:p w14:paraId="03039FF1"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6.2 Why a Traditional DCF Has Limitations for Insurers</w:t>
      </w:r>
    </w:p>
    <w:p w14:paraId="3D1B9E24"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A conventional FCFF-based DCF model assumes that operating activities and financing activities can be separated clearly. For most non-financial companies, this distinction is relatively straightforward. However, insurance companies operate differently.</w:t>
      </w:r>
    </w:p>
    <w:p w14:paraId="678EB0C2"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For an insurer, collecting premiums, managing policy liabilities, and investing funds are all core business activities. As a result, separating operating cash flows from financing cash flows becomes difficult and can lead to valuation estimates that do not fully reflect the economics of the business.</w:t>
      </w:r>
    </w:p>
    <w:p w14:paraId="681FDF9C"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Another challenge arises particularly in the case of life insurance companies. The value created when a policy is sold is often realised gradually over many years. Therefore, the profits reported in a single financial year may not fully capture the economic value of the business. A valuation model based only on current-period cash flows may overlook a significant portion of the value embedded within the existing insurance portfolio.</w:t>
      </w:r>
    </w:p>
    <w:p w14:paraId="29D25B69"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Because of these characteristics, insurance companies are generally valued using approaches that are specifically designed for the sector rather than relying solely on traditional FCFF-based DCF models.</w:t>
      </w:r>
    </w:p>
    <w:p w14:paraId="060988AA"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6.3 Valuation Approaches Used for Insurance Companies</w:t>
      </w:r>
    </w:p>
    <w:p w14:paraId="36CC9A1B"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lastRenderedPageBreak/>
        <w:t>The insurance industry commonly uses valuation techniques that better reflect the nature of insurance businesses.</w:t>
      </w:r>
    </w:p>
    <w:p w14:paraId="6240C810"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For life insurers, one of the most widely accepted approaches is the Embedded Value (EV) framework. Embedded Value represents the net worth of the company together with the present value of future profits expected from the existing business. Analysts also consider the Value of New Business (VNB), which measures the profitability of newly issued policies.</w:t>
      </w:r>
    </w:p>
    <w:p w14:paraId="6A47E7E0"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For general insurance companies, valuation is often based on equity-focused approaches such as dividend discount models, excess return models, and relative valuation measures. Market participants frequently use sector-specific valuation multiples such as Price-to-Embedded Value (P/EV) and Price-to-Book Value (P/BV) because these measures are better suited to insurance businesses (Damodaran, 2012).</w:t>
      </w:r>
    </w:p>
    <w:p w14:paraId="639762F3"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For the two companies selected in this study, LIC of India and GIC of India, valuation was therefore assessed using a relative valuation approach rather than applying a traditional DCF model. LIC appears attractively valued when viewed against its strong return on equity and growth profile. Similarly, GIC combines strong solvency, profitability, and investment performance with a valuation that remains reasonable relative to its fundamentals.</w:t>
      </w:r>
    </w:p>
    <w:p w14:paraId="41BBF7AB"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6.4 Investment Decision Framework</w:t>
      </w:r>
    </w:p>
    <w:p w14:paraId="63192A78"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final investment framework used in this study combines three elements: business quality, valuation attractiveness, and sector-appropriate valuation methods.</w:t>
      </w:r>
    </w:p>
    <w:p w14:paraId="577F2525"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A low valuation multiple by itself is not sufficient to justify an investment if the underlying business lacks financial strength. Similarly, a high-quality company may not always be an attractive investment if its future growth expectations are already fully reflected in its market price.</w:t>
      </w:r>
    </w:p>
    <w:p w14:paraId="43C0D754"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objective, therefore, is to identify companies where business quality and valuation are aligned. Based on the analysis conducted in this report, GIC of India and LIC of India satisfied these conditions more effectively than the other insurers included in the study. These two companies form the foundation of the recommended portfolio presented in the next chapter.</w:t>
      </w:r>
    </w:p>
    <w:p w14:paraId="58119804" w14:textId="77777777" w:rsidR="003D6BE1" w:rsidRPr="00741319" w:rsidRDefault="00000000" w:rsidP="00741319">
      <w:pPr>
        <w:spacing w:line="360" w:lineRule="auto"/>
        <w:rPr>
          <w:rFonts w:ascii="Times New Roman" w:hAnsi="Times New Roman" w:cs="Times New Roman"/>
        </w:rPr>
      </w:pPr>
      <w:r w:rsidRPr="00741319">
        <w:rPr>
          <w:rFonts w:ascii="Times New Roman" w:hAnsi="Times New Roman" w:cs="Times New Roman"/>
        </w:rPr>
        <w:br w:type="page"/>
      </w:r>
    </w:p>
    <w:p w14:paraId="3601BDE0" w14:textId="77777777" w:rsidR="003D6BE1" w:rsidRPr="00741319" w:rsidRDefault="00000000" w:rsidP="00741319">
      <w:pPr>
        <w:pStyle w:val="Heading1"/>
        <w:spacing w:line="360" w:lineRule="auto"/>
        <w:rPr>
          <w:rFonts w:ascii="Times New Roman" w:hAnsi="Times New Roman" w:cs="Times New Roman"/>
        </w:rPr>
      </w:pPr>
      <w:r w:rsidRPr="00741319">
        <w:rPr>
          <w:rFonts w:ascii="Times New Roman" w:hAnsi="Times New Roman" w:cs="Times New Roman"/>
        </w:rPr>
        <w:lastRenderedPageBreak/>
        <w:t>Chapter 7: Portfolio Recommendation</w:t>
      </w:r>
    </w:p>
    <w:p w14:paraId="7BDE0DD7"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recommended portfolio concentrates on LIC of India and GIC Re as the core holdings, with the remaining three companies — HDFC Life, SBI Life, and ICICI Prudential — acknowledged as high-quality businesses that may offer entry opportunities at more attractive valuations.</w:t>
      </w:r>
    </w:p>
    <w:p w14:paraId="10C5FEA6"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portfolio reflects the full analytical process: companies were not selected on any single criterion but on the convergence of fundamental quality, technical timing, and valuation reasonableness. This multi-lens approach reduces the risk of confirmation bias and ensures that each holding can be justified on more than one independent dimension.</w:t>
      </w:r>
    </w:p>
    <w:p w14:paraId="16C6DE6E" w14:textId="77777777" w:rsidR="003D6BE1" w:rsidRPr="00741319" w:rsidRDefault="003D6BE1" w:rsidP="00741319">
      <w:pPr>
        <w:spacing w:after="80" w:line="360" w:lineRule="auto"/>
        <w:rPr>
          <w:rFonts w:ascii="Times New Roman" w:hAnsi="Times New Roman" w:cs="Times New Roman"/>
        </w:rPr>
      </w:pPr>
    </w:p>
    <w:p w14:paraId="664FD74F" w14:textId="77777777" w:rsidR="003D6BE1" w:rsidRPr="00741319" w:rsidRDefault="00000000" w:rsidP="00741319">
      <w:pPr>
        <w:spacing w:after="80" w:line="360" w:lineRule="auto"/>
        <w:rPr>
          <w:rFonts w:ascii="Times New Roman" w:hAnsi="Times New Roman" w:cs="Times New Roman"/>
        </w:rPr>
      </w:pPr>
      <w:r w:rsidRPr="00741319">
        <w:rPr>
          <w:rFonts w:ascii="Times New Roman" w:hAnsi="Times New Roman" w:cs="Times New Roman"/>
          <w:b/>
          <w:bCs/>
          <w:color w:val="1F4E79"/>
          <w:sz w:val="24"/>
          <w:szCs w:val="24"/>
        </w:rPr>
        <w:t>Core Holdings:</w:t>
      </w:r>
    </w:p>
    <w:p w14:paraId="2003D821"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LIC of India — Primary holding. Unmatched scale, strong embedded value, improving persistency, and attractive relative valuation.</w:t>
      </w:r>
    </w:p>
    <w:p w14:paraId="4E872914"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GIC Re — Primary holding. Disciplined underwriting, robust solvency, and modest valuation relative to profitability.</w:t>
      </w:r>
    </w:p>
    <w:p w14:paraId="323FBBDC" w14:textId="77777777" w:rsidR="003D6BE1" w:rsidRPr="00741319" w:rsidRDefault="003D6BE1" w:rsidP="00741319">
      <w:pPr>
        <w:spacing w:after="80" w:line="360" w:lineRule="auto"/>
        <w:rPr>
          <w:rFonts w:ascii="Times New Roman" w:hAnsi="Times New Roman" w:cs="Times New Roman"/>
        </w:rPr>
      </w:pPr>
    </w:p>
    <w:p w14:paraId="5216A75C" w14:textId="77777777" w:rsidR="003D6BE1" w:rsidRPr="00741319" w:rsidRDefault="00000000" w:rsidP="00741319">
      <w:pPr>
        <w:spacing w:after="80" w:line="360" w:lineRule="auto"/>
        <w:rPr>
          <w:rFonts w:ascii="Times New Roman" w:hAnsi="Times New Roman" w:cs="Times New Roman"/>
        </w:rPr>
      </w:pPr>
      <w:r w:rsidRPr="00741319">
        <w:rPr>
          <w:rFonts w:ascii="Times New Roman" w:hAnsi="Times New Roman" w:cs="Times New Roman"/>
          <w:b/>
          <w:bCs/>
          <w:color w:val="595959"/>
          <w:sz w:val="24"/>
          <w:szCs w:val="24"/>
        </w:rPr>
        <w:t>Watch List (Quality businesses, await better entry points):</w:t>
      </w:r>
    </w:p>
    <w:p w14:paraId="4A1F565A"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HDFC Life Insurance</w:t>
      </w:r>
    </w:p>
    <w:p w14:paraId="2F40A40C"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SBI Life Insurance</w:t>
      </w:r>
    </w:p>
    <w:p w14:paraId="5DE222AB"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ICICI Prudential Life Insurance</w:t>
      </w:r>
    </w:p>
    <w:p w14:paraId="4758F0CF" w14:textId="77777777" w:rsidR="003D6BE1" w:rsidRPr="00741319" w:rsidRDefault="00000000" w:rsidP="00741319">
      <w:pPr>
        <w:spacing w:line="360" w:lineRule="auto"/>
        <w:rPr>
          <w:rFonts w:ascii="Times New Roman" w:hAnsi="Times New Roman" w:cs="Times New Roman"/>
        </w:rPr>
      </w:pPr>
      <w:r w:rsidRPr="00741319">
        <w:rPr>
          <w:rFonts w:ascii="Times New Roman" w:hAnsi="Times New Roman" w:cs="Times New Roman"/>
        </w:rPr>
        <w:br w:type="page"/>
      </w:r>
    </w:p>
    <w:p w14:paraId="3A1B0440" w14:textId="77777777" w:rsidR="003D6BE1" w:rsidRPr="00741319" w:rsidRDefault="00000000" w:rsidP="00741319">
      <w:pPr>
        <w:pStyle w:val="Heading1"/>
        <w:spacing w:line="360" w:lineRule="auto"/>
        <w:rPr>
          <w:rFonts w:ascii="Times New Roman" w:hAnsi="Times New Roman" w:cs="Times New Roman"/>
        </w:rPr>
      </w:pPr>
      <w:r w:rsidRPr="00741319">
        <w:rPr>
          <w:rFonts w:ascii="Times New Roman" w:hAnsi="Times New Roman" w:cs="Times New Roman"/>
        </w:rPr>
        <w:lastRenderedPageBreak/>
        <w:t xml:space="preserve">Chapter 8: Screening Frameworks and </w:t>
      </w:r>
      <w:proofErr w:type="spellStart"/>
      <w:r w:rsidRPr="00741319">
        <w:rPr>
          <w:rFonts w:ascii="Times New Roman" w:hAnsi="Times New Roman" w:cs="Times New Roman"/>
        </w:rPr>
        <w:t>Smallcase</w:t>
      </w:r>
      <w:proofErr w:type="spellEnd"/>
      <w:r w:rsidRPr="00741319">
        <w:rPr>
          <w:rFonts w:ascii="Times New Roman" w:hAnsi="Times New Roman" w:cs="Times New Roman"/>
        </w:rPr>
        <w:t xml:space="preserve"> Implementation</w:t>
      </w:r>
    </w:p>
    <w:p w14:paraId="397ED6EE"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8.1 Why Screening and the Different Investment Approaches</w:t>
      </w:r>
    </w:p>
    <w:p w14:paraId="52082D78"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While the earlier chapters focused on analysing insurance companies, another important part of the internship involved learning how investors identify opportunities across a much larger universe of stocks. A stock screener allows investors to apply predefined financial criteria to a large number of companies and identify those that match a particular investment philosophy.</w:t>
      </w:r>
    </w:p>
    <w:p w14:paraId="1EC53999"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 xml:space="preserve">Six different screening frameworks were developed based on well-known investment approaches. Each framework was then implemented as a </w:t>
      </w:r>
      <w:proofErr w:type="spellStart"/>
      <w:r w:rsidRPr="00741319">
        <w:rPr>
          <w:rFonts w:ascii="Times New Roman" w:hAnsi="Times New Roman" w:cs="Times New Roman"/>
        </w:rPr>
        <w:t>Smallcase</w:t>
      </w:r>
      <w:proofErr w:type="spellEnd"/>
      <w:r w:rsidRPr="00741319">
        <w:rPr>
          <w:rFonts w:ascii="Times New Roman" w:hAnsi="Times New Roman" w:cs="Times New Roman"/>
        </w:rPr>
        <w:t xml:space="preserve"> portfolio so that its performance could be tracked over time.</w:t>
      </w:r>
    </w:p>
    <w:p w14:paraId="0F3F76BB" w14:textId="77777777" w:rsidR="003D6BE1" w:rsidRPr="00741319" w:rsidRDefault="00000000" w:rsidP="00741319">
      <w:pPr>
        <w:pStyle w:val="Heading3"/>
        <w:spacing w:line="360" w:lineRule="auto"/>
        <w:rPr>
          <w:rFonts w:ascii="Times New Roman" w:hAnsi="Times New Roman" w:cs="Times New Roman"/>
        </w:rPr>
      </w:pPr>
      <w:r w:rsidRPr="00741319">
        <w:rPr>
          <w:rFonts w:ascii="Times New Roman" w:hAnsi="Times New Roman" w:cs="Times New Roman"/>
        </w:rPr>
        <w:t>The Six Screening Frameworks</w:t>
      </w:r>
    </w:p>
    <w:p w14:paraId="10BA96BD"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Institutional Growth — Large, established companies with consistent growth and characteristics preferred by institutional investors.</w:t>
      </w:r>
    </w:p>
    <w:p w14:paraId="613589FB"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Buffett Value — Inspired by Warren Buffett's principles; financially strong businesses with sustainable competitive advantages and reasonable valuations.</w:t>
      </w:r>
    </w:p>
    <w:p w14:paraId="5DFB3A4C"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Peter Lynch GARP — Growth at a Reasonable Price; emphasises PEG ratio to find companies growing steadily without excessive valuation.</w:t>
      </w:r>
    </w:p>
    <w:p w14:paraId="09F866D4"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Growth Investing — Targets companies with strong revenue and earnings growth, even at relatively higher valuation multiples.</w:t>
      </w:r>
    </w:p>
    <w:p w14:paraId="198D981A"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Multibagger Discovery — Focuses on smaller companies with strong growth potential and higher acceptable risk levels.</w:t>
      </w:r>
    </w:p>
    <w:p w14:paraId="6810E30D"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High ROCE and Low PE — Identifies companies generating efficient returns on capital while trading at comparatively lower valuation multiples.</w:t>
      </w:r>
    </w:p>
    <w:p w14:paraId="6AE3601B"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 xml:space="preserve">8.2 Comparative Evaluation and </w:t>
      </w:r>
      <w:proofErr w:type="spellStart"/>
      <w:r w:rsidRPr="00741319">
        <w:rPr>
          <w:rFonts w:ascii="Times New Roman" w:hAnsi="Times New Roman" w:cs="Times New Roman"/>
        </w:rPr>
        <w:t>Smallcase</w:t>
      </w:r>
      <w:proofErr w:type="spellEnd"/>
      <w:r w:rsidRPr="00741319">
        <w:rPr>
          <w:rFonts w:ascii="Times New Roman" w:hAnsi="Times New Roman" w:cs="Times New Roman"/>
        </w:rPr>
        <w:t xml:space="preserve"> Tracking</w:t>
      </w:r>
    </w:p>
    <w:p w14:paraId="2FEAEBB6"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 xml:space="preserve">After creating the screening frameworks, each one was implemented and tracked through </w:t>
      </w:r>
      <w:proofErr w:type="spellStart"/>
      <w:r w:rsidRPr="00741319">
        <w:rPr>
          <w:rFonts w:ascii="Times New Roman" w:hAnsi="Times New Roman" w:cs="Times New Roman"/>
        </w:rPr>
        <w:t>Smallcase</w:t>
      </w:r>
      <w:proofErr w:type="spellEnd"/>
      <w:r w:rsidRPr="00741319">
        <w:rPr>
          <w:rFonts w:ascii="Times New Roman" w:hAnsi="Times New Roman" w:cs="Times New Roman"/>
        </w:rPr>
        <w:t xml:space="preserve"> portfolios. Because the portfolios were created in May 2026, the available data covers only a few weeks. Results should therefore be viewed as preliminary observations rather than evidence of long-term strategy performance.</w:t>
      </w:r>
    </w:p>
    <w:p w14:paraId="6261815A" w14:textId="77777777" w:rsidR="003D6BE1" w:rsidRPr="00741319" w:rsidRDefault="003D6BE1" w:rsidP="00741319">
      <w:pPr>
        <w:spacing w:after="80" w:line="360" w:lineRule="auto"/>
        <w:rPr>
          <w:rFonts w:ascii="Times New Roman" w:hAnsi="Times New Roman" w:cs="Times New Roman"/>
        </w:rPr>
      </w:pPr>
    </w:p>
    <w:p w14:paraId="51AC4A89" w14:textId="77777777" w:rsidR="003D6BE1" w:rsidRPr="00741319" w:rsidRDefault="00000000" w:rsidP="00741319">
      <w:pPr>
        <w:spacing w:after="80" w:line="360" w:lineRule="auto"/>
        <w:rPr>
          <w:rFonts w:ascii="Times New Roman" w:hAnsi="Times New Roman" w:cs="Times New Roman"/>
        </w:rPr>
      </w:pPr>
      <w:r w:rsidRPr="00741319">
        <w:rPr>
          <w:rFonts w:ascii="Times New Roman" w:hAnsi="Times New Roman" w:cs="Times New Roman"/>
          <w:b/>
          <w:bCs/>
          <w:color w:val="1F4E79"/>
        </w:rPr>
        <w:t>Early Tracking Results (as of June 2026):</w:t>
      </w:r>
    </w:p>
    <w:p w14:paraId="59B458BD"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lastRenderedPageBreak/>
        <w:t>Institutional Growth (Method-1): +0.35% since 20 May 2026</w:t>
      </w:r>
    </w:p>
    <w:p w14:paraId="76BD24DF"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Buffett Value (Method-2): −1.01% since 23 May 2026</w:t>
      </w:r>
    </w:p>
    <w:p w14:paraId="513C7386"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Peter Lynch GARP (Method-3): −2.64% since 26 May 2026</w:t>
      </w:r>
    </w:p>
    <w:p w14:paraId="1728C6E8"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Growth Stock: −1.10% since 22 May 2026</w:t>
      </w:r>
    </w:p>
    <w:p w14:paraId="126362FD"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Multibagger Discovery: +2.62% since 23 May 2026</w:t>
      </w:r>
    </w:p>
    <w:p w14:paraId="09D939F0"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High ROCE and Low PE (Method-6): −3.65% since 25 May 2026</w:t>
      </w:r>
    </w:p>
    <w:p w14:paraId="6D905E3D" w14:textId="77777777" w:rsidR="003D6BE1" w:rsidRPr="00741319" w:rsidRDefault="003D6BE1" w:rsidP="00741319">
      <w:pPr>
        <w:spacing w:after="80" w:line="360" w:lineRule="auto"/>
        <w:rPr>
          <w:rFonts w:ascii="Times New Roman" w:hAnsi="Times New Roman" w:cs="Times New Roman"/>
        </w:rPr>
      </w:pPr>
    </w:p>
    <w:p w14:paraId="567C30E3"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Note: Observation windows of only a few weeks; returns are indicative only and are not comparable across frameworks due to different start dates.</w:t>
      </w:r>
    </w:p>
    <w:p w14:paraId="756C4F80"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8.3 Key Learnings from the Screening Exercise</w:t>
      </w:r>
    </w:p>
    <w:p w14:paraId="5732D5F0"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At first glance, the Multibagger Discovery framework appears to have delivered the strongest return during the observation period. However, drawing conclusions based solely on a few weeks of performance would not be appropriate. A meaningful comparison between investment strategies requires a longer evaluation period, ideally across different market conditions and economic cycles.</w:t>
      </w:r>
    </w:p>
    <w:p w14:paraId="54463C84"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From a theoretical perspective, quality and value-based approaches such as Buffett Value, Peter Lynch GARP, and High ROCE with Low PE continue to have strong support in both academic research and investment practice. Although their short-term returns may fluctuate, these strategies are often associated with long-term wealth creation.</w:t>
      </w:r>
    </w:p>
    <w:p w14:paraId="258C761C"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most valuable outcome of this exercise was not the early performance numbers but the process itself — building the screening frameworks helped translate different investment philosophies into measurable financial criteria and provided practical exposure to portfolio monitoring and performance evaluation.</w:t>
      </w:r>
    </w:p>
    <w:p w14:paraId="189BE811" w14:textId="77777777" w:rsidR="003D6BE1" w:rsidRPr="00741319" w:rsidRDefault="00000000" w:rsidP="00741319">
      <w:pPr>
        <w:spacing w:line="360" w:lineRule="auto"/>
        <w:rPr>
          <w:rFonts w:ascii="Times New Roman" w:hAnsi="Times New Roman" w:cs="Times New Roman"/>
        </w:rPr>
      </w:pPr>
      <w:r w:rsidRPr="00741319">
        <w:rPr>
          <w:rFonts w:ascii="Times New Roman" w:hAnsi="Times New Roman" w:cs="Times New Roman"/>
        </w:rPr>
        <w:br w:type="page"/>
      </w:r>
    </w:p>
    <w:p w14:paraId="30228A20" w14:textId="77777777" w:rsidR="003D6BE1" w:rsidRPr="00741319" w:rsidRDefault="00000000" w:rsidP="00741319">
      <w:pPr>
        <w:pStyle w:val="Heading1"/>
        <w:spacing w:line="360" w:lineRule="auto"/>
        <w:rPr>
          <w:rFonts w:ascii="Times New Roman" w:hAnsi="Times New Roman" w:cs="Times New Roman"/>
        </w:rPr>
      </w:pPr>
      <w:r w:rsidRPr="00741319">
        <w:rPr>
          <w:rFonts w:ascii="Times New Roman" w:hAnsi="Times New Roman" w:cs="Times New Roman"/>
        </w:rPr>
        <w:lastRenderedPageBreak/>
        <w:t>Chapter 9: A Proposed AI-Assisted Underwriting Triage Workflow</w:t>
      </w:r>
    </w:p>
    <w:p w14:paraId="3819BF13"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9.1 Background of the Idea</w:t>
      </w:r>
    </w:p>
    <w:p w14:paraId="4EC40063"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During the internship, aspects of HDFC Life's operations beyond equity research were observed. One area that stood out as a candidate for process improvement was term insurance underwriting. The current underwriting process is document-intensive and largely manual, which creates delays in policy issuance and introduces variability in risk assessment outcomes.</w:t>
      </w:r>
    </w:p>
    <w:p w14:paraId="504FB08D"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9.2 Understanding the Problem</w:t>
      </w:r>
    </w:p>
    <w:p w14:paraId="1C350238"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Term insurance underwriting requires the collection and cross-validation of multiple documents, including KYC forms, income proof, bank statements, medical examination reports, and income tax returns. Each of these documents must be reviewed individually and checked for consistency. In high-volume periods, manual processing creates bottlenecks, and the risk of human error increases. Turnaround time from application to policy issuance is consequently longer than it could be with automated support.</w:t>
      </w:r>
    </w:p>
    <w:p w14:paraId="38A2CE86"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9.3 Proposed AI-Assisted Workflow</w:t>
      </w:r>
    </w:p>
    <w:p w14:paraId="58D9BCA6"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proposed workflow uses the following modules in sequence:</w:t>
      </w:r>
    </w:p>
    <w:p w14:paraId="34272192"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OCR extraction: Structured data extracted from documents at the point of submission.</w:t>
      </w:r>
    </w:p>
    <w:p w14:paraId="5C3F9BC7"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Cross-document validation: Algorithms check for consistency across KYC information, income declarations, and bank statement data.</w:t>
      </w:r>
    </w:p>
    <w:p w14:paraId="0F4814E9"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Income eligibility module: Assesses whether the sum assured requested is within appropriate limits given verified income.</w:t>
      </w:r>
    </w:p>
    <w:p w14:paraId="5B56EC89"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Medical risk assessment module: Flags applications where reported health details require closer review.</w:t>
      </w:r>
    </w:p>
    <w:p w14:paraId="30BD1EF5"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Risk-scoring engine: Categorises each application as (a) straightforward approval, (b) further review required, or (c) escalation to senior underwriter.</w:t>
      </w:r>
    </w:p>
    <w:p w14:paraId="62597904"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9.4 Demonstration, Benefits, and Limitations</w:t>
      </w:r>
    </w:p>
    <w:p w14:paraId="1D846A64"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 xml:space="preserve">The primary benefit of this workflow is a reduction in processing time for straightforward applications, which represent the majority of term insurance submissions. Human underwriters are freed from routine document </w:t>
      </w:r>
      <w:r w:rsidRPr="00741319">
        <w:rPr>
          <w:rFonts w:ascii="Times New Roman" w:hAnsi="Times New Roman" w:cs="Times New Roman"/>
        </w:rPr>
        <w:lastRenderedPageBreak/>
        <w:t>validation and can focus their expertise on genuinely complex cases. The proposal also reduces the variability that arises when different reviewers apply different thresholds to similar cases.</w:t>
      </w:r>
    </w:p>
    <w:p w14:paraId="7BF2534B"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main limitation is that AI-based document processing is only as reliable as the quality of the input data. Poor-quality scans, handwritten forms, or documents in non-standard formats may reduce extraction accuracy. The system would also require periodic retraining as document formats and underwriting guidelines evolve.</w:t>
      </w:r>
    </w:p>
    <w:p w14:paraId="1A7263B4"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9.5 Current Status and Future Scope</w:t>
      </w:r>
    </w:p>
    <w:p w14:paraId="3167A2D2"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proposal remains at the design and concept stage. No implementation has been undertaken, and no confidential HDFC Life data was used in developing the concept. Future scope could include integration with the IRDAI-mandated insurance repository, real-time medical data APIs, and bureau-based income verification services. If implemented, the workflow has the potential to meaningfully improve the customer experience for term insurance applicants while maintaining underwriting rigour.</w:t>
      </w:r>
    </w:p>
    <w:p w14:paraId="6FDE0F21" w14:textId="77777777" w:rsidR="003D6BE1" w:rsidRPr="00741319" w:rsidRDefault="00000000" w:rsidP="00741319">
      <w:pPr>
        <w:spacing w:line="360" w:lineRule="auto"/>
        <w:rPr>
          <w:rFonts w:ascii="Times New Roman" w:hAnsi="Times New Roman" w:cs="Times New Roman"/>
        </w:rPr>
      </w:pPr>
      <w:r w:rsidRPr="00741319">
        <w:rPr>
          <w:rFonts w:ascii="Times New Roman" w:hAnsi="Times New Roman" w:cs="Times New Roman"/>
        </w:rPr>
        <w:br w:type="page"/>
      </w:r>
    </w:p>
    <w:p w14:paraId="34F751B6" w14:textId="77777777" w:rsidR="003D6BE1" w:rsidRPr="00741319" w:rsidRDefault="00000000" w:rsidP="00741319">
      <w:pPr>
        <w:pStyle w:val="Heading1"/>
        <w:spacing w:line="360" w:lineRule="auto"/>
        <w:rPr>
          <w:rFonts w:ascii="Times New Roman" w:hAnsi="Times New Roman" w:cs="Times New Roman"/>
        </w:rPr>
      </w:pPr>
      <w:r w:rsidRPr="00741319">
        <w:rPr>
          <w:rFonts w:ascii="Times New Roman" w:hAnsi="Times New Roman" w:cs="Times New Roman"/>
        </w:rPr>
        <w:lastRenderedPageBreak/>
        <w:t>Chapter 10: Conclusions and Recommendations</w:t>
      </w:r>
    </w:p>
    <w:p w14:paraId="0F067C2D"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10.1 Principal Conclusions</w:t>
      </w:r>
    </w:p>
    <w:p w14:paraId="06D681A6"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analysis presented in this report leads to three principal conclusions.</w:t>
      </w:r>
    </w:p>
    <w:p w14:paraId="6E3872BA"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First, fundamental analysis of insurance companies must use sector-specific metrics. Standard corporate finance ratios, applied without adaptation, will produce misleading assessments of insurance business quality. The five-ratio framework used here — covering profitability, persistency, underwriting quality, solvency, and embedded value growth — provides a more reliable basis for comparison.</w:t>
      </w:r>
    </w:p>
    <w:p w14:paraId="069636F8"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Second, technical indicators are not equally reliable. The back-testing evidence establishes that the Moving Average is the strongest signal for insurance stocks, while RSI and VWAP have negative expected value when used as standalone triggers. Investors and analysts should adopt an evidence-weighted approach to technical signals rather than treating them symmetrically.</w:t>
      </w:r>
    </w:p>
    <w:p w14:paraId="4BC78310"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Third, LIC of India and GIC Re represent the most compelling investment opportunities within the current insurance sector universe. Both companies combine financial strength with valuation that has not fully reflected their fundamental quality. The integrated framework — rather than any single analytical dimension — supports this conclusion.</w:t>
      </w:r>
    </w:p>
    <w:p w14:paraId="3FFBD4C7"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10.2 Recommendations</w:t>
      </w:r>
    </w:p>
    <w:p w14:paraId="3B1EB993"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For investors evaluating the Indian insurance sector, the following recommendations are made:</w:t>
      </w:r>
    </w:p>
    <w:p w14:paraId="24C209BB"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Use Embedded Value and VNB growth as the primary lens for assessing life insurers, supplemented by persistency ratios as a measure of business quality durability.</w:t>
      </w:r>
    </w:p>
    <w:p w14:paraId="42FC0FCB"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For general insurers, anchor valuation on the combined ratio and solvency position.</w:t>
      </w:r>
    </w:p>
    <w:p w14:paraId="5AF6B5D0"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When applying technical analysis, weight Moving Average signals most heavily and treat RSI and VWAP signals as contextual rather than actionable on their own.</w:t>
      </w:r>
    </w:p>
    <w:p w14:paraId="45A9C8F3"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Enter positions where both fundamental quality and technical timing support the case.</w:t>
      </w:r>
    </w:p>
    <w:p w14:paraId="1D8EEAB2" w14:textId="77777777" w:rsidR="003D6BE1" w:rsidRPr="00741319" w:rsidRDefault="00000000" w:rsidP="00741319">
      <w:pPr>
        <w:pStyle w:val="ListParagraph"/>
        <w:numPr>
          <w:ilvl w:val="0"/>
          <w:numId w:val="2"/>
        </w:numPr>
        <w:spacing w:after="80" w:line="360" w:lineRule="auto"/>
        <w:rPr>
          <w:rFonts w:ascii="Times New Roman" w:hAnsi="Times New Roman" w:cs="Times New Roman"/>
        </w:rPr>
      </w:pPr>
      <w:r w:rsidRPr="00741319">
        <w:rPr>
          <w:rFonts w:ascii="Times New Roman" w:hAnsi="Times New Roman" w:cs="Times New Roman"/>
        </w:rPr>
        <w:t>LIC and GIC Re are the recommended initial holdings based on the analysis in this report.</w:t>
      </w:r>
    </w:p>
    <w:p w14:paraId="0ECE6F08" w14:textId="77777777" w:rsidR="003D6BE1" w:rsidRPr="00741319" w:rsidRDefault="00000000" w:rsidP="00741319">
      <w:pPr>
        <w:spacing w:line="360" w:lineRule="auto"/>
        <w:rPr>
          <w:rFonts w:ascii="Times New Roman" w:hAnsi="Times New Roman" w:cs="Times New Roman"/>
        </w:rPr>
      </w:pPr>
      <w:r w:rsidRPr="00741319">
        <w:rPr>
          <w:rFonts w:ascii="Times New Roman" w:hAnsi="Times New Roman" w:cs="Times New Roman"/>
        </w:rPr>
        <w:br w:type="page"/>
      </w:r>
    </w:p>
    <w:p w14:paraId="20863A82" w14:textId="77777777" w:rsidR="003D6BE1" w:rsidRPr="00741319" w:rsidRDefault="00000000" w:rsidP="00741319">
      <w:pPr>
        <w:pStyle w:val="Heading1"/>
        <w:spacing w:line="360" w:lineRule="auto"/>
        <w:rPr>
          <w:rFonts w:ascii="Times New Roman" w:hAnsi="Times New Roman" w:cs="Times New Roman"/>
        </w:rPr>
      </w:pPr>
      <w:r w:rsidRPr="00741319">
        <w:rPr>
          <w:rFonts w:ascii="Times New Roman" w:hAnsi="Times New Roman" w:cs="Times New Roman"/>
        </w:rPr>
        <w:lastRenderedPageBreak/>
        <w:t>Chapter 11: Professional Reflection and Employability</w:t>
      </w:r>
    </w:p>
    <w:p w14:paraId="587F5455"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11.1 Key Learnings from the Internship</w:t>
      </w:r>
    </w:p>
    <w:p w14:paraId="27D3292E"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internship required working across three distinct analytical disciplines — fundamental financial analysis, technical chart-reading, and empirical back-testing — and integrating them into a single coherent framework. This required developing comfort with ambiguity and with the discipline of testing assumptions rather than accepting them. The finding that widely used technical indicators like RSI have below-50% win probabilities was a genuinely counterintuitive result, and working through its implications reinforced the value of evidence-based reasoning over convention.</w:t>
      </w:r>
    </w:p>
    <w:p w14:paraId="6ADF9D8E"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exposure to insurance-specific financial concepts — embedded value, value of new business, persistency, solvency margins — was practically valuable and directly applicable to research roles in the BFSI sector.</w:t>
      </w:r>
    </w:p>
    <w:p w14:paraId="1FAC343E"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11.2 Application of Academic Concepts</w:t>
      </w:r>
    </w:p>
    <w:p w14:paraId="2C5CF87B"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internship provided an opportunity to apply several concepts studied in the academic programme. Discounted cash flow valuation, portfolio theory, financial statement analysis, and risk management principles all featured in the work undertaken. The experience of adapting these frameworks to the specific characteristics of insurance companies — rather than applying them mechanically — deepened understanding of both the concepts and their practical boundaries.</w:t>
      </w:r>
    </w:p>
    <w:p w14:paraId="05B544E1" w14:textId="77777777" w:rsidR="003D6BE1" w:rsidRPr="00741319" w:rsidRDefault="00000000" w:rsidP="00741319">
      <w:pPr>
        <w:pStyle w:val="Heading2"/>
        <w:spacing w:line="360" w:lineRule="auto"/>
        <w:rPr>
          <w:rFonts w:ascii="Times New Roman" w:hAnsi="Times New Roman" w:cs="Times New Roman"/>
        </w:rPr>
      </w:pPr>
      <w:r w:rsidRPr="00741319">
        <w:rPr>
          <w:rFonts w:ascii="Times New Roman" w:hAnsi="Times New Roman" w:cs="Times New Roman"/>
        </w:rPr>
        <w:t>11.3 Employability and Professional Readiness</w:t>
      </w:r>
    </w:p>
    <w:p w14:paraId="16201613"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The skills developed during this internship are directly relevant to research analyst, investment analyst, and strategy associate roles in financial services. The ability to build structured analytical frameworks, test assumptions empirically, and communicate findings clearly and concisely are transferable across a range of functions within BFSI and beyond. The habit of questioning whether a commonly used tool actually performs as expected — and testing it rather than assuming — is a professional discipline that will apply in any analytical role.</w:t>
      </w:r>
    </w:p>
    <w:p w14:paraId="67FBA26E" w14:textId="77777777" w:rsidR="003D6BE1" w:rsidRPr="00741319" w:rsidRDefault="00000000" w:rsidP="00741319">
      <w:pPr>
        <w:spacing w:line="360" w:lineRule="auto"/>
        <w:rPr>
          <w:rFonts w:ascii="Times New Roman" w:hAnsi="Times New Roman" w:cs="Times New Roman"/>
        </w:rPr>
      </w:pPr>
      <w:r w:rsidRPr="00741319">
        <w:rPr>
          <w:rFonts w:ascii="Times New Roman" w:hAnsi="Times New Roman" w:cs="Times New Roman"/>
        </w:rPr>
        <w:br w:type="page"/>
      </w:r>
    </w:p>
    <w:p w14:paraId="3B933366" w14:textId="77777777" w:rsidR="003D6BE1" w:rsidRPr="00741319" w:rsidRDefault="00000000" w:rsidP="00741319">
      <w:pPr>
        <w:pStyle w:val="Heading1"/>
        <w:spacing w:line="360" w:lineRule="auto"/>
        <w:rPr>
          <w:rFonts w:ascii="Times New Roman" w:hAnsi="Times New Roman" w:cs="Times New Roman"/>
        </w:rPr>
      </w:pPr>
      <w:r w:rsidRPr="00741319">
        <w:rPr>
          <w:rFonts w:ascii="Times New Roman" w:hAnsi="Times New Roman" w:cs="Times New Roman"/>
        </w:rPr>
        <w:lastRenderedPageBreak/>
        <w:t>References</w:t>
      </w:r>
    </w:p>
    <w:p w14:paraId="192796F1" w14:textId="77777777" w:rsidR="003D6BE1" w:rsidRPr="00741319" w:rsidRDefault="00000000" w:rsidP="00741319">
      <w:pPr>
        <w:spacing w:after="120" w:line="360" w:lineRule="auto"/>
        <w:jc w:val="both"/>
        <w:rPr>
          <w:rFonts w:ascii="Times New Roman" w:hAnsi="Times New Roman" w:cs="Times New Roman"/>
        </w:rPr>
      </w:pPr>
      <w:proofErr w:type="spellStart"/>
      <w:r w:rsidRPr="00741319">
        <w:rPr>
          <w:rFonts w:ascii="Times New Roman" w:hAnsi="Times New Roman" w:cs="Times New Roman"/>
        </w:rPr>
        <w:t>Achelis</w:t>
      </w:r>
      <w:proofErr w:type="spellEnd"/>
      <w:r w:rsidRPr="00741319">
        <w:rPr>
          <w:rFonts w:ascii="Times New Roman" w:hAnsi="Times New Roman" w:cs="Times New Roman"/>
        </w:rPr>
        <w:t>, S. B. (2000). Technical analysis from A to Z (2nd ed.). McGraw-Hill.</w:t>
      </w:r>
    </w:p>
    <w:p w14:paraId="1ED64896"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Damodaran, A. (2012). Investment valuation: Tools and techniques for determining the value of any asset (3rd ed.). Wiley Finance.</w:t>
      </w:r>
    </w:p>
    <w:p w14:paraId="1DAB5C57"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Insurance Regulatory and Development Authority of India. (2024). Annual report 2023–24. https://www.irdai.gov.in</w:t>
      </w:r>
    </w:p>
    <w:p w14:paraId="520231C6"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Mishkin, F. S., &amp; Eakins, S. G. (2018). Financial markets and institutions (9th ed.). Pearson.</w:t>
      </w:r>
    </w:p>
    <w:p w14:paraId="393C4D4D"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Murphy, J. J. (1999). Technical analysis of the financial markets. New York Institute of Finance.</w:t>
      </w:r>
    </w:p>
    <w:p w14:paraId="596E4AAE"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National Stock Exchange of India. (2024). Listed company data and filings. https://www.nseindia.com</w:t>
      </w:r>
    </w:p>
    <w:p w14:paraId="7733C887"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Penman, S. H. (2013). Financial statement analysis and security valuation (5th ed.). McGraw-Hill.</w:t>
      </w:r>
    </w:p>
    <w:p w14:paraId="18A0E2A6"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Pring, M. J. (2014). Technical analysis explained (5th ed.). McGraw-Hill.</w:t>
      </w:r>
    </w:p>
    <w:p w14:paraId="6F23BAAA" w14:textId="77777777" w:rsidR="003D6BE1" w:rsidRPr="00741319" w:rsidRDefault="00000000" w:rsidP="00741319">
      <w:pPr>
        <w:spacing w:after="120" w:line="360" w:lineRule="auto"/>
        <w:jc w:val="both"/>
        <w:rPr>
          <w:rFonts w:ascii="Times New Roman" w:hAnsi="Times New Roman" w:cs="Times New Roman"/>
        </w:rPr>
      </w:pPr>
      <w:r w:rsidRPr="00741319">
        <w:rPr>
          <w:rFonts w:ascii="Times New Roman" w:hAnsi="Times New Roman" w:cs="Times New Roman"/>
        </w:rPr>
        <w:t>Securities and Exchange Board of India. (2024). SEBI annual report 2023–24. https://www.sebi.gov.in</w:t>
      </w:r>
    </w:p>
    <w:sectPr w:rsidR="003D6BE1" w:rsidRPr="00741319">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7AD45" w14:textId="77777777" w:rsidR="0052547D" w:rsidRDefault="0052547D">
      <w:r>
        <w:separator/>
      </w:r>
    </w:p>
  </w:endnote>
  <w:endnote w:type="continuationSeparator" w:id="0">
    <w:p w14:paraId="528F1C3F" w14:textId="77777777" w:rsidR="0052547D" w:rsidRDefault="00525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1546A" w14:textId="77777777" w:rsidR="003D6BE1" w:rsidRDefault="00000000">
    <w:pPr>
      <w:pBdr>
        <w:top w:val="single" w:sz="4" w:space="4" w:color="2E75B6"/>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41319">
      <w:rPr>
        <w:noProof/>
        <w:color w:val="595959"/>
        <w:sz w:val="18"/>
        <w:szCs w:val="18"/>
      </w:rPr>
      <w:t>1</w:t>
    </w:r>
    <w:r>
      <w:rPr>
        <w:color w:val="595959"/>
        <w:sz w:val="18"/>
        <w:szCs w:val="18"/>
      </w:rPr>
      <w:fldChar w:fldCharType="end"/>
    </w:r>
    <w:r>
      <w:rPr>
        <w:color w:val="595959"/>
        <w:sz w:val="18"/>
        <w:szCs w:val="18"/>
      </w:rPr>
      <w:t xml:space="preserve"> | Equity Research &amp; AI-Augmented Investment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FEE33" w14:textId="77777777" w:rsidR="0052547D" w:rsidRDefault="0052547D">
      <w:r>
        <w:separator/>
      </w:r>
    </w:p>
  </w:footnote>
  <w:footnote w:type="continuationSeparator" w:id="0">
    <w:p w14:paraId="25DC8BB6" w14:textId="77777777" w:rsidR="0052547D" w:rsidRDefault="005254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0D64D" w14:textId="77777777" w:rsidR="003D6BE1" w:rsidRDefault="00000000">
    <w:pPr>
      <w:pBdr>
        <w:bottom w:val="single" w:sz="6" w:space="4" w:color="2E75B6"/>
      </w:pBdr>
      <w:jc w:val="right"/>
    </w:pPr>
    <w:r>
      <w:rPr>
        <w:i/>
        <w:iCs/>
        <w:color w:val="595959"/>
        <w:sz w:val="18"/>
        <w:szCs w:val="18"/>
      </w:rPr>
      <w:t>HDFC Life Insurance Co. Ltd. — CIP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A7605"/>
    <w:multiLevelType w:val="hybridMultilevel"/>
    <w:tmpl w:val="BA723FAC"/>
    <w:lvl w:ilvl="0" w:tplc="316A01C2">
      <w:start w:val="1"/>
      <w:numFmt w:val="bullet"/>
      <w:lvlText w:val="●"/>
      <w:lvlJc w:val="left"/>
      <w:pPr>
        <w:ind w:left="720" w:hanging="360"/>
      </w:pPr>
    </w:lvl>
    <w:lvl w:ilvl="1" w:tplc="CE345878">
      <w:start w:val="1"/>
      <w:numFmt w:val="bullet"/>
      <w:lvlText w:val="○"/>
      <w:lvlJc w:val="left"/>
      <w:pPr>
        <w:ind w:left="1440" w:hanging="360"/>
      </w:pPr>
    </w:lvl>
    <w:lvl w:ilvl="2" w:tplc="6EB45A08">
      <w:start w:val="1"/>
      <w:numFmt w:val="bullet"/>
      <w:lvlText w:val="■"/>
      <w:lvlJc w:val="left"/>
      <w:pPr>
        <w:ind w:left="2160" w:hanging="360"/>
      </w:pPr>
    </w:lvl>
    <w:lvl w:ilvl="3" w:tplc="51CEB69C">
      <w:start w:val="1"/>
      <w:numFmt w:val="bullet"/>
      <w:lvlText w:val="●"/>
      <w:lvlJc w:val="left"/>
      <w:pPr>
        <w:ind w:left="2880" w:hanging="360"/>
      </w:pPr>
    </w:lvl>
    <w:lvl w:ilvl="4" w:tplc="05142E54">
      <w:start w:val="1"/>
      <w:numFmt w:val="bullet"/>
      <w:lvlText w:val="○"/>
      <w:lvlJc w:val="left"/>
      <w:pPr>
        <w:ind w:left="3600" w:hanging="360"/>
      </w:pPr>
    </w:lvl>
    <w:lvl w:ilvl="5" w:tplc="B8EE091C">
      <w:start w:val="1"/>
      <w:numFmt w:val="bullet"/>
      <w:lvlText w:val="■"/>
      <w:lvlJc w:val="left"/>
      <w:pPr>
        <w:ind w:left="4320" w:hanging="360"/>
      </w:pPr>
    </w:lvl>
    <w:lvl w:ilvl="6" w:tplc="FB9E7932">
      <w:start w:val="1"/>
      <w:numFmt w:val="bullet"/>
      <w:lvlText w:val="●"/>
      <w:lvlJc w:val="left"/>
      <w:pPr>
        <w:ind w:left="5040" w:hanging="360"/>
      </w:pPr>
    </w:lvl>
    <w:lvl w:ilvl="7" w:tplc="013A7806">
      <w:start w:val="1"/>
      <w:numFmt w:val="bullet"/>
      <w:lvlText w:val="●"/>
      <w:lvlJc w:val="left"/>
      <w:pPr>
        <w:ind w:left="5760" w:hanging="360"/>
      </w:pPr>
    </w:lvl>
    <w:lvl w:ilvl="8" w:tplc="1180B4E2">
      <w:start w:val="1"/>
      <w:numFmt w:val="bullet"/>
      <w:lvlText w:val="●"/>
      <w:lvlJc w:val="left"/>
      <w:pPr>
        <w:ind w:left="6480" w:hanging="360"/>
      </w:pPr>
    </w:lvl>
  </w:abstractNum>
  <w:abstractNum w:abstractNumId="1" w15:restartNumberingAfterBreak="0">
    <w:nsid w:val="4286602D"/>
    <w:multiLevelType w:val="hybridMultilevel"/>
    <w:tmpl w:val="AE6A8FBC"/>
    <w:lvl w:ilvl="0" w:tplc="B1A6A7BA">
      <w:start w:val="1"/>
      <w:numFmt w:val="bullet"/>
      <w:lvlText w:val="•"/>
      <w:lvlJc w:val="left"/>
      <w:pPr>
        <w:ind w:left="720" w:hanging="360"/>
      </w:pPr>
    </w:lvl>
    <w:lvl w:ilvl="1" w:tplc="2BF0E8BA">
      <w:start w:val="1"/>
      <w:numFmt w:val="bullet"/>
      <w:lvlText w:val="◦"/>
      <w:lvlJc w:val="left"/>
      <w:pPr>
        <w:ind w:left="1080" w:hanging="360"/>
      </w:pPr>
    </w:lvl>
    <w:lvl w:ilvl="2" w:tplc="DEBA4892">
      <w:numFmt w:val="decimal"/>
      <w:lvlText w:val=""/>
      <w:lvlJc w:val="left"/>
    </w:lvl>
    <w:lvl w:ilvl="3" w:tplc="93A6C16A">
      <w:numFmt w:val="decimal"/>
      <w:lvlText w:val=""/>
      <w:lvlJc w:val="left"/>
    </w:lvl>
    <w:lvl w:ilvl="4" w:tplc="81AE5EE0">
      <w:numFmt w:val="decimal"/>
      <w:lvlText w:val=""/>
      <w:lvlJc w:val="left"/>
    </w:lvl>
    <w:lvl w:ilvl="5" w:tplc="3FDEA4F6">
      <w:numFmt w:val="decimal"/>
      <w:lvlText w:val=""/>
      <w:lvlJc w:val="left"/>
    </w:lvl>
    <w:lvl w:ilvl="6" w:tplc="00CA910E">
      <w:numFmt w:val="decimal"/>
      <w:lvlText w:val=""/>
      <w:lvlJc w:val="left"/>
    </w:lvl>
    <w:lvl w:ilvl="7" w:tplc="4E82608A">
      <w:numFmt w:val="decimal"/>
      <w:lvlText w:val=""/>
      <w:lvlJc w:val="left"/>
    </w:lvl>
    <w:lvl w:ilvl="8" w:tplc="0568CD4E">
      <w:numFmt w:val="decimal"/>
      <w:lvlText w:val=""/>
      <w:lvlJc w:val="left"/>
    </w:lvl>
  </w:abstractNum>
  <w:num w:numId="1" w16cid:durableId="1762947462">
    <w:abstractNumId w:val="0"/>
    <w:lvlOverride w:ilvl="0">
      <w:startOverride w:val="1"/>
    </w:lvlOverride>
  </w:num>
  <w:num w:numId="2" w16cid:durableId="15248306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BE1"/>
    <w:rsid w:val="003D6BE1"/>
    <w:rsid w:val="0052547D"/>
    <w:rsid w:val="00741319"/>
    <w:rsid w:val="00FD31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BC55B"/>
  <w15:docId w15:val="{89239ED6-2165-4990-ADA5-D6F761973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360" w:after="120"/>
      <w:outlineLvl w:val="0"/>
    </w:pPr>
    <w:rPr>
      <w:b/>
      <w:bCs/>
      <w:color w:val="1F4E79"/>
      <w:sz w:val="36"/>
      <w:szCs w:val="36"/>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unhideWhenUsed/>
    <w:qFormat/>
    <w:pPr>
      <w:spacing w:before="180" w:after="6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D0298-836A-46DC-AC54-97AD68AF0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22</Pages>
  <Words>5206</Words>
  <Characters>29676</Characters>
  <Application>Microsoft Office Word</Application>
  <DocSecurity>0</DocSecurity>
  <Lines>247</Lines>
  <Paragraphs>69</Paragraphs>
  <ScaleCrop>false</ScaleCrop>
  <Company/>
  <LinksUpToDate>false</LinksUpToDate>
  <CharactersWithSpaces>34813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Anurag Kumar</cp:lastModifiedBy>
  <cp:revision>2</cp:revision>
  <dcterms:created xsi:type="dcterms:W3CDTF">2026-06-22T17:23:00Z</dcterms:created>
  <dcterms:modified xsi:type="dcterms:W3CDTF">2026-06-22T17:40:00Z</dcterms:modified>
</cp:coreProperties>
</file>