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44"/>
          <w:szCs w:val="44"/>
        </w:rPr>
        <w:t xml:space="preserve">FINANCIAL PERFORMANCE ANALYSIS &amp; FORECASTING</w:t>
      </w:r>
    </w:p>
    <w:p>
      <w:pPr>
        <w:spacing w:after="600"/>
        <w:jc w:val="center"/>
      </w:pPr>
      <w:r>
        <w:rPr>
          <w:i/>
          <w:iCs/>
          <w:color w:val="444444"/>
          <w:sz w:val="26"/>
          <w:szCs w:val="26"/>
        </w:rPr>
        <w:t xml:space="preserve">A Comparative Study of the Packaged Foods Industry:</w:t>
      </w:r>
    </w:p>
    <w:p>
      <w:pPr>
        <w:spacing w:after="900"/>
        <w:jc w:val="center"/>
      </w:pPr>
      <w:r>
        <w:rPr>
          <w:i/>
          <w:iCs/>
          <w:color w:val="444444"/>
          <w:sz w:val="26"/>
          <w:szCs w:val="26"/>
        </w:rPr>
        <w:t xml:space="preserve">The Kraft Heinz Company, General Mills, Inc. &amp; Conagra Brands, Inc.</w:t>
      </w:r>
    </w:p>
    <w:p>
      <w:pPr>
        <w:spacing w:after="120"/>
        <w:jc w:val="center"/>
      </w:pPr>
      <w:r>
        <w:rPr>
          <w:b/>
          <w:bCs/>
          <w:sz w:val="24"/>
          <w:szCs w:val="24"/>
        </w:rPr>
        <w:t xml:space="preserve">Primary (Assigned) Company: The Kraft Heinz Company (NASDAQ: KHC)</w:t>
      </w:r>
    </w:p>
    <w:p>
      <w:pPr>
        <w:spacing w:after="120"/>
        <w:jc w:val="center"/>
      </w:pPr>
      <w:r>
        <w:rPr>
          <w:sz w:val="22"/>
          <w:szCs w:val="22"/>
        </w:rPr>
        <w:t xml:space="preserve">Peer Companies: General Mills, Inc. (NYSE: GIS)  |  Conagra Brands, Inc. (NYSE: CAG)</w:t>
      </w:r>
    </w:p>
    <w:p>
      <w:pPr>
        <w:spacing w:after="60" w:before="1000"/>
        <w:jc w:val="center"/>
      </w:pPr>
      <w:r>
        <w:rPr>
          <w:sz w:val="22"/>
          <w:szCs w:val="22"/>
        </w:rPr>
        <w:t xml:space="preserve">Financial Performance Analysis &amp; Forecasting — Group Project</w:t>
      </w:r>
    </w:p>
    <w:p>
      <w:pPr>
        <w:spacing w:after="60"/>
        <w:jc w:val="center"/>
      </w:pPr>
      <w:r>
        <w:rPr>
          <w:sz w:val="22"/>
          <w:szCs w:val="22"/>
        </w:rPr>
        <w:t xml:space="preserve">Report Date: August 2, 2026</w:t>
      </w:r>
    </w:p>
    <w:p>
      <w:pPr>
        <w:spacing w:after="60"/>
        <w:jc w:val="center"/>
      </w:pPr>
      <w:r>
        <w:rPr>
          <w:i/>
          <w:iCs/>
          <w:color w:val="666666"/>
          <w:sz w:val="20"/>
          <w:szCs w:val="20"/>
        </w:rPr>
        <w:t xml:space="preserve">Companion file: Kraft Heinz Financial Analysis – Workbook.xlsx</w:t>
      </w:r>
    </w:p>
    <w:p>
      <w:r>
        <w:br w:type="page"/>
      </w:r>
    </w:p>
    <w:p>
      <w:pPr>
        <w:pStyle w:val="Heading1"/>
      </w:pPr>
      <w:r>
        <w:rPr>
          <w:b/>
          <w:bCs/>
        </w:rPr>
        <w:t xml:space="preserve">Contents</w:t>
      </w:r>
    </w:p>
    <w:p>
      <w:pPr>
        <w:spacing w:after="120"/>
      </w:pPr>
      <w:r>
        <w:rPr>
          <w:b/>
          <w:bCs/>
          <w:sz w:val="22"/>
          <w:szCs w:val="22"/>
        </w:rPr>
        <w:t xml:space="preserve">Section I — Introduction &amp; Objectives</w:t>
      </w:r>
    </w:p>
    <w:p>
      <w:pPr>
        <w:spacing w:after="60"/>
        <w:ind w:left="431"/>
      </w:pPr>
      <w:r>
        <w:rPr>
          <w:b w:val="false"/>
          <w:bCs w:val="false"/>
          <w:sz w:val="20"/>
          <w:szCs w:val="20"/>
        </w:rPr>
        <w:t xml:space="preserve">1.1 Industry Overview</w:t>
      </w:r>
    </w:p>
    <w:p>
      <w:pPr>
        <w:spacing w:after="60"/>
        <w:ind w:left="431"/>
      </w:pPr>
      <w:r>
        <w:rPr>
          <w:b w:val="false"/>
          <w:bCs w:val="false"/>
          <w:sz w:val="20"/>
          <w:szCs w:val="20"/>
        </w:rPr>
        <w:t xml:space="preserve">1.2 Company Profiles</w:t>
      </w:r>
    </w:p>
    <w:p>
      <w:pPr>
        <w:spacing w:after="60"/>
        <w:ind w:left="431"/>
      </w:pPr>
      <w:r>
        <w:rPr>
          <w:b w:val="false"/>
          <w:bCs w:val="false"/>
          <w:sz w:val="20"/>
          <w:szCs w:val="20"/>
        </w:rPr>
        <w:t xml:space="preserve">1.3 Objectives of the Analysis</w:t>
      </w:r>
    </w:p>
    <w:p>
      <w:pPr>
        <w:spacing w:after="60"/>
        <w:ind w:left="431"/>
      </w:pPr>
      <w:r>
        <w:rPr>
          <w:b w:val="false"/>
          <w:bCs w:val="false"/>
          <w:sz w:val="20"/>
          <w:szCs w:val="20"/>
        </w:rPr>
        <w:t xml:space="preserve">1.4 Justification of Industry and Company Selection</w:t>
      </w:r>
    </w:p>
    <w:p>
      <w:pPr>
        <w:spacing w:after="120"/>
      </w:pPr>
      <w:r>
        <w:rPr>
          <w:b/>
          <w:bCs/>
          <w:sz w:val="22"/>
          <w:szCs w:val="22"/>
        </w:rPr>
        <w:t xml:space="preserve">Section II — Data Gathering &amp; Processing</w:t>
      </w:r>
    </w:p>
    <w:p>
      <w:pPr>
        <w:spacing w:after="60"/>
        <w:ind w:left="431"/>
      </w:pPr>
      <w:r>
        <w:rPr>
          <w:b w:val="false"/>
          <w:bCs w:val="false"/>
          <w:sz w:val="20"/>
          <w:szCs w:val="20"/>
        </w:rPr>
        <w:t xml:space="preserve">2.1 Financial Statement Analysis</w:t>
      </w:r>
    </w:p>
    <w:p>
      <w:pPr>
        <w:spacing w:after="60"/>
        <w:ind w:left="431"/>
      </w:pPr>
      <w:r>
        <w:rPr>
          <w:b w:val="false"/>
          <w:bCs w:val="false"/>
          <w:sz w:val="20"/>
          <w:szCs w:val="20"/>
        </w:rPr>
        <w:t xml:space="preserve">2.2 Ratio Analysis</w:t>
      </w:r>
    </w:p>
    <w:p>
      <w:pPr>
        <w:spacing w:after="60"/>
        <w:ind w:left="431"/>
      </w:pPr>
      <w:r>
        <w:rPr>
          <w:b w:val="false"/>
          <w:bCs w:val="false"/>
          <w:sz w:val="20"/>
          <w:szCs w:val="20"/>
        </w:rPr>
        <w:t xml:space="preserve">2.3 Trend Analysis (5-Year)</w:t>
      </w:r>
    </w:p>
    <w:p>
      <w:pPr>
        <w:spacing w:after="60"/>
        <w:ind w:left="431"/>
      </w:pPr>
      <w:r>
        <w:rPr>
          <w:b w:val="false"/>
          <w:bCs w:val="false"/>
          <w:sz w:val="20"/>
          <w:szCs w:val="20"/>
        </w:rPr>
        <w:t xml:space="preserve">2.4 Financial Projections — The Kraft Heinz Company</w:t>
      </w:r>
    </w:p>
    <w:p>
      <w:pPr>
        <w:spacing w:after="120"/>
      </w:pPr>
      <w:r>
        <w:rPr>
          <w:b/>
          <w:bCs/>
          <w:sz w:val="22"/>
          <w:szCs w:val="22"/>
        </w:rPr>
        <w:t xml:space="preserve">Section III — Non-Financial Information</w:t>
      </w:r>
    </w:p>
    <w:p>
      <w:pPr>
        <w:spacing w:after="60"/>
        <w:ind w:left="431"/>
      </w:pPr>
      <w:r>
        <w:rPr>
          <w:b w:val="false"/>
          <w:bCs w:val="false"/>
          <w:sz w:val="20"/>
          <w:szCs w:val="20"/>
        </w:rPr>
        <w:t xml:space="preserve">3.1 Industry Environment and Competition</w:t>
      </w:r>
    </w:p>
    <w:p>
      <w:pPr>
        <w:spacing w:after="60"/>
        <w:ind w:left="431"/>
      </w:pPr>
      <w:r>
        <w:rPr>
          <w:b w:val="false"/>
          <w:bCs w:val="false"/>
          <w:sz w:val="20"/>
          <w:szCs w:val="20"/>
        </w:rPr>
        <w:t xml:space="preserve">3.2 Regulatory and Economic Factors</w:t>
      </w:r>
    </w:p>
    <w:p>
      <w:pPr>
        <w:spacing w:after="60"/>
        <w:ind w:left="431"/>
      </w:pPr>
      <w:r>
        <w:rPr>
          <w:b w:val="false"/>
          <w:bCs w:val="false"/>
          <w:sz w:val="20"/>
          <w:szCs w:val="20"/>
        </w:rPr>
        <w:t xml:space="preserve">3.3 Auditor's Report and Qualifications</w:t>
      </w:r>
    </w:p>
    <w:p>
      <w:pPr>
        <w:spacing w:after="60"/>
        <w:ind w:left="431"/>
      </w:pPr>
      <w:r>
        <w:rPr>
          <w:b w:val="false"/>
          <w:bCs w:val="false"/>
          <w:sz w:val="20"/>
          <w:szCs w:val="20"/>
        </w:rPr>
        <w:t xml:space="preserve">3.4 Management Discussion &amp; Analysis (MD&amp;A) Highlights</w:t>
      </w:r>
    </w:p>
    <w:p>
      <w:pPr>
        <w:spacing w:after="60"/>
        <w:ind w:left="431"/>
      </w:pPr>
      <w:r>
        <w:rPr>
          <w:b w:val="false"/>
          <w:bCs w:val="false"/>
          <w:sz w:val="20"/>
          <w:szCs w:val="20"/>
        </w:rPr>
        <w:t xml:space="preserve">3.5 Company Strategy and Future Plans</w:t>
      </w:r>
    </w:p>
    <w:p>
      <w:pPr>
        <w:spacing w:after="60"/>
        <w:ind w:left="431"/>
      </w:pPr>
      <w:r>
        <w:rPr>
          <w:b w:val="false"/>
          <w:bCs w:val="false"/>
          <w:sz w:val="20"/>
          <w:szCs w:val="20"/>
        </w:rPr>
        <w:t xml:space="preserve">3.6 Risks and Opportunities</w:t>
      </w:r>
    </w:p>
    <w:p>
      <w:pPr>
        <w:spacing w:after="60"/>
        <w:ind w:left="431"/>
      </w:pPr>
      <w:r>
        <w:rPr>
          <w:b w:val="false"/>
          <w:bCs w:val="false"/>
          <w:sz w:val="20"/>
          <w:szCs w:val="20"/>
        </w:rPr>
        <w:t xml:space="preserve">3.7 Assumptions Used in Projections</w:t>
      </w:r>
    </w:p>
    <w:p>
      <w:pPr>
        <w:spacing w:after="120"/>
      </w:pPr>
      <w:r>
        <w:rPr>
          <w:b/>
          <w:bCs/>
          <w:sz w:val="22"/>
          <w:szCs w:val="22"/>
        </w:rPr>
        <w:t xml:space="preserve">Section IV — Executive Summary</w:t>
      </w:r>
    </w:p>
    <w:p>
      <w:pPr>
        <w:spacing w:after="120"/>
      </w:pPr>
      <w:r>
        <w:rPr>
          <w:b/>
          <w:bCs/>
          <w:sz w:val="22"/>
          <w:szCs w:val="22"/>
        </w:rPr>
        <w:t xml:space="preserve">Annexures</w:t>
      </w:r>
    </w:p>
    <w:p>
      <w:pPr>
        <w:spacing w:after="60"/>
        <w:ind w:left="431"/>
      </w:pPr>
      <w:r>
        <w:rPr>
          <w:b w:val="false"/>
          <w:bCs w:val="false"/>
          <w:sz w:val="20"/>
          <w:szCs w:val="20"/>
        </w:rPr>
        <w:t xml:space="preserve">Annexure A — 5-Year Income Statements</w:t>
      </w:r>
    </w:p>
    <w:p>
      <w:pPr>
        <w:spacing w:after="60"/>
        <w:ind w:left="431"/>
      </w:pPr>
      <w:r>
        <w:rPr>
          <w:b w:val="false"/>
          <w:bCs w:val="false"/>
          <w:sz w:val="20"/>
          <w:szCs w:val="20"/>
        </w:rPr>
        <w:t xml:space="preserve">Annexure B — 5-Year Balance Sheets (Key Items)</w:t>
      </w:r>
    </w:p>
    <w:p>
      <w:pPr>
        <w:spacing w:after="60"/>
        <w:ind w:left="431"/>
      </w:pPr>
      <w:r>
        <w:rPr>
          <w:b w:val="false"/>
          <w:bCs w:val="false"/>
          <w:sz w:val="20"/>
          <w:szCs w:val="20"/>
        </w:rPr>
        <w:t xml:space="preserve">Annexure C — 5-Year Ratio Trend (Primary Company: Kraft Heinz)</w:t>
      </w:r>
    </w:p>
    <w:p>
      <w:pPr>
        <w:spacing w:after="60"/>
        <w:ind w:left="431"/>
      </w:pPr>
      <w:r>
        <w:rPr>
          <w:b w:val="false"/>
          <w:bCs w:val="false"/>
          <w:sz w:val="20"/>
          <w:szCs w:val="20"/>
        </w:rPr>
        <w:t xml:space="preserve">Annexure D — Kraft Heinz 3-Year Projection Detail</w:t>
      </w:r>
    </w:p>
    <w:p>
      <w:r>
        <w:br w:type="page"/>
      </w:r>
    </w:p>
    <w:p>
      <w:pPr>
        <w:pStyle w:val="Heading1"/>
        <w:spacing w:after="160" w:before="360"/>
      </w:pPr>
      <w:r>
        <w:rPr>
          <w:b/>
          <w:bCs/>
        </w:rPr>
        <w:t xml:space="preserve">Section I — Introduction &amp; Objectives</w:t>
      </w:r>
    </w:p>
    <w:p>
      <w:pPr>
        <w:pStyle w:val="Heading2"/>
        <w:spacing w:after="120" w:before="260"/>
      </w:pPr>
      <w:r>
        <w:rPr>
          <w:b/>
          <w:bCs/>
        </w:rPr>
        <w:t xml:space="preserve">1.1  Industry Overview</w:t>
      </w:r>
    </w:p>
    <w:p>
      <w:pPr>
        <w:spacing w:after="160" w:line="276"/>
        <w:jc w:val="both"/>
      </w:pPr>
      <w:r>
        <w:t xml:space="preserve">The three companies analyzed in this report — The Kraft Heinz Company (KHC), General Mills, Inc. (GIS), and Conagra Brands, Inc. (CAG) — all compete in the U.S. packaged / processed foods industry, a sub-sector of the broader Consumer Staples sector. This industry manufactures and markets branded, shelf-stable, frozen, and refrigerated food and beverage products sold primarily through large grocery, mass-merchandise, club, and e-commerce retail channels.</w:t>
      </w:r>
    </w:p>
    <w:p>
      <w:pPr>
        <w:spacing w:after="160" w:line="276"/>
        <w:jc w:val="both"/>
      </w:pPr>
      <w:r>
        <w:t xml:space="preserve">The industry is mature and slow-growing in developed markets, characterized by (a) high brand intensity and heavy reliance on marketing/innovation spend to defend share, (b) significant customer concentration among a small number of large retailers (e.g., Walmart), which affords retailers material pricing and shelf-space leverage, (c) exposure to volatile agricultural commodity, packaging, and energy input costs, (d) increasing private-label competition, and (e) a structural shift in consumer demand toward health, wellness, and "clean label" products, which has been amplified in 2025-2026 by U.S. regulatory attention to food additives and by the growing adoption of GLP-1 weight-management drugs, both of which are pressuring center-store snacking and processed-food volumes industry-wide. Persistent input-cost inflation and, in 2025, new U.S. tariff and trade-policy actions further raised supply-chain costs across the sector.</w:t>
      </w:r>
    </w:p>
    <w:p>
      <w:pPr>
        <w:pStyle w:val="Heading2"/>
        <w:spacing w:after="120" w:before="260"/>
      </w:pPr>
      <w:r>
        <w:rPr>
          <w:b/>
          <w:bCs/>
        </w:rPr>
        <w:t xml:space="preserve">1.2  Company Profiles</w:t>
      </w:r>
    </w:p>
    <w:p>
      <w:pPr>
        <w:pStyle w:val="Heading3"/>
        <w:spacing w:after="100" w:before="200"/>
      </w:pPr>
      <w:r>
        <w:rPr>
          <w:b/>
          <w:bCs/>
        </w:rPr>
        <w:t xml:space="preserve">The Kraft Heinz Company (KHC)</w:t>
      </w:r>
    </w:p>
    <w:p>
      <w:pPr>
        <w:spacing w:after="160" w:line="276"/>
        <w:jc w:val="both"/>
      </w:pPr>
      <w:r>
        <w:t xml:space="preserve">Formed in 2015 through the merger of Kraft Foods Group and H.J. Heinz, Kraft Heinz is headquartered in Pittsburgh, Pennsylvania and Chicago, Illinois. The company manufactures and markets food and beverage products across North America and internationally, with iconic brands including Heinz, Kraft, Oscar Mayer, Philadelphia, Velveeta, Capri Sun, Kool-Aid, and Lunchables, organized around categories such as Taste Elevation (sauces/condiments), Easy Meals, and Substantial Snacking. KHC generated approximately $24.9 billion of net sales in FY2025.</w:t>
      </w:r>
    </w:p>
    <w:p>
      <w:pPr>
        <w:pStyle w:val="Heading3"/>
        <w:spacing w:after="100" w:before="200"/>
      </w:pPr>
      <w:r>
        <w:rPr>
          <w:b/>
          <w:bCs/>
        </w:rPr>
        <w:t xml:space="preserve">General Mills, Inc. (GIS)</w:t>
      </w:r>
    </w:p>
    <w:p>
      <w:pPr>
        <w:spacing w:after="160" w:line="276"/>
        <w:jc w:val="both"/>
      </w:pPr>
      <w:r>
        <w:t xml:space="preserve">Headquartered in Minneapolis, Minnesota, General Mills manufactures and markets branded consumer foods including cereals (Cheerios, Lucky Charms), snacks (Nature Valley, Fiber One), baking products (Betty Crocker, Pillsbury), and pet food (Blue Buffalo), operating through North America Retail, International, North America Pet, and North America Foodservice segments. GIS generated approximately $18.4 billion of net sales in FY2026 (fiscal year ended May 31, 2026).</w:t>
      </w:r>
    </w:p>
    <w:p>
      <w:pPr>
        <w:pStyle w:val="Heading3"/>
        <w:spacing w:after="100" w:before="200"/>
      </w:pPr>
      <w:r>
        <w:rPr>
          <w:b/>
          <w:bCs/>
        </w:rPr>
        <w:t xml:space="preserve">Conagra Brands, Inc. (CAG)</w:t>
      </w:r>
    </w:p>
    <w:p>
      <w:pPr>
        <w:spacing w:after="160" w:line="276"/>
        <w:jc w:val="both"/>
      </w:pPr>
      <w:r>
        <w:t xml:space="preserve">Headquartered in Chicago, Illinois, Conagra Brands is a branded consumer packaged-goods food company operating through Grocery &amp; Snacks, Refrigerated &amp; Frozen, International, and Foodservice segments, with brands including Birds Eye, Duncan Hines, Healthy Choice, Marie Callender's, Reddi-wip, Slim Jim, and Angie's BOOMCHICKAPOP. CAG generated approximately $11.3 billion of net sales in FY2026 (fiscal year ended May 31, 2026).</w:t>
      </w:r>
    </w:p>
    <w:p>
      <w:pPr>
        <w:pStyle w:val="Heading2"/>
        <w:spacing w:after="120" w:before="260"/>
      </w:pPr>
      <w:r>
        <w:rPr>
          <w:b/>
          <w:bCs/>
        </w:rPr>
        <w:t xml:space="preserve">1.3  Objectives of the Analysis</w:t>
      </w:r>
    </w:p>
    <w:p>
      <w:pPr>
        <w:spacing w:after="160" w:line="276"/>
        <w:jc w:val="both"/>
      </w:pPr>
      <w:r>
        <w:t xml:space="preserve">This study sets out to:</w:t>
      </w:r>
    </w:p>
    <w:p>
      <w:pPr>
        <w:pStyle w:val="ListParagraph"/>
        <w:numPr>
          <w:ilvl w:val="0"/>
          <w:numId w:val="2"/>
        </w:numPr>
        <w:spacing w:after="80"/>
      </w:pPr>
      <w:r>
        <w:t xml:space="preserve">Analyze and interpret the historical financial performance of Kraft Heinz and two industry peers using key financial statements, ratios, and multi-year trends;</w:t>
      </w:r>
    </w:p>
    <w:p>
      <w:pPr>
        <w:pStyle w:val="ListParagraph"/>
        <w:numPr>
          <w:ilvl w:val="0"/>
          <w:numId w:val="2"/>
        </w:numPr>
        <w:spacing w:after="80"/>
      </w:pPr>
      <w:r>
        <w:t xml:space="preserve">Evaluate profitability, liquidity, solvency, efficiency, and market-valuation performance on a comparative basis across the three companies;</w:t>
      </w:r>
    </w:p>
    <w:p>
      <w:pPr>
        <w:pStyle w:val="ListParagraph"/>
        <w:numPr>
          <w:ilvl w:val="0"/>
          <w:numId w:val="2"/>
        </w:numPr>
        <w:spacing w:after="80"/>
      </w:pPr>
      <w:r>
        <w:t xml:space="preserve">Develop a forward-looking, assumption-driven 3-year financial projection (Income Statement and Balance Sheet) for the primary company, Kraft Heinz;</w:t>
      </w:r>
    </w:p>
    <w:p>
      <w:pPr>
        <w:pStyle w:val="ListParagraph"/>
        <w:numPr>
          <w:ilvl w:val="0"/>
          <w:numId w:val="2"/>
        </w:numPr>
        <w:spacing w:after="80"/>
      </w:pPr>
      <w:r>
        <w:t xml:space="preserve">Incorporate non-financial and qualitative factors — industry structure, competitive dynamics, regulatory/economic conditions, audit quality, management strategy, and risk factors — that are necessary to properly interpret the financial results; and</w:t>
      </w:r>
    </w:p>
    <w:p>
      <w:pPr>
        <w:pStyle w:val="ListParagraph"/>
        <w:numPr>
          <w:ilvl w:val="0"/>
          <w:numId w:val="2"/>
        </w:numPr>
        <w:spacing w:after="80"/>
      </w:pPr>
      <w:r>
        <w:t xml:space="preserve">Form an overall judgment on the sustainability of each company's business model and its likely future outlook, culminating in an executive summary with recommendations.</w:t>
      </w:r>
    </w:p>
    <w:p>
      <w:pPr>
        <w:pStyle w:val="Heading2"/>
        <w:spacing w:after="120" w:before="260"/>
      </w:pPr>
      <w:r>
        <w:rPr>
          <w:b/>
          <w:bCs/>
        </w:rPr>
        <w:t xml:space="preserve">1.4  Justification of Industry and Company Selection</w:t>
      </w:r>
    </w:p>
    <w:p>
      <w:pPr>
        <w:spacing w:after="160" w:line="276"/>
        <w:jc w:val="both"/>
      </w:pPr>
      <w:r>
        <w:t xml:space="preserve">The packaged foods industry was selected because it offers a coherent, single-industry peer set of large, U.S.-listed, branded consumer-staples companies that (a) file comparable, readily available SEC financial statements, (b) share a common set of KPI pressures (input-cost inflation, private-label competition, retailer concentration, changing health/wellness demand), and (c) are currently navigating a similar earnings inflection point — all three companies have recently reported a full-year net loss or a sharp margin contraction in their latest reported fiscal year, driven substantially by non-cash goodwill/intangible impairment charges. This shared inflection makes the group especially instructive for trend, ratio, and forecasting analysis.</w:t>
      </w:r>
    </w:p>
    <w:p>
      <w:pPr>
        <w:spacing w:after="160" w:line="276"/>
        <w:jc w:val="both"/>
      </w:pPr>
      <w:r>
        <w:t xml:space="preserve">Kraft Heinz was assigned as the primary company. General Mills and Conagra Brands were selected as peers using the KPI framework specified in the assignment brief:</w:t>
      </w:r>
    </w:p>
    <w:p>
      <w:pPr>
        <w:pStyle w:val="ListParagraph"/>
        <w:numPr>
          <w:ilvl w:val="0"/>
          <w:numId w:val="2"/>
        </w:numPr>
        <w:spacing w:after="80"/>
      </w:pPr>
      <w:r>
        <w:t xml:space="preserve">Profitability — all three are branded, scale-advantaged packaged-food manufacturers with historically double-digit operating margins (13-18% in normal years), enabling like-for-like margin comparison.</w:t>
      </w:r>
    </w:p>
    <w:p>
      <w:pPr>
        <w:pStyle w:val="ListParagraph"/>
        <w:numPr>
          <w:ilvl w:val="0"/>
          <w:numId w:val="2"/>
        </w:numPr>
        <w:spacing w:after="80"/>
      </w:pPr>
      <w:r>
        <w:t xml:space="preserve">Liquidity — all three operate with lean, similarly structured working-capital profiles (current ratios generally below or near 1.0x, reflecting efficient inventory/payables management typical of large CPG manufacturers).</w:t>
      </w:r>
    </w:p>
    <w:p>
      <w:pPr>
        <w:pStyle w:val="ListParagraph"/>
        <w:numPr>
          <w:ilvl w:val="0"/>
          <w:numId w:val="2"/>
        </w:numPr>
        <w:spacing w:after="80"/>
      </w:pPr>
      <w:r>
        <w:t xml:space="preserve">Solvency — all three carry meaningful leverage from historical M&amp;A (KHC's 2015 merger and going-private-to-public re-listing; GIS's Blue Buffalo and international bolt-on acquisitions; CAG's Pinnacle Foods acquisition), making debt-to-equity and coverage-ratio comparisons meaningful.</w:t>
      </w:r>
    </w:p>
    <w:p>
      <w:pPr>
        <w:pStyle w:val="ListParagraph"/>
        <w:numPr>
          <w:ilvl w:val="0"/>
          <w:numId w:val="2"/>
        </w:numPr>
        <w:spacing w:after="80"/>
      </w:pPr>
      <w:r>
        <w:t xml:space="preserve">Growth potential — all three are mature, low-single-digit organic growth businesses pursuing portfolio reshaping (divestitures/M&amp;A), productivity/cost-savings programs, and premiumization or health-oriented innovation to reignite growth, offering a consistent lens for evaluating strategic response to a shared industry challenge.</w:t>
      </w:r>
    </w:p>
    <w:p>
      <w:pPr>
        <w:spacing w:after="160" w:line="276"/>
        <w:jc w:val="both"/>
      </w:pPr>
      <w:r>
        <w:t xml:space="preserve">Their financial and strategic relevance to Kraft Heinz is therefore direct: GIS and CAG are commonly cited by equity analysts (e.g., Bernstein, Wells Fargo, RBC) as Kraft Heinz's closest direct comparables within packaged foods, and all three were downgraded together by sell-side analysts in mid-2026 on shared category-wide volume and margin concerns — reinforcing that they are viewed by the market as a single competitive peer group.</w:t>
      </w:r>
    </w:p>
    <w:p>
      <w:r>
        <w:br w:type="page"/>
      </w:r>
    </w:p>
    <w:p>
      <w:pPr>
        <w:pStyle w:val="Heading1"/>
        <w:spacing w:after="160" w:before="360"/>
      </w:pPr>
      <w:r>
        <w:rPr>
          <w:b/>
          <w:bCs/>
        </w:rPr>
        <w:t xml:space="preserve">Section II — Data Gathering &amp; Processing</w:t>
      </w:r>
    </w:p>
    <w:p>
      <w:pPr>
        <w:spacing w:after="160" w:line="276"/>
        <w:jc w:val="both"/>
      </w:pPr>
      <w:r>
        <w:t xml:space="preserve">Financial data for all three companies was gathered from company 10-K / Annual Report filings on the U.S. Securities and Exchange Commission's EDGAR system, as standardized and cross-checked via Stockanalysis.com's Fiscal.ai-sourced financial statement database. (The assignment brief references the Prowess database, which covers Indian-listed companies; since Kraft Heinz, General Mills, and Conagra Brands are U.S.-listed, the equivalent primary-source U.S. filings — 10-Ks on SEC EDGAR — were used instead, supplemented by the standardized Stockanalysis.com dataset for consistency across companies with differing fiscal year-ends.) Full workings with live formulas are provided in the companion Excel Workbook.</w:t>
      </w:r>
    </w:p>
    <w:p>
      <w:pPr>
        <w:pStyle w:val="Heading2"/>
        <w:spacing w:after="120" w:before="260"/>
      </w:pPr>
      <w:r>
        <w:rPr>
          <w:b/>
          <w:bCs/>
        </w:rPr>
        <w:t xml:space="preserve">2.1  Financial Statement Analysis</w:t>
      </w:r>
    </w:p>
    <w:p>
      <w:pPr>
        <w:spacing w:after="160" w:line="276"/>
        <w:jc w:val="both"/>
      </w:pPr>
      <w:r>
        <w:t xml:space="preserve">Note on fiscal years: KHC's fiscal year ends in late December; GIS and CAG close their fiscal years in late May. The two most recently completed fiscal years for each company are shown below (all figures in US$ millions).</w:t>
      </w:r>
    </w:p>
    <w:p>
      <w:pPr>
        <w:pStyle w:val="Heading3"/>
        <w:spacing w:after="100" w:before="200"/>
      </w:pPr>
      <w:r>
        <w:rPr>
          <w:b/>
          <w:bCs/>
        </w:rPr>
        <w:t xml:space="preserve">Income Statement — Summary (latest two fiscal years)</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1850"/>
        <w:gridCol w:w="1150"/>
        <w:gridCol w:w="1300"/>
        <w:gridCol w:w="1460"/>
        <w:gridCol w:w="1610"/>
        <w:gridCol w:w="1300"/>
        <w:gridCol w:w="1230"/>
      </w:tblGrid>
      <w:tr>
        <w:trPr>
          <w:tblHeader/>
        </w:trPr>
        <w:tc>
          <w:tcPr>
            <w:tcW w:type="dxa" w:w="1850"/>
            <w:shd w:fill="2E5395" w:val="clear"/>
            <w:tcMar>
              <w:top w:type="dxa" w:w="60"/>
              <w:left w:type="dxa" w:w="100"/>
              <w:bottom w:type="dxa" w:w="60"/>
              <w:right w:type="dxa" w:w="100"/>
            </w:tcMar>
            <w:vAlign w:val="center"/>
          </w:tcPr>
          <w:p>
            <w:pPr>
              <w:jc w:val="center"/>
            </w:pPr>
            <w:r>
              <w:rPr>
                <w:b/>
                <w:bCs/>
                <w:color w:val="FFFFFF"/>
                <w:sz w:val="17"/>
                <w:szCs w:val="17"/>
              </w:rPr>
              <w:t xml:space="preserve">Company</w:t>
            </w:r>
          </w:p>
        </w:tc>
        <w:tc>
          <w:tcPr>
            <w:tcW w:type="dxa" w:w="1150"/>
            <w:shd w:fill="2E5395" w:val="clear"/>
            <w:tcMar>
              <w:top w:type="dxa" w:w="60"/>
              <w:left w:type="dxa" w:w="100"/>
              <w:bottom w:type="dxa" w:w="60"/>
              <w:right w:type="dxa" w:w="100"/>
            </w:tcMar>
            <w:vAlign w:val="center"/>
          </w:tcPr>
          <w:p>
            <w:pPr>
              <w:jc w:val="center"/>
            </w:pPr>
            <w:r>
              <w:rPr>
                <w:b/>
                <w:bCs/>
                <w:color w:val="FFFFFF"/>
                <w:sz w:val="17"/>
                <w:szCs w:val="17"/>
              </w:rPr>
              <w:t xml:space="preserve">Fiscal Year</w:t>
            </w:r>
          </w:p>
        </w:tc>
        <w:tc>
          <w:tcPr>
            <w:tcW w:type="dxa" w:w="1300"/>
            <w:shd w:fill="2E5395" w:val="clear"/>
            <w:tcMar>
              <w:top w:type="dxa" w:w="60"/>
              <w:left w:type="dxa" w:w="100"/>
              <w:bottom w:type="dxa" w:w="60"/>
              <w:right w:type="dxa" w:w="100"/>
            </w:tcMar>
            <w:vAlign w:val="center"/>
          </w:tcPr>
          <w:p>
            <w:pPr>
              <w:jc w:val="center"/>
            </w:pPr>
            <w:r>
              <w:rPr>
                <w:b/>
                <w:bCs/>
                <w:color w:val="FFFFFF"/>
                <w:sz w:val="17"/>
                <w:szCs w:val="17"/>
              </w:rPr>
              <w:t xml:space="preserve">Revenue</w:t>
            </w:r>
          </w:p>
        </w:tc>
        <w:tc>
          <w:tcPr>
            <w:tcW w:type="dxa" w:w="1460"/>
            <w:shd w:fill="2E5395" w:val="clear"/>
            <w:tcMar>
              <w:top w:type="dxa" w:w="60"/>
              <w:left w:type="dxa" w:w="100"/>
              <w:bottom w:type="dxa" w:w="60"/>
              <w:right w:type="dxa" w:w="100"/>
            </w:tcMar>
            <w:vAlign w:val="center"/>
          </w:tcPr>
          <w:p>
            <w:pPr>
              <w:jc w:val="center"/>
            </w:pPr>
            <w:r>
              <w:rPr>
                <w:b/>
                <w:bCs/>
                <w:color w:val="FFFFFF"/>
                <w:sz w:val="17"/>
                <w:szCs w:val="17"/>
              </w:rPr>
              <w:t xml:space="preserve">Gross Profit</w:t>
            </w:r>
          </w:p>
        </w:tc>
        <w:tc>
          <w:tcPr>
            <w:tcW w:type="dxa" w:w="1610"/>
            <w:shd w:fill="2E5395" w:val="clear"/>
            <w:tcMar>
              <w:top w:type="dxa" w:w="60"/>
              <w:left w:type="dxa" w:w="100"/>
              <w:bottom w:type="dxa" w:w="60"/>
              <w:right w:type="dxa" w:w="100"/>
            </w:tcMar>
            <w:vAlign w:val="center"/>
          </w:tcPr>
          <w:p>
            <w:pPr>
              <w:jc w:val="center"/>
            </w:pPr>
            <w:r>
              <w:rPr>
                <w:b/>
                <w:bCs/>
                <w:color w:val="FFFFFF"/>
                <w:sz w:val="17"/>
                <w:szCs w:val="17"/>
              </w:rPr>
              <w:t xml:space="preserve">Operating Income</w:t>
            </w:r>
          </w:p>
        </w:tc>
        <w:tc>
          <w:tcPr>
            <w:tcW w:type="dxa" w:w="1300"/>
            <w:shd w:fill="2E5395" w:val="clear"/>
            <w:tcMar>
              <w:top w:type="dxa" w:w="60"/>
              <w:left w:type="dxa" w:w="100"/>
              <w:bottom w:type="dxa" w:w="60"/>
              <w:right w:type="dxa" w:w="100"/>
            </w:tcMar>
            <w:vAlign w:val="center"/>
          </w:tcPr>
          <w:p>
            <w:pPr>
              <w:jc w:val="center"/>
            </w:pPr>
            <w:r>
              <w:rPr>
                <w:b/>
                <w:bCs/>
                <w:color w:val="FFFFFF"/>
                <w:sz w:val="17"/>
                <w:szCs w:val="17"/>
              </w:rPr>
              <w:t xml:space="preserve">Net Income</w:t>
            </w:r>
          </w:p>
        </w:tc>
        <w:tc>
          <w:tcPr>
            <w:tcW w:type="dxa" w:w="1230"/>
            <w:shd w:fill="2E5395" w:val="clear"/>
            <w:tcMar>
              <w:top w:type="dxa" w:w="60"/>
              <w:left w:type="dxa" w:w="100"/>
              <w:bottom w:type="dxa" w:w="60"/>
              <w:right w:type="dxa" w:w="100"/>
            </w:tcMar>
            <w:vAlign w:val="center"/>
          </w:tcPr>
          <w:p>
            <w:pPr>
              <w:jc w:val="center"/>
            </w:pPr>
            <w:r>
              <w:rPr>
                <w:b/>
                <w:bCs/>
                <w:color w:val="FFFFFF"/>
                <w:sz w:val="17"/>
                <w:szCs w:val="17"/>
              </w:rPr>
              <w:t xml:space="preserve">Diluted EPS</w:t>
            </w:r>
          </w:p>
        </w:tc>
      </w:tr>
      <w:tr>
        <w:tc>
          <w:tcPr>
            <w:tcW w:type="dxa" w:w="1850"/>
            <w:tcMar>
              <w:top w:type="dxa" w:w="60"/>
              <w:left w:type="dxa" w:w="100"/>
              <w:bottom w:type="dxa" w:w="60"/>
              <w:right w:type="dxa" w:w="100"/>
            </w:tcMar>
            <w:vAlign w:val="center"/>
          </w:tcPr>
          <w:p>
            <w:pPr>
              <w:jc w:val="left"/>
            </w:pPr>
            <w:r>
              <w:rPr>
                <w:b w:val="false"/>
                <w:bCs w:val="false"/>
                <w:color w:val="000000"/>
                <w:sz w:val="17"/>
                <w:szCs w:val="17"/>
              </w:rPr>
              <w:t xml:space="preserve">Kraft Heinz (KHC)</w:t>
            </w:r>
          </w:p>
        </w:tc>
        <w:tc>
          <w:tcPr>
            <w:tcW w:type="dxa" w:w="1150"/>
            <w:tcMar>
              <w:top w:type="dxa" w:w="60"/>
              <w:left w:type="dxa" w:w="100"/>
              <w:bottom w:type="dxa" w:w="60"/>
              <w:right w:type="dxa" w:w="100"/>
            </w:tcMar>
            <w:vAlign w:val="center"/>
          </w:tcPr>
          <w:p>
            <w:pPr>
              <w:jc w:val="right"/>
            </w:pPr>
            <w:r>
              <w:rPr>
                <w:b w:val="false"/>
                <w:bCs w:val="false"/>
                <w:color w:val="000000"/>
                <w:sz w:val="17"/>
                <w:szCs w:val="17"/>
              </w:rPr>
              <w:t xml:space="preserve">FY2024</w:t>
            </w:r>
          </w:p>
        </w:tc>
        <w:tc>
          <w:tcPr>
            <w:tcW w:type="dxa" w:w="1300"/>
            <w:tcMar>
              <w:top w:type="dxa" w:w="60"/>
              <w:left w:type="dxa" w:w="100"/>
              <w:bottom w:type="dxa" w:w="60"/>
              <w:right w:type="dxa" w:w="100"/>
            </w:tcMar>
            <w:vAlign w:val="center"/>
          </w:tcPr>
          <w:p>
            <w:pPr>
              <w:jc w:val="right"/>
            </w:pPr>
            <w:r>
              <w:rPr>
                <w:b w:val="false"/>
                <w:bCs w:val="false"/>
                <w:color w:val="000000"/>
                <w:sz w:val="17"/>
                <w:szCs w:val="17"/>
              </w:rPr>
              <w:t xml:space="preserve">25,846</w:t>
            </w:r>
          </w:p>
        </w:tc>
        <w:tc>
          <w:tcPr>
            <w:tcW w:type="dxa" w:w="1460"/>
            <w:tcMar>
              <w:top w:type="dxa" w:w="60"/>
              <w:left w:type="dxa" w:w="100"/>
              <w:bottom w:type="dxa" w:w="60"/>
              <w:right w:type="dxa" w:w="100"/>
            </w:tcMar>
            <w:vAlign w:val="center"/>
          </w:tcPr>
          <w:p>
            <w:pPr>
              <w:jc w:val="right"/>
            </w:pPr>
            <w:r>
              <w:rPr>
                <w:b w:val="false"/>
                <w:bCs w:val="false"/>
                <w:color w:val="000000"/>
                <w:sz w:val="17"/>
                <w:szCs w:val="17"/>
              </w:rPr>
              <w:t xml:space="preserve">8,968</w:t>
            </w:r>
          </w:p>
        </w:tc>
        <w:tc>
          <w:tcPr>
            <w:tcW w:type="dxa" w:w="1610"/>
            <w:tcMar>
              <w:top w:type="dxa" w:w="60"/>
              <w:left w:type="dxa" w:w="100"/>
              <w:bottom w:type="dxa" w:w="60"/>
              <w:right w:type="dxa" w:w="100"/>
            </w:tcMar>
            <w:vAlign w:val="center"/>
          </w:tcPr>
          <w:p>
            <w:pPr>
              <w:jc w:val="right"/>
            </w:pPr>
            <w:r>
              <w:rPr>
                <w:b w:val="false"/>
                <w:bCs w:val="false"/>
                <w:color w:val="000000"/>
                <w:sz w:val="17"/>
                <w:szCs w:val="17"/>
              </w:rPr>
              <w:t xml:space="preserve">1,683</w:t>
            </w:r>
          </w:p>
        </w:tc>
        <w:tc>
          <w:tcPr>
            <w:tcW w:type="dxa" w:w="1300"/>
            <w:tcMar>
              <w:top w:type="dxa" w:w="60"/>
              <w:left w:type="dxa" w:w="100"/>
              <w:bottom w:type="dxa" w:w="60"/>
              <w:right w:type="dxa" w:w="100"/>
            </w:tcMar>
            <w:vAlign w:val="center"/>
          </w:tcPr>
          <w:p>
            <w:pPr>
              <w:jc w:val="right"/>
            </w:pPr>
            <w:r>
              <w:rPr>
                <w:b w:val="false"/>
                <w:bCs w:val="false"/>
                <w:color w:val="000000"/>
                <w:sz w:val="17"/>
                <w:szCs w:val="17"/>
              </w:rPr>
              <w:t xml:space="preserve">2,744</w:t>
            </w:r>
          </w:p>
        </w:tc>
        <w:tc>
          <w:tcPr>
            <w:tcW w:type="dxa" w:w="1230"/>
            <w:tcMar>
              <w:top w:type="dxa" w:w="60"/>
              <w:left w:type="dxa" w:w="100"/>
              <w:bottom w:type="dxa" w:w="60"/>
              <w:right w:type="dxa" w:w="100"/>
            </w:tcMar>
            <w:vAlign w:val="center"/>
          </w:tcPr>
          <w:p>
            <w:pPr>
              <w:jc w:val="right"/>
            </w:pPr>
            <w:r>
              <w:rPr>
                <w:b w:val="false"/>
                <w:bCs w:val="false"/>
                <w:color w:val="000000"/>
                <w:sz w:val="17"/>
                <w:szCs w:val="17"/>
              </w:rPr>
              <w:t xml:space="preserve">$2.26</w:t>
            </w:r>
          </w:p>
        </w:tc>
      </w:tr>
      <w:tr>
        <w:tc>
          <w:tcPr>
            <w:tcW w:type="dxa" w:w="18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Kraft Heinz (KHC)</w:t>
            </w:r>
          </w:p>
        </w:tc>
        <w:tc>
          <w:tcPr>
            <w:tcW w:type="dxa" w:w="115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FY2025</w:t>
            </w:r>
          </w:p>
        </w:tc>
        <w:tc>
          <w:tcPr>
            <w:tcW w:type="dxa" w:w="13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24,942</w:t>
            </w:r>
          </w:p>
        </w:tc>
        <w:tc>
          <w:tcPr>
            <w:tcW w:type="dxa" w:w="146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8,309</w:t>
            </w:r>
          </w:p>
        </w:tc>
        <w:tc>
          <w:tcPr>
            <w:tcW w:type="dxa" w:w="161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(4,669)</w:t>
            </w:r>
          </w:p>
        </w:tc>
        <w:tc>
          <w:tcPr>
            <w:tcW w:type="dxa" w:w="13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(5,846)</w:t>
            </w:r>
          </w:p>
        </w:tc>
        <w:tc>
          <w:tcPr>
            <w:tcW w:type="dxa" w:w="12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$(4.93)</w:t>
            </w:r>
          </w:p>
        </w:tc>
      </w:tr>
      <w:tr>
        <w:tc>
          <w:tcPr>
            <w:tcW w:type="dxa" w:w="1850"/>
            <w:tcMar>
              <w:top w:type="dxa" w:w="60"/>
              <w:left w:type="dxa" w:w="100"/>
              <w:bottom w:type="dxa" w:w="60"/>
              <w:right w:type="dxa" w:w="100"/>
            </w:tcMar>
            <w:vAlign w:val="center"/>
          </w:tcPr>
          <w:p>
            <w:pPr>
              <w:jc w:val="left"/>
            </w:pPr>
            <w:r>
              <w:rPr>
                <w:b w:val="false"/>
                <w:bCs w:val="false"/>
                <w:color w:val="000000"/>
                <w:sz w:val="17"/>
                <w:szCs w:val="17"/>
              </w:rPr>
              <w:t xml:space="preserve">General Mills (GIS)</w:t>
            </w:r>
          </w:p>
        </w:tc>
        <w:tc>
          <w:tcPr>
            <w:tcW w:type="dxa" w:w="1150"/>
            <w:tcMar>
              <w:top w:type="dxa" w:w="60"/>
              <w:left w:type="dxa" w:w="100"/>
              <w:bottom w:type="dxa" w:w="60"/>
              <w:right w:type="dxa" w:w="100"/>
            </w:tcMar>
            <w:vAlign w:val="center"/>
          </w:tcPr>
          <w:p>
            <w:pPr>
              <w:jc w:val="right"/>
            </w:pPr>
            <w:r>
              <w:rPr>
                <w:b w:val="false"/>
                <w:bCs w:val="false"/>
                <w:color w:val="000000"/>
                <w:sz w:val="17"/>
                <w:szCs w:val="17"/>
              </w:rPr>
              <w:t xml:space="preserve">FY2025</w:t>
            </w:r>
          </w:p>
        </w:tc>
        <w:tc>
          <w:tcPr>
            <w:tcW w:type="dxa" w:w="1300"/>
            <w:tcMar>
              <w:top w:type="dxa" w:w="60"/>
              <w:left w:type="dxa" w:w="100"/>
              <w:bottom w:type="dxa" w:w="60"/>
              <w:right w:type="dxa" w:w="100"/>
            </w:tcMar>
            <w:vAlign w:val="center"/>
          </w:tcPr>
          <w:p>
            <w:pPr>
              <w:jc w:val="right"/>
            </w:pPr>
            <w:r>
              <w:rPr>
                <w:b w:val="false"/>
                <w:bCs w:val="false"/>
                <w:color w:val="000000"/>
                <w:sz w:val="17"/>
                <w:szCs w:val="17"/>
              </w:rPr>
              <w:t xml:space="preserve">19,487</w:t>
            </w:r>
          </w:p>
        </w:tc>
        <w:tc>
          <w:tcPr>
            <w:tcW w:type="dxa" w:w="1460"/>
            <w:tcMar>
              <w:top w:type="dxa" w:w="60"/>
              <w:left w:type="dxa" w:w="100"/>
              <w:bottom w:type="dxa" w:w="60"/>
              <w:right w:type="dxa" w:w="100"/>
            </w:tcMar>
            <w:vAlign w:val="center"/>
          </w:tcPr>
          <w:p>
            <w:pPr>
              <w:jc w:val="right"/>
            </w:pPr>
            <w:r>
              <w:rPr>
                <w:b w:val="false"/>
                <w:bCs w:val="false"/>
                <w:color w:val="000000"/>
                <w:sz w:val="17"/>
                <w:szCs w:val="17"/>
              </w:rPr>
              <w:t xml:space="preserve">6,733</w:t>
            </w:r>
          </w:p>
        </w:tc>
        <w:tc>
          <w:tcPr>
            <w:tcW w:type="dxa" w:w="1610"/>
            <w:tcMar>
              <w:top w:type="dxa" w:w="60"/>
              <w:left w:type="dxa" w:w="100"/>
              <w:bottom w:type="dxa" w:w="60"/>
              <w:right w:type="dxa" w:w="100"/>
            </w:tcMar>
            <w:vAlign w:val="center"/>
          </w:tcPr>
          <w:p>
            <w:pPr>
              <w:jc w:val="right"/>
            </w:pPr>
            <w:r>
              <w:rPr>
                <w:b w:val="false"/>
                <w:bCs w:val="false"/>
                <w:color w:val="000000"/>
                <w:sz w:val="17"/>
                <w:szCs w:val="17"/>
              </w:rPr>
              <w:t xml:space="preserve">3,305</w:t>
            </w:r>
          </w:p>
        </w:tc>
        <w:tc>
          <w:tcPr>
            <w:tcW w:type="dxa" w:w="1300"/>
            <w:tcMar>
              <w:top w:type="dxa" w:w="60"/>
              <w:left w:type="dxa" w:w="100"/>
              <w:bottom w:type="dxa" w:w="60"/>
              <w:right w:type="dxa" w:w="100"/>
            </w:tcMar>
            <w:vAlign w:val="center"/>
          </w:tcPr>
          <w:p>
            <w:pPr>
              <w:jc w:val="right"/>
            </w:pPr>
            <w:r>
              <w:rPr>
                <w:b w:val="false"/>
                <w:bCs w:val="false"/>
                <w:color w:val="000000"/>
                <w:sz w:val="17"/>
                <w:szCs w:val="17"/>
              </w:rPr>
              <w:t xml:space="preserve">2,295</w:t>
            </w:r>
          </w:p>
        </w:tc>
        <w:tc>
          <w:tcPr>
            <w:tcW w:type="dxa" w:w="1230"/>
            <w:tcMar>
              <w:top w:type="dxa" w:w="60"/>
              <w:left w:type="dxa" w:w="100"/>
              <w:bottom w:type="dxa" w:w="60"/>
              <w:right w:type="dxa" w:w="100"/>
            </w:tcMar>
            <w:vAlign w:val="center"/>
          </w:tcPr>
          <w:p>
            <w:pPr>
              <w:jc w:val="right"/>
            </w:pPr>
            <w:r>
              <w:rPr>
                <w:b w:val="false"/>
                <w:bCs w:val="false"/>
                <w:color w:val="000000"/>
                <w:sz w:val="17"/>
                <w:szCs w:val="17"/>
              </w:rPr>
              <w:t xml:space="preserve">$4.10</w:t>
            </w:r>
          </w:p>
        </w:tc>
      </w:tr>
      <w:tr>
        <w:tc>
          <w:tcPr>
            <w:tcW w:type="dxa" w:w="18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General Mills (GIS)</w:t>
            </w:r>
          </w:p>
        </w:tc>
        <w:tc>
          <w:tcPr>
            <w:tcW w:type="dxa" w:w="115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FY2026</w:t>
            </w:r>
          </w:p>
        </w:tc>
        <w:tc>
          <w:tcPr>
            <w:tcW w:type="dxa" w:w="13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18,425</w:t>
            </w:r>
          </w:p>
        </w:tc>
        <w:tc>
          <w:tcPr>
            <w:tcW w:type="dxa" w:w="146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6,196</w:t>
            </w:r>
          </w:p>
        </w:tc>
        <w:tc>
          <w:tcPr>
            <w:tcW w:type="dxa" w:w="161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886</w:t>
            </w:r>
          </w:p>
        </w:tc>
        <w:tc>
          <w:tcPr>
            <w:tcW w:type="dxa" w:w="13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(88)</w:t>
            </w:r>
          </w:p>
        </w:tc>
        <w:tc>
          <w:tcPr>
            <w:tcW w:type="dxa" w:w="12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$(0.16)</w:t>
            </w:r>
          </w:p>
        </w:tc>
      </w:tr>
      <w:tr>
        <w:tc>
          <w:tcPr>
            <w:tcW w:type="dxa" w:w="1850"/>
            <w:tcMar>
              <w:top w:type="dxa" w:w="60"/>
              <w:left w:type="dxa" w:w="100"/>
              <w:bottom w:type="dxa" w:w="60"/>
              <w:right w:type="dxa" w:w="100"/>
            </w:tcMar>
            <w:vAlign w:val="center"/>
          </w:tcPr>
          <w:p>
            <w:pPr>
              <w:jc w:val="left"/>
            </w:pPr>
            <w:r>
              <w:rPr>
                <w:b w:val="false"/>
                <w:bCs w:val="false"/>
                <w:color w:val="000000"/>
                <w:sz w:val="17"/>
                <w:szCs w:val="17"/>
              </w:rPr>
              <w:t xml:space="preserve">Conagra Brands (CAG)</w:t>
            </w:r>
          </w:p>
        </w:tc>
        <w:tc>
          <w:tcPr>
            <w:tcW w:type="dxa" w:w="1150"/>
            <w:tcMar>
              <w:top w:type="dxa" w:w="60"/>
              <w:left w:type="dxa" w:w="100"/>
              <w:bottom w:type="dxa" w:w="60"/>
              <w:right w:type="dxa" w:w="100"/>
            </w:tcMar>
            <w:vAlign w:val="center"/>
          </w:tcPr>
          <w:p>
            <w:pPr>
              <w:jc w:val="right"/>
            </w:pPr>
            <w:r>
              <w:rPr>
                <w:b w:val="false"/>
                <w:bCs w:val="false"/>
                <w:color w:val="000000"/>
                <w:sz w:val="17"/>
                <w:szCs w:val="17"/>
              </w:rPr>
              <w:t xml:space="preserve">FY2025</w:t>
            </w:r>
          </w:p>
        </w:tc>
        <w:tc>
          <w:tcPr>
            <w:tcW w:type="dxa" w:w="1300"/>
            <w:tcMar>
              <w:top w:type="dxa" w:w="60"/>
              <w:left w:type="dxa" w:w="100"/>
              <w:bottom w:type="dxa" w:w="60"/>
              <w:right w:type="dxa" w:w="100"/>
            </w:tcMar>
            <w:vAlign w:val="center"/>
          </w:tcPr>
          <w:p>
            <w:pPr>
              <w:jc w:val="right"/>
            </w:pPr>
            <w:r>
              <w:rPr>
                <w:b w:val="false"/>
                <w:bCs w:val="false"/>
                <w:color w:val="000000"/>
                <w:sz w:val="17"/>
                <w:szCs w:val="17"/>
              </w:rPr>
              <w:t xml:space="preserve">11,613</w:t>
            </w:r>
          </w:p>
        </w:tc>
        <w:tc>
          <w:tcPr>
            <w:tcW w:type="dxa" w:w="1460"/>
            <w:tcMar>
              <w:top w:type="dxa" w:w="60"/>
              <w:left w:type="dxa" w:w="100"/>
              <w:bottom w:type="dxa" w:w="60"/>
              <w:right w:type="dxa" w:w="100"/>
            </w:tcMar>
            <w:vAlign w:val="center"/>
          </w:tcPr>
          <w:p>
            <w:pPr>
              <w:jc w:val="right"/>
            </w:pPr>
            <w:r>
              <w:rPr>
                <w:b w:val="false"/>
                <w:bCs w:val="false"/>
                <w:color w:val="000000"/>
                <w:sz w:val="17"/>
                <w:szCs w:val="17"/>
              </w:rPr>
              <w:t xml:space="preserve">3,004</w:t>
            </w:r>
          </w:p>
        </w:tc>
        <w:tc>
          <w:tcPr>
            <w:tcW w:type="dxa" w:w="1610"/>
            <w:tcMar>
              <w:top w:type="dxa" w:w="60"/>
              <w:left w:type="dxa" w:w="100"/>
              <w:bottom w:type="dxa" w:w="60"/>
              <w:right w:type="dxa" w:w="100"/>
            </w:tcMar>
            <w:vAlign w:val="center"/>
          </w:tcPr>
          <w:p>
            <w:pPr>
              <w:jc w:val="right"/>
            </w:pPr>
            <w:r>
              <w:rPr>
                <w:b w:val="false"/>
                <w:bCs w:val="false"/>
                <w:color w:val="000000"/>
                <w:sz w:val="17"/>
                <w:szCs w:val="17"/>
              </w:rPr>
              <w:t xml:space="preserve">1,365</w:t>
            </w:r>
          </w:p>
        </w:tc>
        <w:tc>
          <w:tcPr>
            <w:tcW w:type="dxa" w:w="1300"/>
            <w:tcMar>
              <w:top w:type="dxa" w:w="60"/>
              <w:left w:type="dxa" w:w="100"/>
              <w:bottom w:type="dxa" w:w="60"/>
              <w:right w:type="dxa" w:w="100"/>
            </w:tcMar>
            <w:vAlign w:val="center"/>
          </w:tcPr>
          <w:p>
            <w:pPr>
              <w:jc w:val="right"/>
            </w:pPr>
            <w:r>
              <w:rPr>
                <w:b w:val="false"/>
                <w:bCs w:val="false"/>
                <w:color w:val="000000"/>
                <w:sz w:val="17"/>
                <w:szCs w:val="17"/>
              </w:rPr>
              <w:t xml:space="preserve">1,152</w:t>
            </w:r>
          </w:p>
        </w:tc>
        <w:tc>
          <w:tcPr>
            <w:tcW w:type="dxa" w:w="1230"/>
            <w:tcMar>
              <w:top w:type="dxa" w:w="60"/>
              <w:left w:type="dxa" w:w="100"/>
              <w:bottom w:type="dxa" w:w="60"/>
              <w:right w:type="dxa" w:w="100"/>
            </w:tcMar>
            <w:vAlign w:val="center"/>
          </w:tcPr>
          <w:p>
            <w:pPr>
              <w:jc w:val="right"/>
            </w:pPr>
            <w:r>
              <w:rPr>
                <w:b w:val="false"/>
                <w:bCs w:val="false"/>
                <w:color w:val="000000"/>
                <w:sz w:val="17"/>
                <w:szCs w:val="17"/>
              </w:rPr>
              <w:t xml:space="preserve">$2.40</w:t>
            </w:r>
          </w:p>
        </w:tc>
      </w:tr>
      <w:tr>
        <w:tc>
          <w:tcPr>
            <w:tcW w:type="dxa" w:w="18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Conagra Brands (CAG)</w:t>
            </w:r>
          </w:p>
        </w:tc>
        <w:tc>
          <w:tcPr>
            <w:tcW w:type="dxa" w:w="115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FY2026</w:t>
            </w:r>
          </w:p>
        </w:tc>
        <w:tc>
          <w:tcPr>
            <w:tcW w:type="dxa" w:w="13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11,282</w:t>
            </w:r>
          </w:p>
        </w:tc>
        <w:tc>
          <w:tcPr>
            <w:tcW w:type="dxa" w:w="146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2,698</w:t>
            </w:r>
          </w:p>
        </w:tc>
        <w:tc>
          <w:tcPr>
            <w:tcW w:type="dxa" w:w="161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(1,628)</w:t>
            </w:r>
          </w:p>
        </w:tc>
        <w:tc>
          <w:tcPr>
            <w:tcW w:type="dxa" w:w="13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(1,916)</w:t>
            </w:r>
          </w:p>
        </w:tc>
        <w:tc>
          <w:tcPr>
            <w:tcW w:type="dxa" w:w="12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$(4.00)</w:t>
            </w:r>
          </w:p>
        </w:tc>
      </w:tr>
    </w:tbl>
    <w:p>
      <w:pPr>
        <w:spacing w:after="240"/>
      </w:pPr>
      <w:r>
        <w:rPr>
          <w:i/>
          <w:iCs/>
          <w:color w:val="666666"/>
          <w:sz w:val="16"/>
          <w:szCs w:val="16"/>
        </w:rPr>
        <w:t xml:space="preserve">Source: Stockanalysis.com standardized financials (Fiscal.ai), cross-referenced to each company's 10-K on SEC EDGAR.</w:t>
      </w:r>
    </w:p>
    <w:p>
      <w:pPr>
        <w:spacing w:after="160" w:line="276"/>
        <w:jc w:val="both"/>
      </w:pPr>
      <w:r>
        <w:t xml:space="preserve">All three companies swung from a solidly profitable prior year into a net loss in their latest reported fiscal year. In each case, the swing was driven predominantly by a large non-cash goodwill and/or indefinite-lived intangible asset impairment charge, not by a collapse in underlying cash operating performance:</w:t>
      </w:r>
    </w:p>
    <w:p>
      <w:pPr>
        <w:pStyle w:val="ListParagraph"/>
        <w:numPr>
          <w:ilvl w:val="0"/>
          <w:numId w:val="2"/>
        </w:numPr>
        <w:spacing w:after="80"/>
      </w:pPr>
      <w:r>
        <w:t xml:space="preserve">Kraft Heinz recognized approximately $9.3 billion of non-cash goodwill and intangible impairment charges in FY2025, driving operating income to -$4.7 billion (a -18.7% operating margin) despite gross margin holding roughly steady at 33.3% (vs. 34.7% in FY2024).</w:t>
      </w:r>
    </w:p>
    <w:p>
      <w:pPr>
        <w:pStyle w:val="ListParagraph"/>
        <w:numPr>
          <w:ilvl w:val="0"/>
          <w:numId w:val="2"/>
        </w:numPr>
        <w:spacing w:after="80"/>
      </w:pPr>
      <w:r>
        <w:t xml:space="preserve">General Mills' operating margin fell from 17.0% (FY2025) to 4.8% (FY2026), and Conagra's from 11.75% (FY2025) to -14.4% (FY2026), both also substantially impairment-driven, layered on top of genuine volume softness across the category.</w:t>
      </w:r>
    </w:p>
    <w:p>
      <w:pPr>
        <w:spacing w:after="160" w:line="276"/>
        <w:jc w:val="both"/>
      </w:pPr>
      <w:r>
        <w:t xml:space="preserve">This is an important interpretive point carried through the remainder of this report: profitability and return ratios for the latest fiscal year are materially distorted by non-cash, non-recurring items, and should be read alongside the prior year's (pre-impairment) figures and the operating cash flow data, which held up far better than reported net income in every case (see Section 2.1.3).</w:t>
      </w:r>
    </w:p>
    <w:p>
      <w:pPr>
        <w:pStyle w:val="Heading3"/>
        <w:spacing w:after="100" w:before="200"/>
      </w:pPr>
      <w:r>
        <w:rPr>
          <w:b/>
          <w:bCs/>
        </w:rPr>
        <w:t xml:space="preserve">Balance Sheet — Summary (latest fiscal year)</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1710"/>
        <w:gridCol w:w="1350"/>
        <w:gridCol w:w="1500"/>
        <w:gridCol w:w="1500"/>
        <w:gridCol w:w="1350"/>
        <w:gridCol w:w="1210"/>
        <w:gridCol w:w="1280"/>
      </w:tblGrid>
      <w:tr>
        <w:trPr>
          <w:tblHeader/>
        </w:trPr>
        <w:tc>
          <w:tcPr>
            <w:tcW w:type="dxa" w:w="1710"/>
            <w:shd w:fill="2E5395" w:val="clear"/>
            <w:tcMar>
              <w:top w:type="dxa" w:w="60"/>
              <w:left w:type="dxa" w:w="100"/>
              <w:bottom w:type="dxa" w:w="60"/>
              <w:right w:type="dxa" w:w="100"/>
            </w:tcMar>
            <w:vAlign w:val="center"/>
          </w:tcPr>
          <w:p>
            <w:pPr>
              <w:jc w:val="center"/>
            </w:pPr>
            <w:r>
              <w:rPr>
                <w:b/>
                <w:bCs/>
                <w:color w:val="FFFFFF"/>
                <w:sz w:val="17"/>
                <w:szCs w:val="17"/>
              </w:rPr>
              <w:t xml:space="preserve">Company (Latest FY)</w:t>
            </w:r>
          </w:p>
        </w:tc>
        <w:tc>
          <w:tcPr>
            <w:tcW w:type="dxa" w:w="1350"/>
            <w:shd w:fill="2E5395" w:val="clear"/>
            <w:tcMar>
              <w:top w:type="dxa" w:w="60"/>
              <w:left w:type="dxa" w:w="100"/>
              <w:bottom w:type="dxa" w:w="60"/>
              <w:right w:type="dxa" w:w="100"/>
            </w:tcMar>
            <w:vAlign w:val="center"/>
          </w:tcPr>
          <w:p>
            <w:pPr>
              <w:jc w:val="center"/>
            </w:pPr>
            <w:r>
              <w:rPr>
                <w:b/>
                <w:bCs/>
                <w:color w:val="FFFFFF"/>
                <w:sz w:val="17"/>
                <w:szCs w:val="17"/>
              </w:rPr>
              <w:t xml:space="preserve">Total Assets</w:t>
            </w:r>
          </w:p>
        </w:tc>
        <w:tc>
          <w:tcPr>
            <w:tcW w:type="dxa" w:w="1500"/>
            <w:shd w:fill="2E5395" w:val="clear"/>
            <w:tcMar>
              <w:top w:type="dxa" w:w="60"/>
              <w:left w:type="dxa" w:w="100"/>
              <w:bottom w:type="dxa" w:w="60"/>
              <w:right w:type="dxa" w:w="100"/>
            </w:tcMar>
            <w:vAlign w:val="center"/>
          </w:tcPr>
          <w:p>
            <w:pPr>
              <w:jc w:val="center"/>
            </w:pPr>
            <w:r>
              <w:rPr>
                <w:b/>
                <w:bCs/>
                <w:color w:val="FFFFFF"/>
                <w:sz w:val="17"/>
                <w:szCs w:val="17"/>
              </w:rPr>
              <w:t xml:space="preserve">Total Current Assets</w:t>
            </w:r>
          </w:p>
        </w:tc>
        <w:tc>
          <w:tcPr>
            <w:tcW w:type="dxa" w:w="1500"/>
            <w:shd w:fill="2E5395" w:val="clear"/>
            <w:tcMar>
              <w:top w:type="dxa" w:w="60"/>
              <w:left w:type="dxa" w:w="100"/>
              <w:bottom w:type="dxa" w:w="60"/>
              <w:right w:type="dxa" w:w="100"/>
            </w:tcMar>
            <w:vAlign w:val="center"/>
          </w:tcPr>
          <w:p>
            <w:pPr>
              <w:jc w:val="center"/>
            </w:pPr>
            <w:r>
              <w:rPr>
                <w:b/>
                <w:bCs/>
                <w:color w:val="FFFFFF"/>
                <w:sz w:val="17"/>
                <w:szCs w:val="17"/>
              </w:rPr>
              <w:t xml:space="preserve">Total Current Liab.</w:t>
            </w:r>
          </w:p>
        </w:tc>
        <w:tc>
          <w:tcPr>
            <w:tcW w:type="dxa" w:w="1350"/>
            <w:shd w:fill="2E5395" w:val="clear"/>
            <w:tcMar>
              <w:top w:type="dxa" w:w="60"/>
              <w:left w:type="dxa" w:w="100"/>
              <w:bottom w:type="dxa" w:w="60"/>
              <w:right w:type="dxa" w:w="100"/>
            </w:tcMar>
            <w:vAlign w:val="center"/>
          </w:tcPr>
          <w:p>
            <w:pPr>
              <w:jc w:val="center"/>
            </w:pPr>
            <w:r>
              <w:rPr>
                <w:b/>
                <w:bCs/>
                <w:color w:val="FFFFFF"/>
                <w:sz w:val="17"/>
                <w:szCs w:val="17"/>
              </w:rPr>
              <w:t xml:space="preserve">Total Liabilities</w:t>
            </w:r>
          </w:p>
        </w:tc>
        <w:tc>
          <w:tcPr>
            <w:tcW w:type="dxa" w:w="1210"/>
            <w:shd w:fill="2E5395" w:val="clear"/>
            <w:tcMar>
              <w:top w:type="dxa" w:w="60"/>
              <w:left w:type="dxa" w:w="100"/>
              <w:bottom w:type="dxa" w:w="60"/>
              <w:right w:type="dxa" w:w="100"/>
            </w:tcMar>
            <w:vAlign w:val="center"/>
          </w:tcPr>
          <w:p>
            <w:pPr>
              <w:jc w:val="center"/>
            </w:pPr>
            <w:r>
              <w:rPr>
                <w:b/>
                <w:bCs/>
                <w:color w:val="FFFFFF"/>
                <w:sz w:val="17"/>
                <w:szCs w:val="17"/>
              </w:rPr>
              <w:t xml:space="preserve">Total Debt</w:t>
            </w:r>
          </w:p>
        </w:tc>
        <w:tc>
          <w:tcPr>
            <w:tcW w:type="dxa" w:w="1280"/>
            <w:shd w:fill="2E5395" w:val="clear"/>
            <w:tcMar>
              <w:top w:type="dxa" w:w="60"/>
              <w:left w:type="dxa" w:w="100"/>
              <w:bottom w:type="dxa" w:w="60"/>
              <w:right w:type="dxa" w:w="100"/>
            </w:tcMar>
            <w:vAlign w:val="center"/>
          </w:tcPr>
          <w:p>
            <w:pPr>
              <w:jc w:val="center"/>
            </w:pPr>
            <w:r>
              <w:rPr>
                <w:b/>
                <w:bCs/>
                <w:color w:val="FFFFFF"/>
                <w:sz w:val="17"/>
                <w:szCs w:val="17"/>
              </w:rPr>
              <w:t xml:space="preserve">Total Equity</w:t>
            </w:r>
          </w:p>
        </w:tc>
      </w:tr>
      <w:tr>
        <w:tc>
          <w:tcPr>
            <w:tcW w:type="dxa" w:w="1710"/>
            <w:tcMar>
              <w:top w:type="dxa" w:w="60"/>
              <w:left w:type="dxa" w:w="100"/>
              <w:bottom w:type="dxa" w:w="60"/>
              <w:right w:type="dxa" w:w="100"/>
            </w:tcMar>
            <w:vAlign w:val="center"/>
          </w:tcPr>
          <w:p>
            <w:pPr>
              <w:jc w:val="left"/>
            </w:pPr>
            <w:r>
              <w:rPr>
                <w:b w:val="false"/>
                <w:bCs w:val="false"/>
                <w:color w:val="000000"/>
                <w:sz w:val="17"/>
                <w:szCs w:val="17"/>
              </w:rPr>
              <w:t xml:space="preserve">KHC — FY2025</w:t>
            </w:r>
          </w:p>
        </w:tc>
        <w:tc>
          <w:tcPr>
            <w:tcW w:type="dxa" w:w="1350"/>
            <w:tcMar>
              <w:top w:type="dxa" w:w="60"/>
              <w:left w:type="dxa" w:w="100"/>
              <w:bottom w:type="dxa" w:w="60"/>
              <w:right w:type="dxa" w:w="100"/>
            </w:tcMar>
            <w:vAlign w:val="center"/>
          </w:tcPr>
          <w:p>
            <w:pPr>
              <w:jc w:val="right"/>
            </w:pPr>
            <w:r>
              <w:rPr>
                <w:b w:val="false"/>
                <w:bCs w:val="false"/>
                <w:color w:val="000000"/>
                <w:sz w:val="17"/>
                <w:szCs w:val="17"/>
              </w:rPr>
              <w:t xml:space="preserve">81,786</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10,127</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8,778</w:t>
            </w:r>
          </w:p>
        </w:tc>
        <w:tc>
          <w:tcPr>
            <w:tcW w:type="dxa" w:w="1350"/>
            <w:tcMar>
              <w:top w:type="dxa" w:w="60"/>
              <w:left w:type="dxa" w:w="100"/>
              <w:bottom w:type="dxa" w:w="60"/>
              <w:right w:type="dxa" w:w="100"/>
            </w:tcMar>
            <w:vAlign w:val="center"/>
          </w:tcPr>
          <w:p>
            <w:pPr>
              <w:jc w:val="right"/>
            </w:pPr>
            <w:r>
              <w:rPr>
                <w:b w:val="false"/>
                <w:bCs w:val="false"/>
                <w:color w:val="000000"/>
                <w:sz w:val="17"/>
                <w:szCs w:val="17"/>
              </w:rPr>
              <w:t xml:space="preserve">39,997</w:t>
            </w:r>
          </w:p>
        </w:tc>
        <w:tc>
          <w:tcPr>
            <w:tcW w:type="dxa" w:w="1210"/>
            <w:tcMar>
              <w:top w:type="dxa" w:w="60"/>
              <w:left w:type="dxa" w:w="100"/>
              <w:bottom w:type="dxa" w:w="60"/>
              <w:right w:type="dxa" w:w="100"/>
            </w:tcMar>
            <w:vAlign w:val="center"/>
          </w:tcPr>
          <w:p>
            <w:pPr>
              <w:jc w:val="right"/>
            </w:pPr>
            <w:r>
              <w:rPr>
                <w:b w:val="false"/>
                <w:bCs w:val="false"/>
                <w:color w:val="000000"/>
                <w:sz w:val="17"/>
                <w:szCs w:val="17"/>
              </w:rPr>
              <w:t xml:space="preserve">21,219</w:t>
            </w:r>
          </w:p>
        </w:tc>
        <w:tc>
          <w:tcPr>
            <w:tcW w:type="dxa" w:w="1280"/>
            <w:tcMar>
              <w:top w:type="dxa" w:w="60"/>
              <w:left w:type="dxa" w:w="100"/>
              <w:bottom w:type="dxa" w:w="60"/>
              <w:right w:type="dxa" w:w="100"/>
            </w:tcMar>
            <w:vAlign w:val="center"/>
          </w:tcPr>
          <w:p>
            <w:pPr>
              <w:jc w:val="right"/>
            </w:pPr>
            <w:r>
              <w:rPr>
                <w:b w:val="false"/>
                <w:bCs w:val="false"/>
                <w:color w:val="000000"/>
                <w:sz w:val="17"/>
                <w:szCs w:val="17"/>
              </w:rPr>
              <w:t xml:space="preserve">41,789</w:t>
            </w:r>
          </w:p>
        </w:tc>
      </w:tr>
      <w:tr>
        <w:tc>
          <w:tcPr>
            <w:tcW w:type="dxa" w:w="171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GIS — FY2026</w:t>
            </w:r>
          </w:p>
        </w:tc>
        <w:tc>
          <w:tcPr>
            <w:tcW w:type="dxa" w:w="135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30,017</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4,618</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6,774</w:t>
            </w:r>
          </w:p>
        </w:tc>
        <w:tc>
          <w:tcPr>
            <w:tcW w:type="dxa" w:w="135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22,636</w:t>
            </w:r>
          </w:p>
        </w:tc>
        <w:tc>
          <w:tcPr>
            <w:tcW w:type="dxa" w:w="121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13,538</w:t>
            </w:r>
          </w:p>
        </w:tc>
        <w:tc>
          <w:tcPr>
            <w:tcW w:type="dxa" w:w="128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7,381</w:t>
            </w:r>
          </w:p>
        </w:tc>
      </w:tr>
      <w:tr>
        <w:tc>
          <w:tcPr>
            <w:tcW w:type="dxa" w:w="1710"/>
            <w:tcMar>
              <w:top w:type="dxa" w:w="60"/>
              <w:left w:type="dxa" w:w="100"/>
              <w:bottom w:type="dxa" w:w="60"/>
              <w:right w:type="dxa" w:w="100"/>
            </w:tcMar>
            <w:vAlign w:val="center"/>
          </w:tcPr>
          <w:p>
            <w:pPr>
              <w:jc w:val="left"/>
            </w:pPr>
            <w:r>
              <w:rPr>
                <w:b w:val="false"/>
                <w:bCs w:val="false"/>
                <w:color w:val="000000"/>
                <w:sz w:val="17"/>
                <w:szCs w:val="17"/>
              </w:rPr>
              <w:t xml:space="preserve">CAG — FY2026</w:t>
            </w:r>
          </w:p>
        </w:tc>
        <w:tc>
          <w:tcPr>
            <w:tcW w:type="dxa" w:w="1350"/>
            <w:tcMar>
              <w:top w:type="dxa" w:w="60"/>
              <w:left w:type="dxa" w:w="100"/>
              <w:bottom w:type="dxa" w:w="60"/>
              <w:right w:type="dxa" w:w="100"/>
            </w:tcMar>
            <w:vAlign w:val="center"/>
          </w:tcPr>
          <w:p>
            <w:pPr>
              <w:jc w:val="right"/>
            </w:pPr>
            <w:r>
              <w:rPr>
                <w:b w:val="false"/>
                <w:bCs w:val="false"/>
                <w:color w:val="000000"/>
                <w:sz w:val="17"/>
                <w:szCs w:val="17"/>
              </w:rPr>
              <w:t xml:space="preserve">17,274</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2,882</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3,188</w:t>
            </w:r>
          </w:p>
        </w:tc>
        <w:tc>
          <w:tcPr>
            <w:tcW w:type="dxa" w:w="1350"/>
            <w:tcMar>
              <w:top w:type="dxa" w:w="60"/>
              <w:left w:type="dxa" w:w="100"/>
              <w:bottom w:type="dxa" w:w="60"/>
              <w:right w:type="dxa" w:w="100"/>
            </w:tcMar>
            <w:vAlign w:val="center"/>
          </w:tcPr>
          <w:p>
            <w:pPr>
              <w:jc w:val="right"/>
            </w:pPr>
            <w:r>
              <w:rPr>
                <w:b w:val="false"/>
                <w:bCs w:val="false"/>
                <w:color w:val="000000"/>
                <w:sz w:val="17"/>
                <w:szCs w:val="17"/>
              </w:rPr>
              <w:t xml:space="preserve">10,917</w:t>
            </w:r>
          </w:p>
        </w:tc>
        <w:tc>
          <w:tcPr>
            <w:tcW w:type="dxa" w:w="1210"/>
            <w:tcMar>
              <w:top w:type="dxa" w:w="60"/>
              <w:left w:type="dxa" w:w="100"/>
              <w:bottom w:type="dxa" w:w="60"/>
              <w:right w:type="dxa" w:w="100"/>
            </w:tcMar>
            <w:vAlign w:val="center"/>
          </w:tcPr>
          <w:p>
            <w:pPr>
              <w:jc w:val="right"/>
            </w:pPr>
            <w:r>
              <w:rPr>
                <w:b w:val="false"/>
                <w:bCs w:val="false"/>
                <w:color w:val="000000"/>
                <w:sz w:val="17"/>
                <w:szCs w:val="17"/>
              </w:rPr>
              <w:t xml:space="preserve">7,268</w:t>
            </w:r>
          </w:p>
        </w:tc>
        <w:tc>
          <w:tcPr>
            <w:tcW w:type="dxa" w:w="1280"/>
            <w:tcMar>
              <w:top w:type="dxa" w:w="60"/>
              <w:left w:type="dxa" w:w="100"/>
              <w:bottom w:type="dxa" w:w="60"/>
              <w:right w:type="dxa" w:w="100"/>
            </w:tcMar>
            <w:vAlign w:val="center"/>
          </w:tcPr>
          <w:p>
            <w:pPr>
              <w:jc w:val="right"/>
            </w:pPr>
            <w:r>
              <w:rPr>
                <w:b w:val="false"/>
                <w:bCs w:val="false"/>
                <w:color w:val="000000"/>
                <w:sz w:val="17"/>
                <w:szCs w:val="17"/>
              </w:rPr>
              <w:t xml:space="preserve">6,358</w:t>
            </w:r>
          </w:p>
        </w:tc>
      </w:tr>
    </w:tbl>
    <w:p>
      <w:pPr>
        <w:spacing w:after="240"/>
      </w:pPr>
      <w:r>
        <w:rPr>
          <w:i/>
          <w:iCs/>
          <w:color w:val="666666"/>
          <w:sz w:val="16"/>
          <w:szCs w:val="16"/>
        </w:rPr>
        <w:t xml:space="preserve">Source: Stockanalysis.com standardized financials (Fiscal.ai), cross-referenced to each company's 10-K on SEC EDGAR.</w:t>
      </w:r>
    </w:p>
    <w:p>
      <w:pPr>
        <w:spacing w:after="160" w:line="276"/>
        <w:jc w:val="both"/>
      </w:pPr>
      <w:r>
        <w:t xml:space="preserve">Kraft Heinz remains by far the largest balance sheet of the three (reflecting its 2015 mega-merger heritage), but it also carries the largest absolute goodwill/intangible base ($59.7 billion combined at FY2025, before further amortization/impairment) — a structural vulnerability common to all three companies' M&amp;A-built brand portfolios, and the direct source of the FY2025/FY2026 impairment charges discussed above.</w:t>
      </w:r>
    </w:p>
    <w:p>
      <w:pPr>
        <w:pStyle w:val="Heading3"/>
        <w:spacing w:after="100" w:before="200"/>
      </w:pPr>
      <w:r>
        <w:rPr>
          <w:b/>
          <w:bCs/>
        </w:rPr>
        <w:t xml:space="preserve">Cash Flow Statement — Summary (latest fiscal year)</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280"/>
        <w:gridCol w:w="2100"/>
        <w:gridCol w:w="2100"/>
        <w:gridCol w:w="1840"/>
        <w:gridCol w:w="1580"/>
      </w:tblGrid>
      <w:tr>
        <w:trPr>
          <w:tblHeader/>
        </w:trPr>
        <w:tc>
          <w:tcPr>
            <w:tcW w:type="dxa" w:w="2280"/>
            <w:shd w:fill="2E5395" w:val="clear"/>
            <w:tcMar>
              <w:top w:type="dxa" w:w="60"/>
              <w:left w:type="dxa" w:w="100"/>
              <w:bottom w:type="dxa" w:w="60"/>
              <w:right w:type="dxa" w:w="100"/>
            </w:tcMar>
            <w:vAlign w:val="center"/>
          </w:tcPr>
          <w:p>
            <w:pPr>
              <w:jc w:val="center"/>
            </w:pPr>
            <w:r>
              <w:rPr>
                <w:b/>
                <w:bCs/>
                <w:color w:val="FFFFFF"/>
                <w:sz w:val="17"/>
                <w:szCs w:val="17"/>
              </w:rPr>
              <w:t xml:space="preserve">Company (Latest FY)</w:t>
            </w:r>
          </w:p>
        </w:tc>
        <w:tc>
          <w:tcPr>
            <w:tcW w:type="dxa" w:w="2100"/>
            <w:shd w:fill="2E5395" w:val="clear"/>
            <w:tcMar>
              <w:top w:type="dxa" w:w="60"/>
              <w:left w:type="dxa" w:w="100"/>
              <w:bottom w:type="dxa" w:w="60"/>
              <w:right w:type="dxa" w:w="100"/>
            </w:tcMar>
            <w:vAlign w:val="center"/>
          </w:tcPr>
          <w:p>
            <w:pPr>
              <w:jc w:val="center"/>
            </w:pPr>
            <w:r>
              <w:rPr>
                <w:b/>
                <w:bCs/>
                <w:color w:val="FFFFFF"/>
                <w:sz w:val="17"/>
                <w:szCs w:val="17"/>
              </w:rPr>
              <w:t xml:space="preserve">Operating Cash Flow</w:t>
            </w:r>
          </w:p>
        </w:tc>
        <w:tc>
          <w:tcPr>
            <w:tcW w:type="dxa" w:w="2100"/>
            <w:shd w:fill="2E5395" w:val="clear"/>
            <w:tcMar>
              <w:top w:type="dxa" w:w="60"/>
              <w:left w:type="dxa" w:w="100"/>
              <w:bottom w:type="dxa" w:w="60"/>
              <w:right w:type="dxa" w:w="100"/>
            </w:tcMar>
            <w:vAlign w:val="center"/>
          </w:tcPr>
          <w:p>
            <w:pPr>
              <w:jc w:val="center"/>
            </w:pPr>
            <w:r>
              <w:rPr>
                <w:b/>
                <w:bCs/>
                <w:color w:val="FFFFFF"/>
                <w:sz w:val="17"/>
                <w:szCs w:val="17"/>
              </w:rPr>
              <w:t xml:space="preserve">Capital Expenditure</w:t>
            </w:r>
          </w:p>
        </w:tc>
        <w:tc>
          <w:tcPr>
            <w:tcW w:type="dxa" w:w="1840"/>
            <w:shd w:fill="2E5395" w:val="clear"/>
            <w:tcMar>
              <w:top w:type="dxa" w:w="60"/>
              <w:left w:type="dxa" w:w="100"/>
              <w:bottom w:type="dxa" w:w="60"/>
              <w:right w:type="dxa" w:w="100"/>
            </w:tcMar>
            <w:vAlign w:val="center"/>
          </w:tcPr>
          <w:p>
            <w:pPr>
              <w:jc w:val="center"/>
            </w:pPr>
            <w:r>
              <w:rPr>
                <w:b/>
                <w:bCs/>
                <w:color w:val="FFFFFF"/>
                <w:sz w:val="17"/>
                <w:szCs w:val="17"/>
              </w:rPr>
              <w:t xml:space="preserve">Free Cash Flow</w:t>
            </w:r>
          </w:p>
        </w:tc>
        <w:tc>
          <w:tcPr>
            <w:tcW w:type="dxa" w:w="1580"/>
            <w:shd w:fill="2E5395" w:val="clear"/>
            <w:tcMar>
              <w:top w:type="dxa" w:w="60"/>
              <w:left w:type="dxa" w:w="100"/>
              <w:bottom w:type="dxa" w:w="60"/>
              <w:right w:type="dxa" w:w="100"/>
            </w:tcMar>
            <w:vAlign w:val="center"/>
          </w:tcPr>
          <w:p>
            <w:pPr>
              <w:jc w:val="center"/>
            </w:pPr>
            <w:r>
              <w:rPr>
                <w:b/>
                <w:bCs/>
                <w:color w:val="FFFFFF"/>
                <w:sz w:val="17"/>
                <w:szCs w:val="17"/>
              </w:rPr>
              <w:t xml:space="preserve">FCF Margin</w:t>
            </w:r>
          </w:p>
        </w:tc>
      </w:tr>
      <w:tr>
        <w:tc>
          <w:tcPr>
            <w:tcW w:type="dxa" w:w="2280"/>
            <w:tcMar>
              <w:top w:type="dxa" w:w="60"/>
              <w:left w:type="dxa" w:w="100"/>
              <w:bottom w:type="dxa" w:w="60"/>
              <w:right w:type="dxa" w:w="100"/>
            </w:tcMar>
            <w:vAlign w:val="center"/>
          </w:tcPr>
          <w:p>
            <w:pPr>
              <w:jc w:val="left"/>
            </w:pPr>
            <w:r>
              <w:rPr>
                <w:b w:val="false"/>
                <w:bCs w:val="false"/>
                <w:color w:val="000000"/>
                <w:sz w:val="17"/>
                <w:szCs w:val="17"/>
              </w:rPr>
              <w:t xml:space="preserve">KHC — FY2025</w:t>
            </w:r>
          </w:p>
        </w:tc>
        <w:tc>
          <w:tcPr>
            <w:tcW w:type="dxa" w:w="2100"/>
            <w:tcMar>
              <w:top w:type="dxa" w:w="60"/>
              <w:left w:type="dxa" w:w="100"/>
              <w:bottom w:type="dxa" w:w="60"/>
              <w:right w:type="dxa" w:w="100"/>
            </w:tcMar>
            <w:vAlign w:val="center"/>
          </w:tcPr>
          <w:p>
            <w:pPr>
              <w:jc w:val="right"/>
            </w:pPr>
            <w:r>
              <w:rPr>
                <w:b w:val="false"/>
                <w:bCs w:val="false"/>
                <w:color w:val="000000"/>
                <w:sz w:val="17"/>
                <w:szCs w:val="17"/>
              </w:rPr>
              <w:t xml:space="preserve">4,462</w:t>
            </w:r>
          </w:p>
        </w:tc>
        <w:tc>
          <w:tcPr>
            <w:tcW w:type="dxa" w:w="2100"/>
            <w:tcMar>
              <w:top w:type="dxa" w:w="60"/>
              <w:left w:type="dxa" w:w="100"/>
              <w:bottom w:type="dxa" w:w="60"/>
              <w:right w:type="dxa" w:w="100"/>
            </w:tcMar>
            <w:vAlign w:val="center"/>
          </w:tcPr>
          <w:p>
            <w:pPr>
              <w:jc w:val="right"/>
            </w:pPr>
            <w:r>
              <w:rPr>
                <w:b w:val="false"/>
                <w:bCs w:val="false"/>
                <w:color w:val="000000"/>
                <w:sz w:val="17"/>
                <w:szCs w:val="17"/>
              </w:rPr>
              <w:t xml:space="preserve">(801)</w:t>
            </w:r>
          </w:p>
        </w:tc>
        <w:tc>
          <w:tcPr>
            <w:tcW w:type="dxa" w:w="1840"/>
            <w:tcMar>
              <w:top w:type="dxa" w:w="60"/>
              <w:left w:type="dxa" w:w="100"/>
              <w:bottom w:type="dxa" w:w="60"/>
              <w:right w:type="dxa" w:w="100"/>
            </w:tcMar>
            <w:vAlign w:val="center"/>
          </w:tcPr>
          <w:p>
            <w:pPr>
              <w:jc w:val="right"/>
            </w:pPr>
            <w:r>
              <w:rPr>
                <w:b w:val="false"/>
                <w:bCs w:val="false"/>
                <w:color w:val="000000"/>
                <w:sz w:val="17"/>
                <w:szCs w:val="17"/>
              </w:rPr>
              <w:t xml:space="preserve">3,661</w:t>
            </w:r>
          </w:p>
        </w:tc>
        <w:tc>
          <w:tcPr>
            <w:tcW w:type="dxa" w:w="1580"/>
            <w:tcMar>
              <w:top w:type="dxa" w:w="60"/>
              <w:left w:type="dxa" w:w="100"/>
              <w:bottom w:type="dxa" w:w="60"/>
              <w:right w:type="dxa" w:w="100"/>
            </w:tcMar>
            <w:vAlign w:val="center"/>
          </w:tcPr>
          <w:p>
            <w:pPr>
              <w:jc w:val="right"/>
            </w:pPr>
            <w:r>
              <w:rPr>
                <w:b w:val="false"/>
                <w:bCs w:val="false"/>
                <w:color w:val="000000"/>
                <w:sz w:val="17"/>
                <w:szCs w:val="17"/>
              </w:rPr>
              <w:t xml:space="preserve">14.7%</w:t>
            </w:r>
          </w:p>
        </w:tc>
      </w:tr>
      <w:tr>
        <w:tc>
          <w:tcPr>
            <w:tcW w:type="dxa" w:w="228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GIS — FY2026</w:t>
            </w:r>
          </w:p>
        </w:tc>
        <w:tc>
          <w:tcPr>
            <w:tcW w:type="dxa" w:w="21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2,166</w:t>
            </w:r>
          </w:p>
        </w:tc>
        <w:tc>
          <w:tcPr>
            <w:tcW w:type="dxa" w:w="21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(540)</w:t>
            </w:r>
          </w:p>
        </w:tc>
        <w:tc>
          <w:tcPr>
            <w:tcW w:type="dxa" w:w="184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1,626</w:t>
            </w:r>
          </w:p>
        </w:tc>
        <w:tc>
          <w:tcPr>
            <w:tcW w:type="dxa" w:w="158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8.8%</w:t>
            </w:r>
          </w:p>
        </w:tc>
      </w:tr>
      <w:tr>
        <w:tc>
          <w:tcPr>
            <w:tcW w:type="dxa" w:w="2280"/>
            <w:tcMar>
              <w:top w:type="dxa" w:w="60"/>
              <w:left w:type="dxa" w:w="100"/>
              <w:bottom w:type="dxa" w:w="60"/>
              <w:right w:type="dxa" w:w="100"/>
            </w:tcMar>
            <w:vAlign w:val="center"/>
          </w:tcPr>
          <w:p>
            <w:pPr>
              <w:jc w:val="left"/>
            </w:pPr>
            <w:r>
              <w:rPr>
                <w:b w:val="false"/>
                <w:bCs w:val="false"/>
                <w:color w:val="000000"/>
                <w:sz w:val="17"/>
                <w:szCs w:val="17"/>
              </w:rPr>
              <w:t xml:space="preserve">CAG — FY2026</w:t>
            </w:r>
          </w:p>
        </w:tc>
        <w:tc>
          <w:tcPr>
            <w:tcW w:type="dxa" w:w="2100"/>
            <w:tcMar>
              <w:top w:type="dxa" w:w="60"/>
              <w:left w:type="dxa" w:w="100"/>
              <w:bottom w:type="dxa" w:w="60"/>
              <w:right w:type="dxa" w:w="100"/>
            </w:tcMar>
            <w:vAlign w:val="center"/>
          </w:tcPr>
          <w:p>
            <w:pPr>
              <w:jc w:val="right"/>
            </w:pPr>
            <w:r>
              <w:rPr>
                <w:b w:val="false"/>
                <w:bCs w:val="false"/>
                <w:color w:val="000000"/>
                <w:sz w:val="17"/>
                <w:szCs w:val="17"/>
              </w:rPr>
              <w:t xml:space="preserve">1,402</w:t>
            </w:r>
          </w:p>
        </w:tc>
        <w:tc>
          <w:tcPr>
            <w:tcW w:type="dxa" w:w="2100"/>
            <w:tcMar>
              <w:top w:type="dxa" w:w="60"/>
              <w:left w:type="dxa" w:w="100"/>
              <w:bottom w:type="dxa" w:w="60"/>
              <w:right w:type="dxa" w:w="100"/>
            </w:tcMar>
            <w:vAlign w:val="center"/>
          </w:tcPr>
          <w:p>
            <w:pPr>
              <w:jc w:val="right"/>
            </w:pPr>
            <w:r>
              <w:rPr>
                <w:b w:val="false"/>
                <w:bCs w:val="false"/>
                <w:color w:val="000000"/>
                <w:sz w:val="17"/>
                <w:szCs w:val="17"/>
              </w:rPr>
              <w:t xml:space="preserve">(423)</w:t>
            </w:r>
          </w:p>
        </w:tc>
        <w:tc>
          <w:tcPr>
            <w:tcW w:type="dxa" w:w="1840"/>
            <w:tcMar>
              <w:top w:type="dxa" w:w="60"/>
              <w:left w:type="dxa" w:w="100"/>
              <w:bottom w:type="dxa" w:w="60"/>
              <w:right w:type="dxa" w:w="100"/>
            </w:tcMar>
            <w:vAlign w:val="center"/>
          </w:tcPr>
          <w:p>
            <w:pPr>
              <w:jc w:val="right"/>
            </w:pPr>
            <w:r>
              <w:rPr>
                <w:b w:val="false"/>
                <w:bCs w:val="false"/>
                <w:color w:val="000000"/>
                <w:sz w:val="17"/>
                <w:szCs w:val="17"/>
              </w:rPr>
              <w:t xml:space="preserve">979</w:t>
            </w:r>
          </w:p>
        </w:tc>
        <w:tc>
          <w:tcPr>
            <w:tcW w:type="dxa" w:w="1580"/>
            <w:tcMar>
              <w:top w:type="dxa" w:w="60"/>
              <w:left w:type="dxa" w:w="100"/>
              <w:bottom w:type="dxa" w:w="60"/>
              <w:right w:type="dxa" w:w="100"/>
            </w:tcMar>
            <w:vAlign w:val="center"/>
          </w:tcPr>
          <w:p>
            <w:pPr>
              <w:jc w:val="right"/>
            </w:pPr>
            <w:r>
              <w:rPr>
                <w:b w:val="false"/>
                <w:bCs w:val="false"/>
                <w:color w:val="000000"/>
                <w:sz w:val="17"/>
                <w:szCs w:val="17"/>
              </w:rPr>
              <w:t xml:space="preserve">8.7%</w:t>
            </w:r>
          </w:p>
        </w:tc>
      </w:tr>
    </w:tbl>
    <w:p>
      <w:pPr>
        <w:spacing w:after="240"/>
      </w:pPr>
      <w:r>
        <w:rPr>
          <w:i/>
          <w:iCs/>
          <w:color w:val="666666"/>
          <w:sz w:val="16"/>
          <w:szCs w:val="16"/>
        </w:rPr>
        <w:t xml:space="preserve">Source: Stockanalysis.com standardized financials (Fiscal.ai), cross-referenced to each company's 10-K on SEC EDGAR.</w:t>
      </w:r>
    </w:p>
    <w:p>
      <w:pPr>
        <w:spacing w:after="160" w:line="276"/>
        <w:jc w:val="both"/>
      </w:pPr>
      <w:r>
        <w:t xml:space="preserve">Critically, all three companies remained solidly free-cash-flow positive in the same year they reported a net loss — direct confirmation that the losses were accounting (impairment) driven rather than cash-operational. Kraft Heinz converted 14.7% of revenue to free cash flow in FY2025 despite the $5.8 billion reported net loss, underscoring the importance of distinguishing GAAP net income from underlying cash generation when assessing these businesses.</w:t>
      </w:r>
    </w:p>
    <w:p>
      <w:r>
        <w:br w:type="page"/>
      </w:r>
    </w:p>
    <w:p>
      <w:pPr>
        <w:pStyle w:val="Heading2"/>
        <w:spacing w:after="120" w:before="260"/>
      </w:pPr>
      <w:r>
        <w:rPr>
          <w:b/>
          <w:bCs/>
        </w:rPr>
        <w:t xml:space="preserve">2.2  Ratio Analysis</w:t>
      </w:r>
    </w:p>
    <w:p>
      <w:pPr>
        <w:spacing w:after="160" w:line="276"/>
        <w:jc w:val="both"/>
      </w:pPr>
      <w:r>
        <w:t xml:space="preserve">The table below summarizes the most recently reported fiscal year for each company across the five ratio categories specified in the assignment brief. Full 5-year, formula-driven ratio calculations for every year and every company are provided in the 'Ratio Analysis' tab of the companion Excel Workbook.</w:t>
      </w:r>
    </w:p>
    <w:p>
      <w:pPr>
        <w:pStyle w:val="Heading3"/>
        <w:spacing w:after="100" w:before="200"/>
      </w:pPr>
      <w:r>
        <w:rPr>
          <w:b/>
          <w:bCs/>
        </w:rPr>
        <w:t xml:space="preserve">Liquidity Ratios</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890"/>
        <w:gridCol w:w="2110"/>
        <w:gridCol w:w="2110"/>
        <w:gridCol w:w="2790"/>
      </w:tblGrid>
      <w:tr>
        <w:trPr>
          <w:tblHeader/>
        </w:trPr>
        <w:tc>
          <w:tcPr>
            <w:tcW w:type="dxa" w:w="2890"/>
            <w:shd w:fill="2E5395" w:val="clear"/>
            <w:tcMar>
              <w:top w:type="dxa" w:w="60"/>
              <w:left w:type="dxa" w:w="100"/>
              <w:bottom w:type="dxa" w:w="60"/>
              <w:right w:type="dxa" w:w="100"/>
            </w:tcMar>
            <w:vAlign w:val="center"/>
          </w:tcPr>
          <w:p>
            <w:pPr>
              <w:jc w:val="center"/>
            </w:pPr>
            <w:r>
              <w:rPr>
                <w:b/>
                <w:bCs/>
                <w:color w:val="FFFFFF"/>
                <w:sz w:val="17"/>
                <w:szCs w:val="17"/>
              </w:rPr>
              <w:t xml:space="preserve">Company (Latest FY)</w:t>
            </w:r>
          </w:p>
        </w:tc>
        <w:tc>
          <w:tcPr>
            <w:tcW w:type="dxa" w:w="2110"/>
            <w:shd w:fill="2E5395" w:val="clear"/>
            <w:tcMar>
              <w:top w:type="dxa" w:w="60"/>
              <w:left w:type="dxa" w:w="100"/>
              <w:bottom w:type="dxa" w:w="60"/>
              <w:right w:type="dxa" w:w="100"/>
            </w:tcMar>
            <w:vAlign w:val="center"/>
          </w:tcPr>
          <w:p>
            <w:pPr>
              <w:jc w:val="center"/>
            </w:pPr>
            <w:r>
              <w:rPr>
                <w:b/>
                <w:bCs/>
                <w:color w:val="FFFFFF"/>
                <w:sz w:val="17"/>
                <w:szCs w:val="17"/>
              </w:rPr>
              <w:t xml:space="preserve">Current Ratio</w:t>
            </w:r>
          </w:p>
        </w:tc>
        <w:tc>
          <w:tcPr>
            <w:tcW w:type="dxa" w:w="2110"/>
            <w:shd w:fill="2E5395" w:val="clear"/>
            <w:tcMar>
              <w:top w:type="dxa" w:w="60"/>
              <w:left w:type="dxa" w:w="100"/>
              <w:bottom w:type="dxa" w:w="60"/>
              <w:right w:type="dxa" w:w="100"/>
            </w:tcMar>
            <w:vAlign w:val="center"/>
          </w:tcPr>
          <w:p>
            <w:pPr>
              <w:jc w:val="center"/>
            </w:pPr>
            <w:r>
              <w:rPr>
                <w:b/>
                <w:bCs/>
                <w:color w:val="FFFFFF"/>
                <w:sz w:val="17"/>
                <w:szCs w:val="17"/>
              </w:rPr>
              <w:t xml:space="preserve">Quick Ratio</w:t>
            </w:r>
          </w:p>
        </w:tc>
        <w:tc>
          <w:tcPr>
            <w:tcW w:type="dxa" w:w="2790"/>
            <w:shd w:fill="2E5395" w:val="clear"/>
            <w:tcMar>
              <w:top w:type="dxa" w:w="60"/>
              <w:left w:type="dxa" w:w="100"/>
              <w:bottom w:type="dxa" w:w="60"/>
              <w:right w:type="dxa" w:w="100"/>
            </w:tcMar>
            <w:vAlign w:val="center"/>
          </w:tcPr>
          <w:p>
            <w:pPr>
              <w:jc w:val="center"/>
            </w:pPr>
            <w:r>
              <w:rPr>
                <w:b/>
                <w:bCs/>
                <w:color w:val="FFFFFF"/>
                <w:sz w:val="17"/>
                <w:szCs w:val="17"/>
              </w:rPr>
              <w:t xml:space="preserve">Working Capital ($mm)</w:t>
            </w:r>
          </w:p>
        </w:tc>
      </w:tr>
      <w:tr>
        <w:tc>
          <w:tcPr>
            <w:tcW w:type="dxa" w:w="2890"/>
            <w:tcMar>
              <w:top w:type="dxa" w:w="60"/>
              <w:left w:type="dxa" w:w="100"/>
              <w:bottom w:type="dxa" w:w="60"/>
              <w:right w:type="dxa" w:w="100"/>
            </w:tcMar>
            <w:vAlign w:val="center"/>
          </w:tcPr>
          <w:p>
            <w:pPr>
              <w:jc w:val="left"/>
            </w:pPr>
            <w:r>
              <w:rPr>
                <w:b w:val="false"/>
                <w:bCs w:val="false"/>
                <w:color w:val="000000"/>
                <w:sz w:val="17"/>
                <w:szCs w:val="17"/>
              </w:rPr>
              <w:t xml:space="preserve">KHC — FY2025</w:t>
            </w:r>
          </w:p>
        </w:tc>
        <w:tc>
          <w:tcPr>
            <w:tcW w:type="dxa" w:w="2110"/>
            <w:tcMar>
              <w:top w:type="dxa" w:w="60"/>
              <w:left w:type="dxa" w:w="100"/>
              <w:bottom w:type="dxa" w:w="60"/>
              <w:right w:type="dxa" w:w="100"/>
            </w:tcMar>
            <w:vAlign w:val="center"/>
          </w:tcPr>
          <w:p>
            <w:pPr>
              <w:jc w:val="right"/>
            </w:pPr>
            <w:r>
              <w:rPr>
                <w:b w:val="false"/>
                <w:bCs w:val="false"/>
                <w:color w:val="000000"/>
                <w:sz w:val="17"/>
                <w:szCs w:val="17"/>
              </w:rPr>
              <w:t xml:space="preserve">1.15x</w:t>
            </w:r>
          </w:p>
        </w:tc>
        <w:tc>
          <w:tcPr>
            <w:tcW w:type="dxa" w:w="2110"/>
            <w:tcMar>
              <w:top w:type="dxa" w:w="60"/>
              <w:left w:type="dxa" w:w="100"/>
              <w:bottom w:type="dxa" w:w="60"/>
              <w:right w:type="dxa" w:w="100"/>
            </w:tcMar>
            <w:vAlign w:val="center"/>
          </w:tcPr>
          <w:p>
            <w:pPr>
              <w:jc w:val="right"/>
            </w:pPr>
            <w:r>
              <w:rPr>
                <w:b w:val="false"/>
                <w:bCs w:val="false"/>
                <w:color w:val="000000"/>
                <w:sz w:val="17"/>
                <w:szCs w:val="17"/>
              </w:rPr>
              <w:t xml:space="preserve">0.79x</w:t>
            </w:r>
          </w:p>
        </w:tc>
        <w:tc>
          <w:tcPr>
            <w:tcW w:type="dxa" w:w="2790"/>
            <w:tcMar>
              <w:top w:type="dxa" w:w="60"/>
              <w:left w:type="dxa" w:w="100"/>
              <w:bottom w:type="dxa" w:w="60"/>
              <w:right w:type="dxa" w:w="100"/>
            </w:tcMar>
            <w:vAlign w:val="center"/>
          </w:tcPr>
          <w:p>
            <w:pPr>
              <w:jc w:val="right"/>
            </w:pPr>
            <w:r>
              <w:rPr>
                <w:b w:val="false"/>
                <w:bCs w:val="false"/>
                <w:color w:val="000000"/>
                <w:sz w:val="17"/>
                <w:szCs w:val="17"/>
              </w:rPr>
              <w:t xml:space="preserve">1,349</w:t>
            </w:r>
          </w:p>
        </w:tc>
      </w:tr>
      <w:tr>
        <w:tc>
          <w:tcPr>
            <w:tcW w:type="dxa" w:w="289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GIS — FY2026</w:t>
            </w:r>
          </w:p>
        </w:tc>
        <w:tc>
          <w:tcPr>
            <w:tcW w:type="dxa" w:w="211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0.68x</w:t>
            </w:r>
          </w:p>
        </w:tc>
        <w:tc>
          <w:tcPr>
            <w:tcW w:type="dxa" w:w="211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0.31x</w:t>
            </w:r>
          </w:p>
        </w:tc>
        <w:tc>
          <w:tcPr>
            <w:tcW w:type="dxa" w:w="2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(2,156)</w:t>
            </w:r>
          </w:p>
        </w:tc>
      </w:tr>
      <w:tr>
        <w:tc>
          <w:tcPr>
            <w:tcW w:type="dxa" w:w="2890"/>
            <w:tcMar>
              <w:top w:type="dxa" w:w="60"/>
              <w:left w:type="dxa" w:w="100"/>
              <w:bottom w:type="dxa" w:w="60"/>
              <w:right w:type="dxa" w:w="100"/>
            </w:tcMar>
            <w:vAlign w:val="center"/>
          </w:tcPr>
          <w:p>
            <w:pPr>
              <w:jc w:val="left"/>
            </w:pPr>
            <w:r>
              <w:rPr>
                <w:b w:val="false"/>
                <w:bCs w:val="false"/>
                <w:color w:val="000000"/>
                <w:sz w:val="17"/>
                <w:szCs w:val="17"/>
              </w:rPr>
              <w:t xml:space="preserve">CAG — FY2026</w:t>
            </w:r>
          </w:p>
        </w:tc>
        <w:tc>
          <w:tcPr>
            <w:tcW w:type="dxa" w:w="2110"/>
            <w:tcMar>
              <w:top w:type="dxa" w:w="60"/>
              <w:left w:type="dxa" w:w="100"/>
              <w:bottom w:type="dxa" w:w="60"/>
              <w:right w:type="dxa" w:w="100"/>
            </w:tcMar>
            <w:vAlign w:val="center"/>
          </w:tcPr>
          <w:p>
            <w:pPr>
              <w:jc w:val="right"/>
            </w:pPr>
            <w:r>
              <w:rPr>
                <w:b w:val="false"/>
                <w:bCs w:val="false"/>
                <w:color w:val="000000"/>
                <w:sz w:val="17"/>
                <w:szCs w:val="17"/>
              </w:rPr>
              <w:t xml:space="preserve">0.90x</w:t>
            </w:r>
          </w:p>
        </w:tc>
        <w:tc>
          <w:tcPr>
            <w:tcW w:type="dxa" w:w="2110"/>
            <w:tcMar>
              <w:top w:type="dxa" w:w="60"/>
              <w:left w:type="dxa" w:w="100"/>
              <w:bottom w:type="dxa" w:w="60"/>
              <w:right w:type="dxa" w:w="100"/>
            </w:tcMar>
            <w:vAlign w:val="center"/>
          </w:tcPr>
          <w:p>
            <w:pPr>
              <w:jc w:val="right"/>
            </w:pPr>
            <w:r>
              <w:rPr>
                <w:b w:val="false"/>
                <w:bCs w:val="false"/>
                <w:color w:val="000000"/>
                <w:sz w:val="17"/>
                <w:szCs w:val="17"/>
              </w:rPr>
              <w:t xml:space="preserve">0.27x</w:t>
            </w:r>
          </w:p>
        </w:tc>
        <w:tc>
          <w:tcPr>
            <w:tcW w:type="dxa" w:w="2790"/>
            <w:tcMar>
              <w:top w:type="dxa" w:w="60"/>
              <w:left w:type="dxa" w:w="100"/>
              <w:bottom w:type="dxa" w:w="60"/>
              <w:right w:type="dxa" w:w="100"/>
            </w:tcMar>
            <w:vAlign w:val="center"/>
          </w:tcPr>
          <w:p>
            <w:pPr>
              <w:jc w:val="right"/>
            </w:pPr>
            <w:r>
              <w:rPr>
                <w:b w:val="false"/>
                <w:bCs w:val="false"/>
                <w:color w:val="000000"/>
                <w:sz w:val="17"/>
                <w:szCs w:val="17"/>
              </w:rPr>
              <w:t xml:space="preserve">(306)</w:t>
            </w:r>
          </w:p>
        </w:tc>
      </w:tr>
    </w:tbl>
    <w:p>
      <w:pPr>
        <w:spacing w:after="160" w:line="276"/>
        <w:jc w:val="both"/>
      </w:pPr>
      <w:r>
        <w:t xml:space="preserve">Kraft Heinz is the only one of the three with positive working capital and a current ratio above 1.0x in the latest year, giving it the strongest near-term liquidity cushion. GIS and CAG both run negative working capital, which is common — and not inherently alarming — for large branded-food manufacturers with fast inventory turns and strong payables leverage over suppliers, but it does leave less margin for error if operating cash flow were to deteriorate further.</w:t>
      </w:r>
    </w:p>
    <w:p>
      <w:pPr>
        <w:pStyle w:val="Heading3"/>
        <w:spacing w:after="100" w:before="200"/>
      </w:pPr>
      <w:r>
        <w:rPr>
          <w:b/>
          <w:bCs/>
        </w:rPr>
        <w:t xml:space="preserve">Profitability Ratios</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230"/>
        <w:gridCol w:w="1640"/>
        <w:gridCol w:w="1720"/>
        <w:gridCol w:w="1550"/>
        <w:gridCol w:w="1380"/>
        <w:gridCol w:w="1380"/>
      </w:tblGrid>
      <w:tr>
        <w:trPr>
          <w:tblHeader/>
        </w:trPr>
        <w:tc>
          <w:tcPr>
            <w:tcW w:type="dxa" w:w="2230"/>
            <w:shd w:fill="2E5395" w:val="clear"/>
            <w:tcMar>
              <w:top w:type="dxa" w:w="60"/>
              <w:left w:type="dxa" w:w="100"/>
              <w:bottom w:type="dxa" w:w="60"/>
              <w:right w:type="dxa" w:w="100"/>
            </w:tcMar>
            <w:vAlign w:val="center"/>
          </w:tcPr>
          <w:p>
            <w:pPr>
              <w:jc w:val="center"/>
            </w:pPr>
            <w:r>
              <w:rPr>
                <w:b/>
                <w:bCs/>
                <w:color w:val="FFFFFF"/>
                <w:sz w:val="17"/>
                <w:szCs w:val="17"/>
              </w:rPr>
              <w:t xml:space="preserve">Company (Latest FY)</w:t>
            </w:r>
          </w:p>
        </w:tc>
        <w:tc>
          <w:tcPr>
            <w:tcW w:type="dxa" w:w="1640"/>
            <w:shd w:fill="2E5395" w:val="clear"/>
            <w:tcMar>
              <w:top w:type="dxa" w:w="60"/>
              <w:left w:type="dxa" w:w="100"/>
              <w:bottom w:type="dxa" w:w="60"/>
              <w:right w:type="dxa" w:w="100"/>
            </w:tcMar>
            <w:vAlign w:val="center"/>
          </w:tcPr>
          <w:p>
            <w:pPr>
              <w:jc w:val="center"/>
            </w:pPr>
            <w:r>
              <w:rPr>
                <w:b/>
                <w:bCs/>
                <w:color w:val="FFFFFF"/>
                <w:sz w:val="17"/>
                <w:szCs w:val="17"/>
              </w:rPr>
              <w:t xml:space="preserve">Gross Margin</w:t>
            </w:r>
          </w:p>
        </w:tc>
        <w:tc>
          <w:tcPr>
            <w:tcW w:type="dxa" w:w="1720"/>
            <w:shd w:fill="2E5395" w:val="clear"/>
            <w:tcMar>
              <w:top w:type="dxa" w:w="60"/>
              <w:left w:type="dxa" w:w="100"/>
              <w:bottom w:type="dxa" w:w="60"/>
              <w:right w:type="dxa" w:w="100"/>
            </w:tcMar>
            <w:vAlign w:val="center"/>
          </w:tcPr>
          <w:p>
            <w:pPr>
              <w:jc w:val="center"/>
            </w:pPr>
            <w:r>
              <w:rPr>
                <w:b/>
                <w:bCs/>
                <w:color w:val="FFFFFF"/>
                <w:sz w:val="17"/>
                <w:szCs w:val="17"/>
              </w:rPr>
              <w:t xml:space="preserve">Operating Margin</w:t>
            </w:r>
          </w:p>
        </w:tc>
        <w:tc>
          <w:tcPr>
            <w:tcW w:type="dxa" w:w="1550"/>
            <w:shd w:fill="2E5395" w:val="clear"/>
            <w:tcMar>
              <w:top w:type="dxa" w:w="60"/>
              <w:left w:type="dxa" w:w="100"/>
              <w:bottom w:type="dxa" w:w="60"/>
              <w:right w:type="dxa" w:w="100"/>
            </w:tcMar>
            <w:vAlign w:val="center"/>
          </w:tcPr>
          <w:p>
            <w:pPr>
              <w:jc w:val="center"/>
            </w:pPr>
            <w:r>
              <w:rPr>
                <w:b/>
                <w:bCs/>
                <w:color w:val="FFFFFF"/>
                <w:sz w:val="17"/>
                <w:szCs w:val="17"/>
              </w:rPr>
              <w:t xml:space="preserve">Net Margin</w:t>
            </w:r>
          </w:p>
        </w:tc>
        <w:tc>
          <w:tcPr>
            <w:tcW w:type="dxa" w:w="1380"/>
            <w:shd w:fill="2E5395" w:val="clear"/>
            <w:tcMar>
              <w:top w:type="dxa" w:w="60"/>
              <w:left w:type="dxa" w:w="100"/>
              <w:bottom w:type="dxa" w:w="60"/>
              <w:right w:type="dxa" w:w="100"/>
            </w:tcMar>
            <w:vAlign w:val="center"/>
          </w:tcPr>
          <w:p>
            <w:pPr>
              <w:jc w:val="center"/>
            </w:pPr>
            <w:r>
              <w:rPr>
                <w:b/>
                <w:bCs/>
                <w:color w:val="FFFFFF"/>
                <w:sz w:val="17"/>
                <w:szCs w:val="17"/>
              </w:rPr>
              <w:t xml:space="preserve">ROA</w:t>
            </w:r>
          </w:p>
        </w:tc>
        <w:tc>
          <w:tcPr>
            <w:tcW w:type="dxa" w:w="1380"/>
            <w:shd w:fill="2E5395" w:val="clear"/>
            <w:tcMar>
              <w:top w:type="dxa" w:w="60"/>
              <w:left w:type="dxa" w:w="100"/>
              <w:bottom w:type="dxa" w:w="60"/>
              <w:right w:type="dxa" w:w="100"/>
            </w:tcMar>
            <w:vAlign w:val="center"/>
          </w:tcPr>
          <w:p>
            <w:pPr>
              <w:jc w:val="center"/>
            </w:pPr>
            <w:r>
              <w:rPr>
                <w:b/>
                <w:bCs/>
                <w:color w:val="FFFFFF"/>
                <w:sz w:val="17"/>
                <w:szCs w:val="17"/>
              </w:rPr>
              <w:t xml:space="preserve">ROE</w:t>
            </w:r>
          </w:p>
        </w:tc>
      </w:tr>
      <w:tr>
        <w:tc>
          <w:tcPr>
            <w:tcW w:type="dxa" w:w="2230"/>
            <w:tcMar>
              <w:top w:type="dxa" w:w="60"/>
              <w:left w:type="dxa" w:w="100"/>
              <w:bottom w:type="dxa" w:w="60"/>
              <w:right w:type="dxa" w:w="100"/>
            </w:tcMar>
            <w:vAlign w:val="center"/>
          </w:tcPr>
          <w:p>
            <w:pPr>
              <w:jc w:val="left"/>
            </w:pPr>
            <w:r>
              <w:rPr>
                <w:b w:val="false"/>
                <w:bCs w:val="false"/>
                <w:color w:val="000000"/>
                <w:sz w:val="17"/>
                <w:szCs w:val="17"/>
              </w:rPr>
              <w:t xml:space="preserve">KHC — FY2025</w:t>
            </w:r>
          </w:p>
        </w:tc>
        <w:tc>
          <w:tcPr>
            <w:tcW w:type="dxa" w:w="1640"/>
            <w:tcMar>
              <w:top w:type="dxa" w:w="60"/>
              <w:left w:type="dxa" w:w="100"/>
              <w:bottom w:type="dxa" w:w="60"/>
              <w:right w:type="dxa" w:w="100"/>
            </w:tcMar>
            <w:vAlign w:val="center"/>
          </w:tcPr>
          <w:p>
            <w:pPr>
              <w:jc w:val="right"/>
            </w:pPr>
            <w:r>
              <w:rPr>
                <w:b w:val="false"/>
                <w:bCs w:val="false"/>
                <w:color w:val="000000"/>
                <w:sz w:val="17"/>
                <w:szCs w:val="17"/>
              </w:rPr>
              <w:t xml:space="preserve">33.3%</w:t>
            </w:r>
          </w:p>
        </w:tc>
        <w:tc>
          <w:tcPr>
            <w:tcW w:type="dxa" w:w="1720"/>
            <w:tcMar>
              <w:top w:type="dxa" w:w="60"/>
              <w:left w:type="dxa" w:w="100"/>
              <w:bottom w:type="dxa" w:w="60"/>
              <w:right w:type="dxa" w:w="100"/>
            </w:tcMar>
            <w:vAlign w:val="center"/>
          </w:tcPr>
          <w:p>
            <w:pPr>
              <w:jc w:val="right"/>
            </w:pPr>
            <w:r>
              <w:rPr>
                <w:b w:val="false"/>
                <w:bCs w:val="false"/>
                <w:color w:val="000000"/>
                <w:sz w:val="17"/>
                <w:szCs w:val="17"/>
              </w:rPr>
              <w:t xml:space="preserve">(18.7%)</w:t>
            </w:r>
          </w:p>
        </w:tc>
        <w:tc>
          <w:tcPr>
            <w:tcW w:type="dxa" w:w="1550"/>
            <w:tcMar>
              <w:top w:type="dxa" w:w="60"/>
              <w:left w:type="dxa" w:w="100"/>
              <w:bottom w:type="dxa" w:w="60"/>
              <w:right w:type="dxa" w:w="100"/>
            </w:tcMar>
            <w:vAlign w:val="center"/>
          </w:tcPr>
          <w:p>
            <w:pPr>
              <w:jc w:val="right"/>
            </w:pPr>
            <w:r>
              <w:rPr>
                <w:b w:val="false"/>
                <w:bCs w:val="false"/>
                <w:color w:val="000000"/>
                <w:sz w:val="17"/>
                <w:szCs w:val="17"/>
              </w:rPr>
              <w:t xml:space="preserve">(23.4%)</w:t>
            </w:r>
          </w:p>
        </w:tc>
        <w:tc>
          <w:tcPr>
            <w:tcW w:type="dxa" w:w="1380"/>
            <w:tcMar>
              <w:top w:type="dxa" w:w="60"/>
              <w:left w:type="dxa" w:w="100"/>
              <w:bottom w:type="dxa" w:w="60"/>
              <w:right w:type="dxa" w:w="100"/>
            </w:tcMar>
            <w:vAlign w:val="center"/>
          </w:tcPr>
          <w:p>
            <w:pPr>
              <w:jc w:val="right"/>
            </w:pPr>
            <w:r>
              <w:rPr>
                <w:b w:val="false"/>
                <w:bCs w:val="false"/>
                <w:color w:val="000000"/>
                <w:sz w:val="17"/>
                <w:szCs w:val="17"/>
              </w:rPr>
              <w:t xml:space="preserve">(5.9%)</w:t>
            </w:r>
          </w:p>
        </w:tc>
        <w:tc>
          <w:tcPr>
            <w:tcW w:type="dxa" w:w="1380"/>
            <w:tcMar>
              <w:top w:type="dxa" w:w="60"/>
              <w:left w:type="dxa" w:w="100"/>
              <w:bottom w:type="dxa" w:w="60"/>
              <w:right w:type="dxa" w:w="100"/>
            </w:tcMar>
            <w:vAlign w:val="center"/>
          </w:tcPr>
          <w:p>
            <w:pPr>
              <w:jc w:val="right"/>
            </w:pPr>
            <w:r>
              <w:rPr>
                <w:b w:val="false"/>
                <w:bCs w:val="false"/>
                <w:color w:val="000000"/>
                <w:sz w:val="17"/>
                <w:szCs w:val="17"/>
              </w:rPr>
              <w:t xml:space="preserve">(12.8%)</w:t>
            </w:r>
          </w:p>
        </w:tc>
      </w:tr>
      <w:tr>
        <w:tc>
          <w:tcPr>
            <w:tcW w:type="dxa" w:w="223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GIS — FY2026</w:t>
            </w:r>
          </w:p>
        </w:tc>
        <w:tc>
          <w:tcPr>
            <w:tcW w:type="dxa" w:w="164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33.6%</w:t>
            </w:r>
          </w:p>
        </w:tc>
        <w:tc>
          <w:tcPr>
            <w:tcW w:type="dxa" w:w="172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4.8%</w:t>
            </w:r>
          </w:p>
        </w:tc>
        <w:tc>
          <w:tcPr>
            <w:tcW w:type="dxa" w:w="155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(0.5%)</w:t>
            </w:r>
          </w:p>
        </w:tc>
        <w:tc>
          <w:tcPr>
            <w:tcW w:type="dxa" w:w="138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(0.1%)</w:t>
            </w:r>
          </w:p>
        </w:tc>
        <w:tc>
          <w:tcPr>
            <w:tcW w:type="dxa" w:w="138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(1.0%)</w:t>
            </w:r>
          </w:p>
        </w:tc>
      </w:tr>
      <w:tr>
        <w:tc>
          <w:tcPr>
            <w:tcW w:type="dxa" w:w="2230"/>
            <w:tcMar>
              <w:top w:type="dxa" w:w="60"/>
              <w:left w:type="dxa" w:w="100"/>
              <w:bottom w:type="dxa" w:w="60"/>
              <w:right w:type="dxa" w:w="100"/>
            </w:tcMar>
            <w:vAlign w:val="center"/>
          </w:tcPr>
          <w:p>
            <w:pPr>
              <w:jc w:val="left"/>
            </w:pPr>
            <w:r>
              <w:rPr>
                <w:b w:val="false"/>
                <w:bCs w:val="false"/>
                <w:color w:val="000000"/>
                <w:sz w:val="17"/>
                <w:szCs w:val="17"/>
              </w:rPr>
              <w:t xml:space="preserve">CAG — FY2026</w:t>
            </w:r>
          </w:p>
        </w:tc>
        <w:tc>
          <w:tcPr>
            <w:tcW w:type="dxa" w:w="1640"/>
            <w:tcMar>
              <w:top w:type="dxa" w:w="60"/>
              <w:left w:type="dxa" w:w="100"/>
              <w:bottom w:type="dxa" w:w="60"/>
              <w:right w:type="dxa" w:w="100"/>
            </w:tcMar>
            <w:vAlign w:val="center"/>
          </w:tcPr>
          <w:p>
            <w:pPr>
              <w:jc w:val="right"/>
            </w:pPr>
            <w:r>
              <w:rPr>
                <w:b w:val="false"/>
                <w:bCs w:val="false"/>
                <w:color w:val="000000"/>
                <w:sz w:val="17"/>
                <w:szCs w:val="17"/>
              </w:rPr>
              <w:t xml:space="preserve">23.9%</w:t>
            </w:r>
          </w:p>
        </w:tc>
        <w:tc>
          <w:tcPr>
            <w:tcW w:type="dxa" w:w="1720"/>
            <w:tcMar>
              <w:top w:type="dxa" w:w="60"/>
              <w:left w:type="dxa" w:w="100"/>
              <w:bottom w:type="dxa" w:w="60"/>
              <w:right w:type="dxa" w:w="100"/>
            </w:tcMar>
            <w:vAlign w:val="center"/>
          </w:tcPr>
          <w:p>
            <w:pPr>
              <w:jc w:val="right"/>
            </w:pPr>
            <w:r>
              <w:rPr>
                <w:b w:val="false"/>
                <w:bCs w:val="false"/>
                <w:color w:val="000000"/>
                <w:sz w:val="17"/>
                <w:szCs w:val="17"/>
              </w:rPr>
              <w:t xml:space="preserve">(14.4%)</w:t>
            </w:r>
          </w:p>
        </w:tc>
        <w:tc>
          <w:tcPr>
            <w:tcW w:type="dxa" w:w="1550"/>
            <w:tcMar>
              <w:top w:type="dxa" w:w="60"/>
              <w:left w:type="dxa" w:w="100"/>
              <w:bottom w:type="dxa" w:w="60"/>
              <w:right w:type="dxa" w:w="100"/>
            </w:tcMar>
            <w:vAlign w:val="center"/>
          </w:tcPr>
          <w:p>
            <w:pPr>
              <w:jc w:val="right"/>
            </w:pPr>
            <w:r>
              <w:rPr>
                <w:b w:val="false"/>
                <w:bCs w:val="false"/>
                <w:color w:val="000000"/>
                <w:sz w:val="17"/>
                <w:szCs w:val="17"/>
              </w:rPr>
              <w:t xml:space="preserve">(17.0%)</w:t>
            </w:r>
          </w:p>
        </w:tc>
        <w:tc>
          <w:tcPr>
            <w:tcW w:type="dxa" w:w="1380"/>
            <w:tcMar>
              <w:top w:type="dxa" w:w="60"/>
              <w:left w:type="dxa" w:w="100"/>
              <w:bottom w:type="dxa" w:w="60"/>
              <w:right w:type="dxa" w:w="100"/>
            </w:tcMar>
            <w:vAlign w:val="center"/>
          </w:tcPr>
          <w:p>
            <w:pPr>
              <w:jc w:val="right"/>
            </w:pPr>
            <w:r>
              <w:rPr>
                <w:b w:val="false"/>
                <w:bCs w:val="false"/>
                <w:color w:val="000000"/>
                <w:sz w:val="17"/>
                <w:szCs w:val="17"/>
              </w:rPr>
              <w:t xml:space="preserve">(9.0%)</w:t>
            </w:r>
          </w:p>
        </w:tc>
        <w:tc>
          <w:tcPr>
            <w:tcW w:type="dxa" w:w="1380"/>
            <w:tcMar>
              <w:top w:type="dxa" w:w="60"/>
              <w:left w:type="dxa" w:w="100"/>
              <w:bottom w:type="dxa" w:w="60"/>
              <w:right w:type="dxa" w:w="100"/>
            </w:tcMar>
            <w:vAlign w:val="center"/>
          </w:tcPr>
          <w:p>
            <w:pPr>
              <w:jc w:val="right"/>
            </w:pPr>
            <w:r>
              <w:rPr>
                <w:b w:val="false"/>
                <w:bCs w:val="false"/>
                <w:color w:val="000000"/>
                <w:sz w:val="17"/>
                <w:szCs w:val="17"/>
              </w:rPr>
              <w:t xml:space="preserve">(25.1%)</w:t>
            </w:r>
          </w:p>
        </w:tc>
      </w:tr>
    </w:tbl>
    <w:p>
      <w:pPr>
        <w:spacing w:after="160" w:line="276"/>
        <w:jc w:val="both"/>
      </w:pPr>
      <w:r>
        <w:t xml:space="preserve">On gross margin — the cleanest measure of underlying pricing/cost management, least affected by one-off impairments — KHC (33.3%) and GIS (33.6%) are essentially tied and both well ahead of CAG (23.9%), reflecting CAG's greater mix exposure to lower-margin frozen/grocery staples. Every profitability metric below the gross-margin line is depressed by FY2025/FY2026 impairment charges; the prior fiscal year's figures (Section 2.1) are a more representative gauge of normalized profitability, on which KHC's operating margin (17.2% in FY2023, 6.5% in FY2024) has been trending down even before the impairment, indicating genuine underlying margin pressure alongside the accounting charge.</w:t>
      </w:r>
    </w:p>
    <w:p>
      <w:pPr>
        <w:pStyle w:val="Heading3"/>
        <w:spacing w:after="100" w:before="200"/>
      </w:pPr>
      <w:r>
        <w:rPr>
          <w:b/>
          <w:bCs/>
        </w:rPr>
        <w:t xml:space="preserve">Solvency Ratios</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880"/>
        <w:gridCol w:w="2310"/>
        <w:gridCol w:w="2310"/>
        <w:gridCol w:w="2400"/>
      </w:tblGrid>
      <w:tr>
        <w:trPr>
          <w:tblHeader/>
        </w:trPr>
        <w:tc>
          <w:tcPr>
            <w:tcW w:type="dxa" w:w="2880"/>
            <w:shd w:fill="2E5395" w:val="clear"/>
            <w:tcMar>
              <w:top w:type="dxa" w:w="60"/>
              <w:left w:type="dxa" w:w="100"/>
              <w:bottom w:type="dxa" w:w="60"/>
              <w:right w:type="dxa" w:w="100"/>
            </w:tcMar>
            <w:vAlign w:val="center"/>
          </w:tcPr>
          <w:p>
            <w:pPr>
              <w:jc w:val="center"/>
            </w:pPr>
            <w:r>
              <w:rPr>
                <w:b/>
                <w:bCs/>
                <w:color w:val="FFFFFF"/>
                <w:sz w:val="17"/>
                <w:szCs w:val="17"/>
              </w:rPr>
              <w:t xml:space="preserve">Company (Latest FY)</w:t>
            </w:r>
          </w:p>
        </w:tc>
        <w:tc>
          <w:tcPr>
            <w:tcW w:type="dxa" w:w="2310"/>
            <w:shd w:fill="2E5395" w:val="clear"/>
            <w:tcMar>
              <w:top w:type="dxa" w:w="60"/>
              <w:left w:type="dxa" w:w="100"/>
              <w:bottom w:type="dxa" w:w="60"/>
              <w:right w:type="dxa" w:w="100"/>
            </w:tcMar>
            <w:vAlign w:val="center"/>
          </w:tcPr>
          <w:p>
            <w:pPr>
              <w:jc w:val="center"/>
            </w:pPr>
            <w:r>
              <w:rPr>
                <w:b/>
                <w:bCs/>
                <w:color w:val="FFFFFF"/>
                <w:sz w:val="17"/>
                <w:szCs w:val="17"/>
              </w:rPr>
              <w:t xml:space="preserve">Debt-to-Equity</w:t>
            </w:r>
          </w:p>
        </w:tc>
        <w:tc>
          <w:tcPr>
            <w:tcW w:type="dxa" w:w="2310"/>
            <w:shd w:fill="2E5395" w:val="clear"/>
            <w:tcMar>
              <w:top w:type="dxa" w:w="60"/>
              <w:left w:type="dxa" w:w="100"/>
              <w:bottom w:type="dxa" w:w="60"/>
              <w:right w:type="dxa" w:w="100"/>
            </w:tcMar>
            <w:vAlign w:val="center"/>
          </w:tcPr>
          <w:p>
            <w:pPr>
              <w:jc w:val="center"/>
            </w:pPr>
            <w:r>
              <w:rPr>
                <w:b/>
                <w:bCs/>
                <w:color w:val="FFFFFF"/>
                <w:sz w:val="17"/>
                <w:szCs w:val="17"/>
              </w:rPr>
              <w:t xml:space="preserve">Debt-to-Assets</w:t>
            </w:r>
          </w:p>
        </w:tc>
        <w:tc>
          <w:tcPr>
            <w:tcW w:type="dxa" w:w="2400"/>
            <w:shd w:fill="2E5395" w:val="clear"/>
            <w:tcMar>
              <w:top w:type="dxa" w:w="60"/>
              <w:left w:type="dxa" w:w="100"/>
              <w:bottom w:type="dxa" w:w="60"/>
              <w:right w:type="dxa" w:w="100"/>
            </w:tcMar>
            <w:vAlign w:val="center"/>
          </w:tcPr>
          <w:p>
            <w:pPr>
              <w:jc w:val="center"/>
            </w:pPr>
            <w:r>
              <w:rPr>
                <w:b/>
                <w:bCs/>
                <w:color w:val="FFFFFF"/>
                <w:sz w:val="17"/>
                <w:szCs w:val="17"/>
              </w:rPr>
              <w:t xml:space="preserve">Total Liab.-to-Equity</w:t>
            </w:r>
          </w:p>
        </w:tc>
      </w:tr>
      <w:tr>
        <w:tc>
          <w:tcPr>
            <w:tcW w:type="dxa" w:w="2880"/>
            <w:tcMar>
              <w:top w:type="dxa" w:w="60"/>
              <w:left w:type="dxa" w:w="100"/>
              <w:bottom w:type="dxa" w:w="60"/>
              <w:right w:type="dxa" w:w="100"/>
            </w:tcMar>
            <w:vAlign w:val="center"/>
          </w:tcPr>
          <w:p>
            <w:pPr>
              <w:jc w:val="left"/>
            </w:pPr>
            <w:r>
              <w:rPr>
                <w:b w:val="false"/>
                <w:bCs w:val="false"/>
                <w:color w:val="000000"/>
                <w:sz w:val="17"/>
                <w:szCs w:val="17"/>
              </w:rPr>
              <w:t xml:space="preserve">KHC — FY2025</w:t>
            </w:r>
          </w:p>
        </w:tc>
        <w:tc>
          <w:tcPr>
            <w:tcW w:type="dxa" w:w="2310"/>
            <w:tcMar>
              <w:top w:type="dxa" w:w="60"/>
              <w:left w:type="dxa" w:w="100"/>
              <w:bottom w:type="dxa" w:w="60"/>
              <w:right w:type="dxa" w:w="100"/>
            </w:tcMar>
            <w:vAlign w:val="center"/>
          </w:tcPr>
          <w:p>
            <w:pPr>
              <w:jc w:val="right"/>
            </w:pPr>
            <w:r>
              <w:rPr>
                <w:b w:val="false"/>
                <w:bCs w:val="false"/>
                <w:color w:val="000000"/>
                <w:sz w:val="17"/>
                <w:szCs w:val="17"/>
              </w:rPr>
              <w:t xml:space="preserve">0.51x</w:t>
            </w:r>
          </w:p>
        </w:tc>
        <w:tc>
          <w:tcPr>
            <w:tcW w:type="dxa" w:w="2310"/>
            <w:tcMar>
              <w:top w:type="dxa" w:w="60"/>
              <w:left w:type="dxa" w:w="100"/>
              <w:bottom w:type="dxa" w:w="60"/>
              <w:right w:type="dxa" w:w="100"/>
            </w:tcMar>
            <w:vAlign w:val="center"/>
          </w:tcPr>
          <w:p>
            <w:pPr>
              <w:jc w:val="right"/>
            </w:pPr>
            <w:r>
              <w:rPr>
                <w:b w:val="false"/>
                <w:bCs w:val="false"/>
                <w:color w:val="000000"/>
                <w:sz w:val="17"/>
                <w:szCs w:val="17"/>
              </w:rPr>
              <w:t xml:space="preserve">25.9%</w:t>
            </w:r>
          </w:p>
        </w:tc>
        <w:tc>
          <w:tcPr>
            <w:tcW w:type="dxa" w:w="2400"/>
            <w:tcMar>
              <w:top w:type="dxa" w:w="60"/>
              <w:left w:type="dxa" w:w="100"/>
              <w:bottom w:type="dxa" w:w="60"/>
              <w:right w:type="dxa" w:w="100"/>
            </w:tcMar>
            <w:vAlign w:val="center"/>
          </w:tcPr>
          <w:p>
            <w:pPr>
              <w:jc w:val="right"/>
            </w:pPr>
            <w:r>
              <w:rPr>
                <w:b w:val="false"/>
                <w:bCs w:val="false"/>
                <w:color w:val="000000"/>
                <w:sz w:val="17"/>
                <w:szCs w:val="17"/>
              </w:rPr>
              <w:t xml:space="preserve">0.96x</w:t>
            </w:r>
          </w:p>
        </w:tc>
      </w:tr>
      <w:tr>
        <w:tc>
          <w:tcPr>
            <w:tcW w:type="dxa" w:w="288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GIS — FY2026</w:t>
            </w:r>
          </w:p>
        </w:tc>
        <w:tc>
          <w:tcPr>
            <w:tcW w:type="dxa" w:w="231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1.83x</w:t>
            </w:r>
          </w:p>
        </w:tc>
        <w:tc>
          <w:tcPr>
            <w:tcW w:type="dxa" w:w="231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45.1%</w:t>
            </w:r>
          </w:p>
        </w:tc>
        <w:tc>
          <w:tcPr>
            <w:tcW w:type="dxa" w:w="24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3.07x</w:t>
            </w:r>
          </w:p>
        </w:tc>
      </w:tr>
      <w:tr>
        <w:tc>
          <w:tcPr>
            <w:tcW w:type="dxa" w:w="2880"/>
            <w:tcMar>
              <w:top w:type="dxa" w:w="60"/>
              <w:left w:type="dxa" w:w="100"/>
              <w:bottom w:type="dxa" w:w="60"/>
              <w:right w:type="dxa" w:w="100"/>
            </w:tcMar>
            <w:vAlign w:val="center"/>
          </w:tcPr>
          <w:p>
            <w:pPr>
              <w:jc w:val="left"/>
            </w:pPr>
            <w:r>
              <w:rPr>
                <w:b w:val="false"/>
                <w:bCs w:val="false"/>
                <w:color w:val="000000"/>
                <w:sz w:val="17"/>
                <w:szCs w:val="17"/>
              </w:rPr>
              <w:t xml:space="preserve">CAG — FY2026</w:t>
            </w:r>
          </w:p>
        </w:tc>
        <w:tc>
          <w:tcPr>
            <w:tcW w:type="dxa" w:w="2310"/>
            <w:tcMar>
              <w:top w:type="dxa" w:w="60"/>
              <w:left w:type="dxa" w:w="100"/>
              <w:bottom w:type="dxa" w:w="60"/>
              <w:right w:type="dxa" w:w="100"/>
            </w:tcMar>
            <w:vAlign w:val="center"/>
          </w:tcPr>
          <w:p>
            <w:pPr>
              <w:jc w:val="right"/>
            </w:pPr>
            <w:r>
              <w:rPr>
                <w:b w:val="false"/>
                <w:bCs w:val="false"/>
                <w:color w:val="000000"/>
                <w:sz w:val="17"/>
                <w:szCs w:val="17"/>
              </w:rPr>
              <w:t xml:space="preserve">1.14x</w:t>
            </w:r>
          </w:p>
        </w:tc>
        <w:tc>
          <w:tcPr>
            <w:tcW w:type="dxa" w:w="2310"/>
            <w:tcMar>
              <w:top w:type="dxa" w:w="60"/>
              <w:left w:type="dxa" w:w="100"/>
              <w:bottom w:type="dxa" w:w="60"/>
              <w:right w:type="dxa" w:w="100"/>
            </w:tcMar>
            <w:vAlign w:val="center"/>
          </w:tcPr>
          <w:p>
            <w:pPr>
              <w:jc w:val="right"/>
            </w:pPr>
            <w:r>
              <w:rPr>
                <w:b w:val="false"/>
                <w:bCs w:val="false"/>
                <w:color w:val="000000"/>
                <w:sz w:val="17"/>
                <w:szCs w:val="17"/>
              </w:rPr>
              <w:t xml:space="preserve">42.1%</w:t>
            </w:r>
          </w:p>
        </w:tc>
        <w:tc>
          <w:tcPr>
            <w:tcW w:type="dxa" w:w="2400"/>
            <w:tcMar>
              <w:top w:type="dxa" w:w="60"/>
              <w:left w:type="dxa" w:w="100"/>
              <w:bottom w:type="dxa" w:w="60"/>
              <w:right w:type="dxa" w:w="100"/>
            </w:tcMar>
            <w:vAlign w:val="center"/>
          </w:tcPr>
          <w:p>
            <w:pPr>
              <w:jc w:val="right"/>
            </w:pPr>
            <w:r>
              <w:rPr>
                <w:b w:val="false"/>
                <w:bCs w:val="false"/>
                <w:color w:val="000000"/>
                <w:sz w:val="17"/>
                <w:szCs w:val="17"/>
              </w:rPr>
              <w:t xml:space="preserve">1.72x</w:t>
            </w:r>
          </w:p>
        </w:tc>
      </w:tr>
    </w:tbl>
    <w:p>
      <w:pPr>
        <w:spacing w:after="160" w:line="276"/>
        <w:jc w:val="both"/>
      </w:pPr>
      <w:r>
        <w:t xml:space="preserve">Kraft Heinz is the least leveraged of the three on every solvency measure, aided by its large equity base (built from the 2015 merger accounting) even after the FY2025 impairment eroded that equity cushion materially. General Mills is now the most leveraged, with debt-to-equity climbing from 0.92x (FY2022) to 1.83x (FY2026) as its equity base has shrunk faster than its debt — a trend worth monitoring.</w:t>
      </w:r>
    </w:p>
    <w:p>
      <w:pPr>
        <w:pStyle w:val="Heading3"/>
        <w:spacing w:after="100" w:before="200"/>
      </w:pPr>
      <w:r>
        <w:rPr>
          <w:b/>
          <w:bCs/>
        </w:rPr>
        <w:t xml:space="preserve">Efficiency Ratios</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350"/>
        <w:gridCol w:w="1910"/>
        <w:gridCol w:w="1910"/>
        <w:gridCol w:w="2000"/>
        <w:gridCol w:w="1730"/>
      </w:tblGrid>
      <w:tr>
        <w:trPr>
          <w:tblHeader/>
        </w:trPr>
        <w:tc>
          <w:tcPr>
            <w:tcW w:type="dxa" w:w="2350"/>
            <w:shd w:fill="2E5395" w:val="clear"/>
            <w:tcMar>
              <w:top w:type="dxa" w:w="60"/>
              <w:left w:type="dxa" w:w="100"/>
              <w:bottom w:type="dxa" w:w="60"/>
              <w:right w:type="dxa" w:w="100"/>
            </w:tcMar>
            <w:vAlign w:val="center"/>
          </w:tcPr>
          <w:p>
            <w:pPr>
              <w:jc w:val="center"/>
            </w:pPr>
            <w:r>
              <w:rPr>
                <w:b/>
                <w:bCs/>
                <w:color w:val="FFFFFF"/>
                <w:sz w:val="17"/>
                <w:szCs w:val="17"/>
              </w:rPr>
              <w:t xml:space="preserve">Company (Latest FY)</w:t>
            </w:r>
          </w:p>
        </w:tc>
        <w:tc>
          <w:tcPr>
            <w:tcW w:type="dxa" w:w="1910"/>
            <w:shd w:fill="2E5395" w:val="clear"/>
            <w:tcMar>
              <w:top w:type="dxa" w:w="60"/>
              <w:left w:type="dxa" w:w="100"/>
              <w:bottom w:type="dxa" w:w="60"/>
              <w:right w:type="dxa" w:w="100"/>
            </w:tcMar>
            <w:vAlign w:val="center"/>
          </w:tcPr>
          <w:p>
            <w:pPr>
              <w:jc w:val="center"/>
            </w:pPr>
            <w:r>
              <w:rPr>
                <w:b/>
                <w:bCs/>
                <w:color w:val="FFFFFF"/>
                <w:sz w:val="17"/>
                <w:szCs w:val="17"/>
              </w:rPr>
              <w:t xml:space="preserve">Asset Turnover</w:t>
            </w:r>
          </w:p>
        </w:tc>
        <w:tc>
          <w:tcPr>
            <w:tcW w:type="dxa" w:w="1910"/>
            <w:shd w:fill="2E5395" w:val="clear"/>
            <w:tcMar>
              <w:top w:type="dxa" w:w="60"/>
              <w:left w:type="dxa" w:w="100"/>
              <w:bottom w:type="dxa" w:w="60"/>
              <w:right w:type="dxa" w:w="100"/>
            </w:tcMar>
            <w:vAlign w:val="center"/>
          </w:tcPr>
          <w:p>
            <w:pPr>
              <w:jc w:val="center"/>
            </w:pPr>
            <w:r>
              <w:rPr>
                <w:b/>
                <w:bCs/>
                <w:color w:val="FFFFFF"/>
                <w:sz w:val="17"/>
                <w:szCs w:val="17"/>
              </w:rPr>
              <w:t xml:space="preserve">Inventory Turnover</w:t>
            </w:r>
          </w:p>
        </w:tc>
        <w:tc>
          <w:tcPr>
            <w:tcW w:type="dxa" w:w="2000"/>
            <w:shd w:fill="2E5395" w:val="clear"/>
            <w:tcMar>
              <w:top w:type="dxa" w:w="60"/>
              <w:left w:type="dxa" w:w="100"/>
              <w:bottom w:type="dxa" w:w="60"/>
              <w:right w:type="dxa" w:w="100"/>
            </w:tcMar>
            <w:vAlign w:val="center"/>
          </w:tcPr>
          <w:p>
            <w:pPr>
              <w:jc w:val="center"/>
            </w:pPr>
            <w:r>
              <w:rPr>
                <w:b/>
                <w:bCs/>
                <w:color w:val="FFFFFF"/>
                <w:sz w:val="17"/>
                <w:szCs w:val="17"/>
              </w:rPr>
              <w:t xml:space="preserve">Receivables Turnover</w:t>
            </w:r>
          </w:p>
        </w:tc>
        <w:tc>
          <w:tcPr>
            <w:tcW w:type="dxa" w:w="1730"/>
            <w:shd w:fill="2E5395" w:val="clear"/>
            <w:tcMar>
              <w:top w:type="dxa" w:w="60"/>
              <w:left w:type="dxa" w:w="100"/>
              <w:bottom w:type="dxa" w:w="60"/>
              <w:right w:type="dxa" w:w="100"/>
            </w:tcMar>
            <w:vAlign w:val="center"/>
          </w:tcPr>
          <w:p>
            <w:pPr>
              <w:jc w:val="center"/>
            </w:pPr>
            <w:r>
              <w:rPr>
                <w:b/>
                <w:bCs/>
                <w:color w:val="FFFFFF"/>
                <w:sz w:val="17"/>
                <w:szCs w:val="17"/>
              </w:rPr>
              <w:t xml:space="preserve">DSO (days)</w:t>
            </w:r>
          </w:p>
        </w:tc>
      </w:tr>
      <w:tr>
        <w:tc>
          <w:tcPr>
            <w:tcW w:type="dxa" w:w="2350"/>
            <w:tcMar>
              <w:top w:type="dxa" w:w="60"/>
              <w:left w:type="dxa" w:w="100"/>
              <w:bottom w:type="dxa" w:w="60"/>
              <w:right w:type="dxa" w:w="100"/>
            </w:tcMar>
            <w:vAlign w:val="center"/>
          </w:tcPr>
          <w:p>
            <w:pPr>
              <w:jc w:val="left"/>
            </w:pPr>
            <w:r>
              <w:rPr>
                <w:b w:val="false"/>
                <w:bCs w:val="false"/>
                <w:color w:val="000000"/>
                <w:sz w:val="17"/>
                <w:szCs w:val="17"/>
              </w:rPr>
              <w:t xml:space="preserve">KHC — FY2025</w:t>
            </w:r>
          </w:p>
        </w:tc>
        <w:tc>
          <w:tcPr>
            <w:tcW w:type="dxa" w:w="1910"/>
            <w:tcMar>
              <w:top w:type="dxa" w:w="60"/>
              <w:left w:type="dxa" w:w="100"/>
              <w:bottom w:type="dxa" w:w="60"/>
              <w:right w:type="dxa" w:w="100"/>
            </w:tcMar>
            <w:vAlign w:val="center"/>
          </w:tcPr>
          <w:p>
            <w:pPr>
              <w:jc w:val="right"/>
            </w:pPr>
            <w:r>
              <w:rPr>
                <w:b w:val="false"/>
                <w:bCs w:val="false"/>
                <w:color w:val="000000"/>
                <w:sz w:val="17"/>
                <w:szCs w:val="17"/>
              </w:rPr>
              <w:t xml:space="preserve">0.30x</w:t>
            </w:r>
          </w:p>
        </w:tc>
        <w:tc>
          <w:tcPr>
            <w:tcW w:type="dxa" w:w="1910"/>
            <w:tcMar>
              <w:top w:type="dxa" w:w="60"/>
              <w:left w:type="dxa" w:w="100"/>
              <w:bottom w:type="dxa" w:w="60"/>
              <w:right w:type="dxa" w:w="100"/>
            </w:tcMar>
            <w:vAlign w:val="center"/>
          </w:tcPr>
          <w:p>
            <w:pPr>
              <w:jc w:val="right"/>
            </w:pPr>
            <w:r>
              <w:rPr>
                <w:b w:val="false"/>
                <w:bCs w:val="false"/>
                <w:color w:val="000000"/>
                <w:sz w:val="17"/>
                <w:szCs w:val="17"/>
              </w:rPr>
              <w:t xml:space="preserve">5.25x</w:t>
            </w:r>
          </w:p>
        </w:tc>
        <w:tc>
          <w:tcPr>
            <w:tcW w:type="dxa" w:w="2000"/>
            <w:tcMar>
              <w:top w:type="dxa" w:w="60"/>
              <w:left w:type="dxa" w:w="100"/>
              <w:bottom w:type="dxa" w:w="60"/>
              <w:right w:type="dxa" w:w="100"/>
            </w:tcMar>
            <w:vAlign w:val="center"/>
          </w:tcPr>
          <w:p>
            <w:pPr>
              <w:jc w:val="right"/>
            </w:pPr>
            <w:r>
              <w:rPr>
                <w:b w:val="false"/>
                <w:bCs w:val="false"/>
                <w:color w:val="000000"/>
                <w:sz w:val="17"/>
                <w:szCs w:val="17"/>
              </w:rPr>
              <w:t xml:space="preserve">11.07x</w:t>
            </w:r>
          </w:p>
        </w:tc>
        <w:tc>
          <w:tcPr>
            <w:tcW w:type="dxa" w:w="1730"/>
            <w:tcMar>
              <w:top w:type="dxa" w:w="60"/>
              <w:left w:type="dxa" w:w="100"/>
              <w:bottom w:type="dxa" w:w="60"/>
              <w:right w:type="dxa" w:w="100"/>
            </w:tcMar>
            <w:vAlign w:val="center"/>
          </w:tcPr>
          <w:p>
            <w:pPr>
              <w:jc w:val="right"/>
            </w:pPr>
            <w:r>
              <w:rPr>
                <w:b w:val="false"/>
                <w:bCs w:val="false"/>
                <w:color w:val="000000"/>
                <w:sz w:val="17"/>
                <w:szCs w:val="17"/>
              </w:rPr>
              <w:t xml:space="preserve">33.0</w:t>
            </w:r>
          </w:p>
        </w:tc>
      </w:tr>
      <w:tr>
        <w:tc>
          <w:tcPr>
            <w:tcW w:type="dxa" w:w="23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GIS — FY2026</w:t>
            </w:r>
          </w:p>
        </w:tc>
        <w:tc>
          <w:tcPr>
            <w:tcW w:type="dxa" w:w="191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0.58x</w:t>
            </w:r>
          </w:p>
        </w:tc>
        <w:tc>
          <w:tcPr>
            <w:tcW w:type="dxa" w:w="191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6.39x</w:t>
            </w:r>
          </w:p>
        </w:tc>
        <w:tc>
          <w:tcPr>
            <w:tcW w:type="dxa" w:w="20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10.94x</w:t>
            </w:r>
          </w:p>
        </w:tc>
        <w:tc>
          <w:tcPr>
            <w:tcW w:type="dxa" w:w="17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33.4</w:t>
            </w:r>
          </w:p>
        </w:tc>
      </w:tr>
      <w:tr>
        <w:tc>
          <w:tcPr>
            <w:tcW w:type="dxa" w:w="2350"/>
            <w:tcMar>
              <w:top w:type="dxa" w:w="60"/>
              <w:left w:type="dxa" w:w="100"/>
              <w:bottom w:type="dxa" w:w="60"/>
              <w:right w:type="dxa" w:w="100"/>
            </w:tcMar>
            <w:vAlign w:val="center"/>
          </w:tcPr>
          <w:p>
            <w:pPr>
              <w:jc w:val="left"/>
            </w:pPr>
            <w:r>
              <w:rPr>
                <w:b w:val="false"/>
                <w:bCs w:val="false"/>
                <w:color w:val="000000"/>
                <w:sz w:val="17"/>
                <w:szCs w:val="17"/>
              </w:rPr>
              <w:t xml:space="preserve">CAG — FY2026</w:t>
            </w:r>
          </w:p>
        </w:tc>
        <w:tc>
          <w:tcPr>
            <w:tcW w:type="dxa" w:w="1910"/>
            <w:tcMar>
              <w:top w:type="dxa" w:w="60"/>
              <w:left w:type="dxa" w:w="100"/>
              <w:bottom w:type="dxa" w:w="60"/>
              <w:right w:type="dxa" w:w="100"/>
            </w:tcMar>
            <w:vAlign w:val="center"/>
          </w:tcPr>
          <w:p>
            <w:pPr>
              <w:jc w:val="right"/>
            </w:pPr>
            <w:r>
              <w:rPr>
                <w:b w:val="false"/>
                <w:bCs w:val="false"/>
                <w:color w:val="000000"/>
                <w:sz w:val="17"/>
                <w:szCs w:val="17"/>
              </w:rPr>
              <w:t xml:space="preserve">0.59x</w:t>
            </w:r>
          </w:p>
        </w:tc>
        <w:tc>
          <w:tcPr>
            <w:tcW w:type="dxa" w:w="1910"/>
            <w:tcMar>
              <w:top w:type="dxa" w:w="60"/>
              <w:left w:type="dxa" w:w="100"/>
              <w:bottom w:type="dxa" w:w="60"/>
              <w:right w:type="dxa" w:w="100"/>
            </w:tcMar>
            <w:vAlign w:val="center"/>
          </w:tcPr>
          <w:p>
            <w:pPr>
              <w:jc w:val="right"/>
            </w:pPr>
            <w:r>
              <w:rPr>
                <w:b w:val="false"/>
                <w:bCs w:val="false"/>
                <w:color w:val="000000"/>
                <w:sz w:val="17"/>
                <w:szCs w:val="17"/>
              </w:rPr>
              <w:t xml:space="preserve">4.34x</w:t>
            </w:r>
          </w:p>
        </w:tc>
        <w:tc>
          <w:tcPr>
            <w:tcW w:type="dxa" w:w="2000"/>
            <w:tcMar>
              <w:top w:type="dxa" w:w="60"/>
              <w:left w:type="dxa" w:w="100"/>
              <w:bottom w:type="dxa" w:w="60"/>
              <w:right w:type="dxa" w:w="100"/>
            </w:tcMar>
            <w:vAlign w:val="center"/>
          </w:tcPr>
          <w:p>
            <w:pPr>
              <w:jc w:val="right"/>
            </w:pPr>
            <w:r>
              <w:rPr>
                <w:b w:val="false"/>
                <w:bCs w:val="false"/>
                <w:color w:val="000000"/>
                <w:sz w:val="17"/>
                <w:szCs w:val="17"/>
              </w:rPr>
              <w:t xml:space="preserve">13.60x</w:t>
            </w:r>
          </w:p>
        </w:tc>
        <w:tc>
          <w:tcPr>
            <w:tcW w:type="dxa" w:w="1730"/>
            <w:tcMar>
              <w:top w:type="dxa" w:w="60"/>
              <w:left w:type="dxa" w:w="100"/>
              <w:bottom w:type="dxa" w:w="60"/>
              <w:right w:type="dxa" w:w="100"/>
            </w:tcMar>
            <w:vAlign w:val="center"/>
          </w:tcPr>
          <w:p>
            <w:pPr>
              <w:jc w:val="right"/>
            </w:pPr>
            <w:r>
              <w:rPr>
                <w:b w:val="false"/>
                <w:bCs w:val="false"/>
                <w:color w:val="000000"/>
                <w:sz w:val="17"/>
                <w:szCs w:val="17"/>
              </w:rPr>
              <w:t xml:space="preserve">26.8</w:t>
            </w:r>
          </w:p>
        </w:tc>
      </w:tr>
    </w:tbl>
    <w:p>
      <w:pPr>
        <w:spacing w:after="160" w:line="276"/>
        <w:jc w:val="both"/>
      </w:pPr>
      <w:r>
        <w:t xml:space="preserve">GIS and CAG turn their (smaller) asset bases roughly twice as fast as KHC, largely a function of Kraft Heinz's much larger goodwill/intangible balance sitting in the denominator rather than a genuine operating-efficiency gap; inventory and receivables turns — the more operationally meaningful efficiency metrics — are broadly comparable across all three.</w:t>
      </w:r>
    </w:p>
    <w:p>
      <w:pPr>
        <w:pStyle w:val="Heading3"/>
        <w:spacing w:after="100" w:before="200"/>
      </w:pPr>
      <w:r>
        <w:rPr>
          <w:b/>
          <w:bCs/>
        </w:rPr>
        <w:t xml:space="preserve">Valuation Ratios</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340"/>
        <w:gridCol w:w="1710"/>
        <w:gridCol w:w="1710"/>
        <w:gridCol w:w="1710"/>
        <w:gridCol w:w="2430"/>
      </w:tblGrid>
      <w:tr>
        <w:trPr>
          <w:tblHeader/>
        </w:trPr>
        <w:tc>
          <w:tcPr>
            <w:tcW w:type="dxa" w:w="2340"/>
            <w:shd w:fill="2E5395" w:val="clear"/>
            <w:tcMar>
              <w:top w:type="dxa" w:w="60"/>
              <w:left w:type="dxa" w:w="100"/>
              <w:bottom w:type="dxa" w:w="60"/>
              <w:right w:type="dxa" w:w="100"/>
            </w:tcMar>
            <w:vAlign w:val="center"/>
          </w:tcPr>
          <w:p>
            <w:pPr>
              <w:jc w:val="center"/>
            </w:pPr>
            <w:r>
              <w:rPr>
                <w:b/>
                <w:bCs/>
                <w:color w:val="FFFFFF"/>
                <w:sz w:val="17"/>
                <w:szCs w:val="17"/>
              </w:rPr>
              <w:t xml:space="preserve">Company (Latest FY)</w:t>
            </w:r>
          </w:p>
        </w:tc>
        <w:tc>
          <w:tcPr>
            <w:tcW w:type="dxa" w:w="1710"/>
            <w:shd w:fill="2E5395" w:val="clear"/>
            <w:tcMar>
              <w:top w:type="dxa" w:w="60"/>
              <w:left w:type="dxa" w:w="100"/>
              <w:bottom w:type="dxa" w:w="60"/>
              <w:right w:type="dxa" w:w="100"/>
            </w:tcMar>
            <w:vAlign w:val="center"/>
          </w:tcPr>
          <w:p>
            <w:pPr>
              <w:jc w:val="center"/>
            </w:pPr>
            <w:r>
              <w:rPr>
                <w:b/>
                <w:bCs/>
                <w:color w:val="FFFFFF"/>
                <w:sz w:val="17"/>
                <w:szCs w:val="17"/>
              </w:rPr>
              <w:t xml:space="preserve">P/E</w:t>
            </w:r>
          </w:p>
        </w:tc>
        <w:tc>
          <w:tcPr>
            <w:tcW w:type="dxa" w:w="1710"/>
            <w:shd w:fill="2E5395" w:val="clear"/>
            <w:tcMar>
              <w:top w:type="dxa" w:w="60"/>
              <w:left w:type="dxa" w:w="100"/>
              <w:bottom w:type="dxa" w:w="60"/>
              <w:right w:type="dxa" w:w="100"/>
            </w:tcMar>
            <w:vAlign w:val="center"/>
          </w:tcPr>
          <w:p>
            <w:pPr>
              <w:jc w:val="center"/>
            </w:pPr>
            <w:r>
              <w:rPr>
                <w:b/>
                <w:bCs/>
                <w:color w:val="FFFFFF"/>
                <w:sz w:val="17"/>
                <w:szCs w:val="17"/>
              </w:rPr>
              <w:t xml:space="preserve">P/S</w:t>
            </w:r>
          </w:p>
        </w:tc>
        <w:tc>
          <w:tcPr>
            <w:tcW w:type="dxa" w:w="1710"/>
            <w:shd w:fill="2E5395" w:val="clear"/>
            <w:tcMar>
              <w:top w:type="dxa" w:w="60"/>
              <w:left w:type="dxa" w:w="100"/>
              <w:bottom w:type="dxa" w:w="60"/>
              <w:right w:type="dxa" w:w="100"/>
            </w:tcMar>
            <w:vAlign w:val="center"/>
          </w:tcPr>
          <w:p>
            <w:pPr>
              <w:jc w:val="center"/>
            </w:pPr>
            <w:r>
              <w:rPr>
                <w:b/>
                <w:bCs/>
                <w:color w:val="FFFFFF"/>
                <w:sz w:val="17"/>
                <w:szCs w:val="17"/>
              </w:rPr>
              <w:t xml:space="preserve">P/FCF</w:t>
            </w:r>
          </w:p>
        </w:tc>
        <w:tc>
          <w:tcPr>
            <w:tcW w:type="dxa" w:w="2430"/>
            <w:shd w:fill="2E5395" w:val="clear"/>
            <w:tcMar>
              <w:top w:type="dxa" w:w="60"/>
              <w:left w:type="dxa" w:w="100"/>
              <w:bottom w:type="dxa" w:w="60"/>
              <w:right w:type="dxa" w:w="100"/>
            </w:tcMar>
            <w:vAlign w:val="center"/>
          </w:tcPr>
          <w:p>
            <w:pPr>
              <w:jc w:val="center"/>
            </w:pPr>
            <w:r>
              <w:rPr>
                <w:b/>
                <w:bCs/>
                <w:color w:val="FFFFFF"/>
                <w:sz w:val="17"/>
                <w:szCs w:val="17"/>
              </w:rPr>
              <w:t xml:space="preserve">EV/EBITDA (as reported)</w:t>
            </w:r>
          </w:p>
        </w:tc>
      </w:tr>
      <w:tr>
        <w:tc>
          <w:tcPr>
            <w:tcW w:type="dxa" w:w="2340"/>
            <w:tcMar>
              <w:top w:type="dxa" w:w="60"/>
              <w:left w:type="dxa" w:w="100"/>
              <w:bottom w:type="dxa" w:w="60"/>
              <w:right w:type="dxa" w:w="100"/>
            </w:tcMar>
            <w:vAlign w:val="center"/>
          </w:tcPr>
          <w:p>
            <w:pPr>
              <w:jc w:val="left"/>
            </w:pPr>
            <w:r>
              <w:rPr>
                <w:b w:val="false"/>
                <w:bCs w:val="false"/>
                <w:color w:val="000000"/>
                <w:sz w:val="17"/>
                <w:szCs w:val="17"/>
              </w:rPr>
              <w:t xml:space="preserve">KHC — FY2025</w:t>
            </w:r>
          </w:p>
        </w:tc>
        <w:tc>
          <w:tcPr>
            <w:tcW w:type="dxa" w:w="1710"/>
            <w:tcMar>
              <w:top w:type="dxa" w:w="60"/>
              <w:left w:type="dxa" w:w="100"/>
              <w:bottom w:type="dxa" w:w="60"/>
              <w:right w:type="dxa" w:w="100"/>
            </w:tcMar>
            <w:vAlign w:val="center"/>
          </w:tcPr>
          <w:p>
            <w:pPr>
              <w:jc w:val="right"/>
            </w:pPr>
            <w:r>
              <w:rPr>
                <w:b w:val="false"/>
                <w:bCs w:val="false"/>
                <w:color w:val="000000"/>
                <w:sz w:val="17"/>
                <w:szCs w:val="17"/>
              </w:rPr>
              <w:t xml:space="preserve">n/m (loss)</w:t>
            </w:r>
          </w:p>
        </w:tc>
        <w:tc>
          <w:tcPr>
            <w:tcW w:type="dxa" w:w="1710"/>
            <w:tcMar>
              <w:top w:type="dxa" w:w="60"/>
              <w:left w:type="dxa" w:w="100"/>
              <w:bottom w:type="dxa" w:w="60"/>
              <w:right w:type="dxa" w:w="100"/>
            </w:tcMar>
            <w:vAlign w:val="center"/>
          </w:tcPr>
          <w:p>
            <w:pPr>
              <w:jc w:val="right"/>
            </w:pPr>
            <w:r>
              <w:rPr>
                <w:b w:val="false"/>
                <w:bCs w:val="false"/>
                <w:color w:val="000000"/>
                <w:sz w:val="17"/>
                <w:szCs w:val="17"/>
              </w:rPr>
              <w:t xml:space="preserve">1.15x</w:t>
            </w:r>
          </w:p>
        </w:tc>
        <w:tc>
          <w:tcPr>
            <w:tcW w:type="dxa" w:w="1710"/>
            <w:tcMar>
              <w:top w:type="dxa" w:w="60"/>
              <w:left w:type="dxa" w:w="100"/>
              <w:bottom w:type="dxa" w:w="60"/>
              <w:right w:type="dxa" w:w="100"/>
            </w:tcMar>
            <w:vAlign w:val="center"/>
          </w:tcPr>
          <w:p>
            <w:pPr>
              <w:jc w:val="right"/>
            </w:pPr>
            <w:r>
              <w:rPr>
                <w:b w:val="false"/>
                <w:bCs w:val="false"/>
                <w:color w:val="000000"/>
                <w:sz w:val="17"/>
                <w:szCs w:val="17"/>
              </w:rPr>
              <w:t xml:space="preserve">7.80x</w:t>
            </w:r>
          </w:p>
        </w:tc>
        <w:tc>
          <w:tcPr>
            <w:tcW w:type="dxa" w:w="2430"/>
            <w:tcMar>
              <w:top w:type="dxa" w:w="60"/>
              <w:left w:type="dxa" w:w="100"/>
              <w:bottom w:type="dxa" w:w="60"/>
              <w:right w:type="dxa" w:w="100"/>
            </w:tcMar>
            <w:vAlign w:val="center"/>
          </w:tcPr>
          <w:p>
            <w:pPr>
              <w:jc w:val="right"/>
            </w:pPr>
            <w:r>
              <w:rPr>
                <w:b w:val="false"/>
                <w:bCs w:val="false"/>
                <w:color w:val="000000"/>
                <w:sz w:val="17"/>
                <w:szCs w:val="17"/>
              </w:rPr>
              <w:t xml:space="preserve">n/m (loss)</w:t>
            </w:r>
          </w:p>
        </w:tc>
      </w:tr>
      <w:tr>
        <w:tc>
          <w:tcPr>
            <w:tcW w:type="dxa" w:w="234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GIS — FY2026</w:t>
            </w:r>
          </w:p>
        </w:tc>
        <w:tc>
          <w:tcPr>
            <w:tcW w:type="dxa" w:w="171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n/m (loss)</w:t>
            </w:r>
          </w:p>
        </w:tc>
        <w:tc>
          <w:tcPr>
            <w:tcW w:type="dxa" w:w="171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0.97x</w:t>
            </w:r>
          </w:p>
        </w:tc>
        <w:tc>
          <w:tcPr>
            <w:tcW w:type="dxa" w:w="171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11.04x</w:t>
            </w:r>
          </w:p>
        </w:tc>
        <w:tc>
          <w:tcPr>
            <w:tcW w:type="dxa" w:w="24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21.5x</w:t>
            </w:r>
          </w:p>
        </w:tc>
      </w:tr>
      <w:tr>
        <w:tc>
          <w:tcPr>
            <w:tcW w:type="dxa" w:w="2340"/>
            <w:tcMar>
              <w:top w:type="dxa" w:w="60"/>
              <w:left w:type="dxa" w:w="100"/>
              <w:bottom w:type="dxa" w:w="60"/>
              <w:right w:type="dxa" w:w="100"/>
            </w:tcMar>
            <w:vAlign w:val="center"/>
          </w:tcPr>
          <w:p>
            <w:pPr>
              <w:jc w:val="left"/>
            </w:pPr>
            <w:r>
              <w:rPr>
                <w:b w:val="false"/>
                <w:bCs w:val="false"/>
                <w:color w:val="000000"/>
                <w:sz w:val="17"/>
                <w:szCs w:val="17"/>
              </w:rPr>
              <w:t xml:space="preserve">CAG — FY2026</w:t>
            </w:r>
          </w:p>
        </w:tc>
        <w:tc>
          <w:tcPr>
            <w:tcW w:type="dxa" w:w="1710"/>
            <w:tcMar>
              <w:top w:type="dxa" w:w="60"/>
              <w:left w:type="dxa" w:w="100"/>
              <w:bottom w:type="dxa" w:w="60"/>
              <w:right w:type="dxa" w:w="100"/>
            </w:tcMar>
            <w:vAlign w:val="center"/>
          </w:tcPr>
          <w:p>
            <w:pPr>
              <w:jc w:val="right"/>
            </w:pPr>
            <w:r>
              <w:rPr>
                <w:b w:val="false"/>
                <w:bCs w:val="false"/>
                <w:color w:val="000000"/>
                <w:sz w:val="17"/>
                <w:szCs w:val="17"/>
              </w:rPr>
              <w:t xml:space="preserve">n/m (loss)</w:t>
            </w:r>
          </w:p>
        </w:tc>
        <w:tc>
          <w:tcPr>
            <w:tcW w:type="dxa" w:w="1710"/>
            <w:tcMar>
              <w:top w:type="dxa" w:w="60"/>
              <w:left w:type="dxa" w:w="100"/>
              <w:bottom w:type="dxa" w:w="60"/>
              <w:right w:type="dxa" w:w="100"/>
            </w:tcMar>
            <w:vAlign w:val="center"/>
          </w:tcPr>
          <w:p>
            <w:pPr>
              <w:jc w:val="right"/>
            </w:pPr>
            <w:r>
              <w:rPr>
                <w:b w:val="false"/>
                <w:bCs w:val="false"/>
                <w:color w:val="000000"/>
                <w:sz w:val="17"/>
                <w:szCs w:val="17"/>
              </w:rPr>
              <w:t xml:space="preserve">0.56x</w:t>
            </w:r>
          </w:p>
        </w:tc>
        <w:tc>
          <w:tcPr>
            <w:tcW w:type="dxa" w:w="1710"/>
            <w:tcMar>
              <w:top w:type="dxa" w:w="60"/>
              <w:left w:type="dxa" w:w="100"/>
              <w:bottom w:type="dxa" w:w="60"/>
              <w:right w:type="dxa" w:w="100"/>
            </w:tcMar>
            <w:vAlign w:val="center"/>
          </w:tcPr>
          <w:p>
            <w:pPr>
              <w:jc w:val="right"/>
            </w:pPr>
            <w:r>
              <w:rPr>
                <w:b w:val="false"/>
                <w:bCs w:val="false"/>
                <w:color w:val="000000"/>
                <w:sz w:val="17"/>
                <w:szCs w:val="17"/>
              </w:rPr>
              <w:t xml:space="preserve">6.49x</w:t>
            </w:r>
          </w:p>
        </w:tc>
        <w:tc>
          <w:tcPr>
            <w:tcW w:type="dxa" w:w="2430"/>
            <w:tcMar>
              <w:top w:type="dxa" w:w="60"/>
              <w:left w:type="dxa" w:w="100"/>
              <w:bottom w:type="dxa" w:w="60"/>
              <w:right w:type="dxa" w:w="100"/>
            </w:tcMar>
            <w:vAlign w:val="center"/>
          </w:tcPr>
          <w:p>
            <w:pPr>
              <w:jc w:val="right"/>
            </w:pPr>
            <w:r>
              <w:rPr>
                <w:b w:val="false"/>
                <w:bCs w:val="false"/>
                <w:color w:val="000000"/>
                <w:sz w:val="17"/>
                <w:szCs w:val="17"/>
              </w:rPr>
              <w:t xml:space="preserve">n/m (loss)</w:t>
            </w:r>
          </w:p>
        </w:tc>
      </w:tr>
    </w:tbl>
    <w:p>
      <w:pPr>
        <w:spacing w:after="160" w:line="276"/>
        <w:jc w:val="both"/>
      </w:pPr>
      <w:r>
        <w:t xml:space="preserve">P/E is not meaningful for any of the three in the latest fiscal year given the reported net losses. On Price/Sales and Price/FCF — both unaffected by the impairment noise — the market is valuing Conagra most cheaply (0.56x sales), followed by General Mills (0.97x) and Kraft Heinz (1.15x), broadly consistent with each company's relative growth and leverage profile.</w:t>
      </w:r>
    </w:p>
    <w:p>
      <w:r>
        <w:br w:type="page"/>
      </w:r>
    </w:p>
    <w:p>
      <w:pPr>
        <w:pStyle w:val="Heading2"/>
        <w:spacing w:after="120" w:before="260"/>
      </w:pPr>
      <w:r>
        <w:rPr>
          <w:b/>
          <w:bCs/>
        </w:rPr>
        <w:t xml:space="preserve">2.3  Trend Analysis (5-Year)</w:t>
      </w:r>
    </w:p>
    <w:p>
      <w:pPr>
        <w:spacing w:after="160" w:line="276"/>
        <w:jc w:val="both"/>
      </w:pPr>
      <w:r>
        <w:t xml:space="preserve">Full year-by-year figures, YoY growth rates, and 4-year CAGRs for Revenue, Net Income, Total Assets, Total Liabilities, and Operating Cash Flow are provided (with charts) in the 'Trend Analysis' tab of the companion Excel Workbook. Key observations:</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160"/>
        <w:gridCol w:w="1860"/>
        <w:gridCol w:w="2010"/>
        <w:gridCol w:w="1860"/>
        <w:gridCol w:w="2010"/>
      </w:tblGrid>
      <w:tr>
        <w:trPr>
          <w:tblHeader/>
        </w:trPr>
        <w:tc>
          <w:tcPr>
            <w:tcW w:type="dxa" w:w="2160"/>
            <w:shd w:fill="2E5395" w:val="clear"/>
            <w:tcMar>
              <w:top w:type="dxa" w:w="60"/>
              <w:left w:type="dxa" w:w="100"/>
              <w:bottom w:type="dxa" w:w="60"/>
              <w:right w:type="dxa" w:w="100"/>
            </w:tcMar>
            <w:vAlign w:val="center"/>
          </w:tcPr>
          <w:p>
            <w:pPr>
              <w:jc w:val="center"/>
            </w:pPr>
            <w:r>
              <w:rPr>
                <w:b/>
                <w:bCs/>
                <w:color w:val="FFFFFF"/>
                <w:sz w:val="17"/>
                <w:szCs w:val="17"/>
              </w:rPr>
              <w:t xml:space="preserve">Company</w:t>
            </w:r>
          </w:p>
        </w:tc>
        <w:tc>
          <w:tcPr>
            <w:tcW w:type="dxa" w:w="1860"/>
            <w:shd w:fill="2E5395" w:val="clear"/>
            <w:tcMar>
              <w:top w:type="dxa" w:w="60"/>
              <w:left w:type="dxa" w:w="100"/>
              <w:bottom w:type="dxa" w:w="60"/>
              <w:right w:type="dxa" w:w="100"/>
            </w:tcMar>
            <w:vAlign w:val="center"/>
          </w:tcPr>
          <w:p>
            <w:pPr>
              <w:jc w:val="center"/>
            </w:pPr>
            <w:r>
              <w:rPr>
                <w:b/>
                <w:bCs/>
                <w:color w:val="FFFFFF"/>
                <w:sz w:val="17"/>
                <w:szCs w:val="17"/>
              </w:rPr>
              <w:t xml:space="preserve">Revenue CAGR (4-yr)</w:t>
            </w:r>
          </w:p>
        </w:tc>
        <w:tc>
          <w:tcPr>
            <w:tcW w:type="dxa" w:w="2010"/>
            <w:shd w:fill="2E5395" w:val="clear"/>
            <w:tcMar>
              <w:top w:type="dxa" w:w="60"/>
              <w:left w:type="dxa" w:w="100"/>
              <w:bottom w:type="dxa" w:w="60"/>
              <w:right w:type="dxa" w:w="100"/>
            </w:tcMar>
            <w:vAlign w:val="center"/>
          </w:tcPr>
          <w:p>
            <w:pPr>
              <w:jc w:val="center"/>
            </w:pPr>
            <w:r>
              <w:rPr>
                <w:b/>
                <w:bCs/>
                <w:color w:val="FFFFFF"/>
                <w:sz w:val="17"/>
                <w:szCs w:val="17"/>
              </w:rPr>
              <w:t xml:space="preserve">Net Income CAGR (4-yr)*</w:t>
            </w:r>
          </w:p>
        </w:tc>
        <w:tc>
          <w:tcPr>
            <w:tcW w:type="dxa" w:w="1860"/>
            <w:shd w:fill="2E5395" w:val="clear"/>
            <w:tcMar>
              <w:top w:type="dxa" w:w="60"/>
              <w:left w:type="dxa" w:w="100"/>
              <w:bottom w:type="dxa" w:w="60"/>
              <w:right w:type="dxa" w:w="100"/>
            </w:tcMar>
            <w:vAlign w:val="center"/>
          </w:tcPr>
          <w:p>
            <w:pPr>
              <w:jc w:val="center"/>
            </w:pPr>
            <w:r>
              <w:rPr>
                <w:b/>
                <w:bCs/>
                <w:color w:val="FFFFFF"/>
                <w:sz w:val="17"/>
                <w:szCs w:val="17"/>
              </w:rPr>
              <w:t xml:space="preserve">Total Assets CAGR (4-yr)</w:t>
            </w:r>
          </w:p>
        </w:tc>
        <w:tc>
          <w:tcPr>
            <w:tcW w:type="dxa" w:w="2010"/>
            <w:shd w:fill="2E5395" w:val="clear"/>
            <w:tcMar>
              <w:top w:type="dxa" w:w="60"/>
              <w:left w:type="dxa" w:w="100"/>
              <w:bottom w:type="dxa" w:w="60"/>
              <w:right w:type="dxa" w:w="100"/>
            </w:tcMar>
            <w:vAlign w:val="center"/>
          </w:tcPr>
          <w:p>
            <w:pPr>
              <w:jc w:val="center"/>
            </w:pPr>
            <w:r>
              <w:rPr>
                <w:b/>
                <w:bCs/>
                <w:color w:val="FFFFFF"/>
                <w:sz w:val="17"/>
                <w:szCs w:val="17"/>
              </w:rPr>
              <w:t xml:space="preserve">Op. Cash Flow CAGR (4-yr)*</w:t>
            </w:r>
          </w:p>
        </w:tc>
      </w:tr>
      <w:tr>
        <w:tc>
          <w:tcPr>
            <w:tcW w:type="dxa" w:w="2160"/>
            <w:tcMar>
              <w:top w:type="dxa" w:w="60"/>
              <w:left w:type="dxa" w:w="100"/>
              <w:bottom w:type="dxa" w:w="60"/>
              <w:right w:type="dxa" w:w="100"/>
            </w:tcMar>
            <w:vAlign w:val="center"/>
          </w:tcPr>
          <w:p>
            <w:pPr>
              <w:jc w:val="left"/>
            </w:pPr>
            <w:r>
              <w:rPr>
                <w:b w:val="false"/>
                <w:bCs w:val="false"/>
                <w:color w:val="000000"/>
                <w:sz w:val="17"/>
                <w:szCs w:val="17"/>
              </w:rPr>
              <w:t xml:space="preserve">KHC (FY2021-FY2025)</w:t>
            </w:r>
          </w:p>
        </w:tc>
        <w:tc>
          <w:tcPr>
            <w:tcW w:type="dxa" w:w="1860"/>
            <w:tcMar>
              <w:top w:type="dxa" w:w="60"/>
              <w:left w:type="dxa" w:w="100"/>
              <w:bottom w:type="dxa" w:w="60"/>
              <w:right w:type="dxa" w:w="100"/>
            </w:tcMar>
            <w:vAlign w:val="center"/>
          </w:tcPr>
          <w:p>
            <w:pPr>
              <w:jc w:val="right"/>
            </w:pPr>
            <w:r>
              <w:rPr>
                <w:b w:val="false"/>
                <w:bCs w:val="false"/>
                <w:color w:val="000000"/>
                <w:sz w:val="17"/>
                <w:szCs w:val="17"/>
              </w:rPr>
              <w:t xml:space="preserve">-1.1%</w:t>
            </w:r>
          </w:p>
        </w:tc>
        <w:tc>
          <w:tcPr>
            <w:tcW w:type="dxa" w:w="2010"/>
            <w:tcMar>
              <w:top w:type="dxa" w:w="60"/>
              <w:left w:type="dxa" w:w="100"/>
              <w:bottom w:type="dxa" w:w="60"/>
              <w:right w:type="dxa" w:w="100"/>
            </w:tcMar>
            <w:vAlign w:val="center"/>
          </w:tcPr>
          <w:p>
            <w:pPr>
              <w:jc w:val="right"/>
            </w:pPr>
            <w:r>
              <w:rPr>
                <w:b w:val="false"/>
                <w:bCs w:val="false"/>
                <w:color w:val="000000"/>
                <w:sz w:val="17"/>
                <w:szCs w:val="17"/>
              </w:rPr>
              <w:t xml:space="preserve">n/m (sign change)</w:t>
            </w:r>
          </w:p>
        </w:tc>
        <w:tc>
          <w:tcPr>
            <w:tcW w:type="dxa" w:w="1860"/>
            <w:tcMar>
              <w:top w:type="dxa" w:w="60"/>
              <w:left w:type="dxa" w:w="100"/>
              <w:bottom w:type="dxa" w:w="60"/>
              <w:right w:type="dxa" w:w="100"/>
            </w:tcMar>
            <w:vAlign w:val="center"/>
          </w:tcPr>
          <w:p>
            <w:pPr>
              <w:jc w:val="right"/>
            </w:pPr>
            <w:r>
              <w:rPr>
                <w:b w:val="false"/>
                <w:bCs w:val="false"/>
                <w:color w:val="000000"/>
                <w:sz w:val="17"/>
                <w:szCs w:val="17"/>
              </w:rPr>
              <w:t xml:space="preserve">-3.3%</w:t>
            </w:r>
          </w:p>
        </w:tc>
        <w:tc>
          <w:tcPr>
            <w:tcW w:type="dxa" w:w="2010"/>
            <w:tcMar>
              <w:top w:type="dxa" w:w="60"/>
              <w:left w:type="dxa" w:w="100"/>
              <w:bottom w:type="dxa" w:w="60"/>
              <w:right w:type="dxa" w:w="100"/>
            </w:tcMar>
            <w:vAlign w:val="center"/>
          </w:tcPr>
          <w:p>
            <w:pPr>
              <w:jc w:val="right"/>
            </w:pPr>
            <w:r>
              <w:rPr>
                <w:b w:val="false"/>
                <w:bCs w:val="false"/>
                <w:color w:val="000000"/>
                <w:sz w:val="17"/>
                <w:szCs w:val="17"/>
              </w:rPr>
              <w:t xml:space="preserve">-4.5%</w:t>
            </w:r>
          </w:p>
        </w:tc>
      </w:tr>
      <w:tr>
        <w:tc>
          <w:tcPr>
            <w:tcW w:type="dxa" w:w="216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GIS (FY2022-FY2026)</w:t>
            </w:r>
          </w:p>
        </w:tc>
        <w:tc>
          <w:tcPr>
            <w:tcW w:type="dxa" w:w="186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-0.8%</w:t>
            </w:r>
          </w:p>
        </w:tc>
        <w:tc>
          <w:tcPr>
            <w:tcW w:type="dxa" w:w="201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n/m (sign change)</w:t>
            </w:r>
          </w:p>
        </w:tc>
        <w:tc>
          <w:tcPr>
            <w:tcW w:type="dxa" w:w="186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-1.0%</w:t>
            </w:r>
          </w:p>
        </w:tc>
        <w:tc>
          <w:tcPr>
            <w:tcW w:type="dxa" w:w="201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-10.1%</w:t>
            </w:r>
          </w:p>
        </w:tc>
      </w:tr>
      <w:tr>
        <w:tc>
          <w:tcPr>
            <w:tcW w:type="dxa" w:w="2160"/>
            <w:tcMar>
              <w:top w:type="dxa" w:w="60"/>
              <w:left w:type="dxa" w:w="100"/>
              <w:bottom w:type="dxa" w:w="60"/>
              <w:right w:type="dxa" w:w="100"/>
            </w:tcMar>
            <w:vAlign w:val="center"/>
          </w:tcPr>
          <w:p>
            <w:pPr>
              <w:jc w:val="left"/>
            </w:pPr>
            <w:r>
              <w:rPr>
                <w:b w:val="false"/>
                <w:bCs w:val="false"/>
                <w:color w:val="000000"/>
                <w:sz w:val="17"/>
                <w:szCs w:val="17"/>
              </w:rPr>
              <w:t xml:space="preserve">CAG (FY2022-FY2026)</w:t>
            </w:r>
          </w:p>
        </w:tc>
        <w:tc>
          <w:tcPr>
            <w:tcW w:type="dxa" w:w="1860"/>
            <w:tcMar>
              <w:top w:type="dxa" w:w="60"/>
              <w:left w:type="dxa" w:w="100"/>
              <w:bottom w:type="dxa" w:w="60"/>
              <w:right w:type="dxa" w:w="100"/>
            </w:tcMar>
            <w:vAlign w:val="center"/>
          </w:tcPr>
          <w:p>
            <w:pPr>
              <w:jc w:val="right"/>
            </w:pPr>
            <w:r>
              <w:rPr>
                <w:b w:val="false"/>
                <w:bCs w:val="false"/>
                <w:color w:val="000000"/>
                <w:sz w:val="17"/>
                <w:szCs w:val="17"/>
              </w:rPr>
              <w:t xml:space="preserve">-0.5%</w:t>
            </w:r>
          </w:p>
        </w:tc>
        <w:tc>
          <w:tcPr>
            <w:tcW w:type="dxa" w:w="2010"/>
            <w:tcMar>
              <w:top w:type="dxa" w:w="60"/>
              <w:left w:type="dxa" w:w="100"/>
              <w:bottom w:type="dxa" w:w="60"/>
              <w:right w:type="dxa" w:w="100"/>
            </w:tcMar>
            <w:vAlign w:val="center"/>
          </w:tcPr>
          <w:p>
            <w:pPr>
              <w:jc w:val="right"/>
            </w:pPr>
            <w:r>
              <w:rPr>
                <w:b w:val="false"/>
                <w:bCs w:val="false"/>
                <w:color w:val="000000"/>
                <w:sz w:val="17"/>
                <w:szCs w:val="17"/>
              </w:rPr>
              <w:t xml:space="preserve">n/m (sign change)</w:t>
            </w:r>
          </w:p>
        </w:tc>
        <w:tc>
          <w:tcPr>
            <w:tcW w:type="dxa" w:w="1860"/>
            <w:tcMar>
              <w:top w:type="dxa" w:w="60"/>
              <w:left w:type="dxa" w:w="100"/>
              <w:bottom w:type="dxa" w:w="60"/>
              <w:right w:type="dxa" w:w="100"/>
            </w:tcMar>
            <w:vAlign w:val="center"/>
          </w:tcPr>
          <w:p>
            <w:pPr>
              <w:jc w:val="right"/>
            </w:pPr>
            <w:r>
              <w:rPr>
                <w:b w:val="false"/>
                <w:bCs w:val="false"/>
                <w:color w:val="000000"/>
                <w:sz w:val="17"/>
                <w:szCs w:val="17"/>
              </w:rPr>
              <w:t xml:space="preserve">-6.4%</w:t>
            </w:r>
          </w:p>
        </w:tc>
        <w:tc>
          <w:tcPr>
            <w:tcW w:type="dxa" w:w="2010"/>
            <w:tcMar>
              <w:top w:type="dxa" w:w="60"/>
              <w:left w:type="dxa" w:w="100"/>
              <w:bottom w:type="dxa" w:w="60"/>
              <w:right w:type="dxa" w:w="100"/>
            </w:tcMar>
            <w:vAlign w:val="center"/>
          </w:tcPr>
          <w:p>
            <w:pPr>
              <w:jc w:val="right"/>
            </w:pPr>
            <w:r>
              <w:rPr>
                <w:b w:val="false"/>
                <w:bCs w:val="false"/>
                <w:color w:val="000000"/>
                <w:sz w:val="17"/>
                <w:szCs w:val="17"/>
              </w:rPr>
              <w:t xml:space="preserve">4.5%</w:t>
            </w:r>
          </w:p>
        </w:tc>
      </w:tr>
    </w:tbl>
    <w:p>
      <w:pPr>
        <w:spacing w:after="200"/>
      </w:pPr>
      <w:r>
        <w:rPr>
          <w:i/>
          <w:iCs/>
          <w:color w:val="666666"/>
          <w:sz w:val="18"/>
          <w:szCs w:val="18"/>
        </w:rPr>
        <w:t xml:space="preserve">*Net Income CAGR is not meaningful where the series moves from positive to negative over the period; see the Excel workbook for the full year-by-year path.</w:t>
      </w:r>
    </w:p>
    <w:p>
      <w:pPr>
        <w:pStyle w:val="ListParagraph"/>
        <w:numPr>
          <w:ilvl w:val="0"/>
          <w:numId w:val="2"/>
        </w:numPr>
        <w:spacing w:after="80"/>
      </w:pPr>
      <w:r>
        <w:t xml:space="preserve">Revenue: all three companies show a mildly negative 4-year revenue CAGR, consistent with an industry facing volume softness, ongoing SKU rationalization/portfolio simplification, and normalizing pricing after the 2021-2023 inflationary pricing cycle.</w:t>
      </w:r>
    </w:p>
    <w:p>
      <w:pPr>
        <w:pStyle w:val="ListParagraph"/>
        <w:numPr>
          <w:ilvl w:val="0"/>
          <w:numId w:val="2"/>
        </w:numPr>
        <w:spacing w:after="80"/>
      </w:pPr>
      <w:r>
        <w:t xml:space="preserve">Total Assets: all three balance sheets have shrunk over the period, primarily reflecting cumulative goodwill/intangible impairments (KHC and CAG most notably) rather than active asset-light strategic repositioning.</w:t>
      </w:r>
    </w:p>
    <w:p>
      <w:pPr>
        <w:pStyle w:val="ListParagraph"/>
        <w:numPr>
          <w:ilvl w:val="0"/>
          <w:numId w:val="2"/>
        </w:numPr>
        <w:spacing w:after="80"/>
      </w:pPr>
      <w:r>
        <w:t xml:space="preserve">Operating Cash Flow: CAG is the only company with positive 4-year OCF CAGR, though its OCF is also the most volatile year-to-year of the three (ranging from $995mm to $2,016mm); KHC and GIS both show declining OCF trends, which management at both companies has attributed to lower volumes and working-capital timing.</w:t>
      </w:r>
    </w:p>
    <w:p>
      <w:pPr>
        <w:pStyle w:val="ListParagraph"/>
        <w:numPr>
          <w:ilvl w:val="0"/>
          <w:numId w:val="2"/>
        </w:numPr>
        <w:spacing w:after="80"/>
      </w:pPr>
      <w:r>
        <w:t xml:space="preserve">Kraft Heinz specifically: revenue peaked at $26,640mm in FY2023 and has declined for two consecutive fiscal years since; net income was positive and growing through FY2023 before the FY2025 impairment-driven loss — the trend analysis therefore supports treating FY2025 as an inflection point requiring close monitoring in FY2026-FY2027, which is the focus of the projection in Section 2.4.</w:t>
      </w:r>
    </w:p>
    <w:p>
      <w:r>
        <w:br w:type="page"/>
      </w:r>
    </w:p>
    <w:p>
      <w:pPr>
        <w:pStyle w:val="Heading2"/>
        <w:spacing w:after="120" w:before="260"/>
      </w:pPr>
      <w:r>
        <w:rPr>
          <w:b/>
          <w:bCs/>
        </w:rPr>
        <w:t xml:space="preserve">2.4  Financial Projections — The Kraft Heinz Company (FY2026E–FY2028E)</w:t>
      </w:r>
    </w:p>
    <w:p>
      <w:pPr>
        <w:spacing w:after="160" w:line="276"/>
        <w:jc w:val="both"/>
      </w:pPr>
      <w:r>
        <w:t xml:space="preserve">A driver-based, formula-linked 3-year forecast was built for Kraft Heinz (the assigned primary company) in the 'KHC Projections' tab of the companion Excel Workbook. The full model — including the projected Balance Sheet, which balances by construction — is provided there; the summary Income Statement is reproduced below.</w:t>
      </w:r>
    </w:p>
    <w:p>
      <w:pPr>
        <w:pStyle w:val="Heading3"/>
        <w:spacing w:after="100" w:before="200"/>
      </w:pPr>
      <w:r>
        <w:rPr>
          <w:b/>
          <w:bCs/>
        </w:rPr>
        <w:t xml:space="preserve">Key Assumptions</w:t>
      </w:r>
    </w:p>
    <w:p>
      <w:pPr>
        <w:pStyle w:val="ListParagraph"/>
        <w:numPr>
          <w:ilvl w:val="0"/>
          <w:numId w:val="2"/>
        </w:numPr>
        <w:spacing w:after="80"/>
      </w:pPr>
      <w:r>
        <w:t xml:space="preserve">Revenue growth: -1.0% (FY26E), +1.0% (FY27E), +1.5% (FY28E) — reflecting continued near-term softness followed by a gradual return to modest category growth.</w:t>
      </w:r>
    </w:p>
    <w:p>
      <w:pPr>
        <w:pStyle w:val="ListParagraph"/>
        <w:numPr>
          <w:ilvl w:val="0"/>
          <w:numId w:val="2"/>
        </w:numPr>
        <w:spacing w:after="80"/>
      </w:pPr>
      <w:r>
        <w:t xml:space="preserve">Gross margin: held flat at 34.0%, the mid-point of the FY2021-FY2025 historical range.</w:t>
      </w:r>
    </w:p>
    <w:p>
      <w:pPr>
        <w:pStyle w:val="ListParagraph"/>
        <w:numPr>
          <w:ilvl w:val="0"/>
          <w:numId w:val="2"/>
        </w:numPr>
        <w:spacing w:after="80"/>
      </w:pPr>
      <w:r>
        <w:t xml:space="preserve">Operating margin: phased recovery of 8.0% → 10.0% → 11.5%, assuming no further impairment charges but a margin still below the FY2021-FY2023 average (~14.7%), given persistent cost and volume pressure.</w:t>
      </w:r>
    </w:p>
    <w:p>
      <w:pPr>
        <w:pStyle w:val="ListParagraph"/>
        <w:numPr>
          <w:ilvl w:val="0"/>
          <w:numId w:val="2"/>
        </w:numPr>
        <w:spacing w:after="80"/>
      </w:pPr>
      <w:r>
        <w:t xml:space="preserve">Effective tax rate: 24.0%; net interest &amp; other expense: 2.5% of revenue; capital expenditure: 3.2% of revenue; dividend held flat at $1.60/share.</w:t>
      </w:r>
    </w:p>
    <w:p>
      <w:pPr>
        <w:spacing w:after="160" w:line="276"/>
        <w:jc w:val="both"/>
      </w:pPr>
      <w:r>
        <w:t xml:space="preserve">(Full rationale for every assumption is documented in the 'Assumptions &amp; Sources' tab of the Excel Workbook.)</w:t>
      </w:r>
    </w:p>
    <w:p>
      <w:pPr>
        <w:pStyle w:val="Heading3"/>
        <w:spacing w:after="100" w:before="200"/>
      </w:pPr>
      <w:r>
        <w:rPr>
          <w:b/>
          <w:bCs/>
        </w:rPr>
        <w:t xml:space="preserve">Projected Income Statement Summary ($mm)</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740"/>
        <w:gridCol w:w="1790"/>
        <w:gridCol w:w="1790"/>
        <w:gridCol w:w="1790"/>
        <w:gridCol w:w="1790"/>
      </w:tblGrid>
      <w:tr>
        <w:trPr>
          <w:tblHeader/>
        </w:trPr>
        <w:tc>
          <w:tcPr>
            <w:tcW w:type="dxa" w:w="2740"/>
            <w:shd w:fill="2E5395" w:val="clear"/>
            <w:tcMar>
              <w:top w:type="dxa" w:w="60"/>
              <w:left w:type="dxa" w:w="100"/>
              <w:bottom w:type="dxa" w:w="60"/>
              <w:right w:type="dxa" w:w="100"/>
            </w:tcMar>
            <w:vAlign w:val="center"/>
          </w:tcPr>
          <w:p>
            <w:pPr>
              <w:jc w:val="center"/>
            </w:pPr>
            <w:r>
              <w:rPr>
                <w:b/>
                <w:bCs/>
                <w:color w:val="FFFFFF"/>
                <w:sz w:val="17"/>
                <w:szCs w:val="17"/>
              </w:rPr>
              <w:t xml:space="preserve"/>
            </w:r>
          </w:p>
        </w:tc>
        <w:tc>
          <w:tcPr>
            <w:tcW w:type="dxa" w:w="1790"/>
            <w:shd w:fill="2E5395" w:val="clear"/>
            <w:tcMar>
              <w:top w:type="dxa" w:w="60"/>
              <w:left w:type="dxa" w:w="100"/>
              <w:bottom w:type="dxa" w:w="60"/>
              <w:right w:type="dxa" w:w="100"/>
            </w:tcMar>
            <w:vAlign w:val="center"/>
          </w:tcPr>
          <w:p>
            <w:pPr>
              <w:jc w:val="center"/>
            </w:pPr>
            <w:r>
              <w:rPr>
                <w:b/>
                <w:bCs/>
                <w:color w:val="FFFFFF"/>
                <w:sz w:val="17"/>
                <w:szCs w:val="17"/>
              </w:rPr>
              <w:t xml:space="preserve">FY2025A</w:t>
            </w:r>
          </w:p>
        </w:tc>
        <w:tc>
          <w:tcPr>
            <w:tcW w:type="dxa" w:w="1790"/>
            <w:shd w:fill="2E5395" w:val="clear"/>
            <w:tcMar>
              <w:top w:type="dxa" w:w="60"/>
              <w:left w:type="dxa" w:w="100"/>
              <w:bottom w:type="dxa" w:w="60"/>
              <w:right w:type="dxa" w:w="100"/>
            </w:tcMar>
            <w:vAlign w:val="center"/>
          </w:tcPr>
          <w:p>
            <w:pPr>
              <w:jc w:val="center"/>
            </w:pPr>
            <w:r>
              <w:rPr>
                <w:b/>
                <w:bCs/>
                <w:color w:val="FFFFFF"/>
                <w:sz w:val="17"/>
                <w:szCs w:val="17"/>
              </w:rPr>
              <w:t xml:space="preserve">FY2026E</w:t>
            </w:r>
          </w:p>
        </w:tc>
        <w:tc>
          <w:tcPr>
            <w:tcW w:type="dxa" w:w="1790"/>
            <w:shd w:fill="2E5395" w:val="clear"/>
            <w:tcMar>
              <w:top w:type="dxa" w:w="60"/>
              <w:left w:type="dxa" w:w="100"/>
              <w:bottom w:type="dxa" w:w="60"/>
              <w:right w:type="dxa" w:w="100"/>
            </w:tcMar>
            <w:vAlign w:val="center"/>
          </w:tcPr>
          <w:p>
            <w:pPr>
              <w:jc w:val="center"/>
            </w:pPr>
            <w:r>
              <w:rPr>
                <w:b/>
                <w:bCs/>
                <w:color w:val="FFFFFF"/>
                <w:sz w:val="17"/>
                <w:szCs w:val="17"/>
              </w:rPr>
              <w:t xml:space="preserve">FY2027E</w:t>
            </w:r>
          </w:p>
        </w:tc>
        <w:tc>
          <w:tcPr>
            <w:tcW w:type="dxa" w:w="1790"/>
            <w:shd w:fill="2E5395" w:val="clear"/>
            <w:tcMar>
              <w:top w:type="dxa" w:w="60"/>
              <w:left w:type="dxa" w:w="100"/>
              <w:bottom w:type="dxa" w:w="60"/>
              <w:right w:type="dxa" w:w="100"/>
            </w:tcMar>
            <w:vAlign w:val="center"/>
          </w:tcPr>
          <w:p>
            <w:pPr>
              <w:jc w:val="center"/>
            </w:pPr>
            <w:r>
              <w:rPr>
                <w:b/>
                <w:bCs/>
                <w:color w:val="FFFFFF"/>
                <w:sz w:val="17"/>
                <w:szCs w:val="17"/>
              </w:rPr>
              <w:t xml:space="preserve">FY2028E</w:t>
            </w:r>
          </w:p>
        </w:tc>
      </w:tr>
      <w:tr>
        <w:tc>
          <w:tcPr>
            <w:tcW w:type="dxa" w:w="2740"/>
            <w:tcMar>
              <w:top w:type="dxa" w:w="60"/>
              <w:left w:type="dxa" w:w="100"/>
              <w:bottom w:type="dxa" w:w="60"/>
              <w:right w:type="dxa" w:w="100"/>
            </w:tcMar>
            <w:vAlign w:val="center"/>
          </w:tcPr>
          <w:p>
            <w:pPr>
              <w:jc w:val="left"/>
            </w:pPr>
            <w:r>
              <w:rPr>
                <w:b w:val="false"/>
                <w:bCs w:val="false"/>
                <w:color w:val="000000"/>
                <w:sz w:val="17"/>
                <w:szCs w:val="17"/>
              </w:rPr>
              <w:t xml:space="preserve">Revenue</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24,942</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24,693</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24,940</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25,314</w:t>
            </w:r>
          </w:p>
        </w:tc>
      </w:tr>
      <w:tr>
        <w:tc>
          <w:tcPr>
            <w:tcW w:type="dxa" w:w="274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Gross Profit</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8,309</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8,395</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8,479</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8,607</w:t>
            </w:r>
          </w:p>
        </w:tc>
      </w:tr>
      <w:tr>
        <w:tc>
          <w:tcPr>
            <w:tcW w:type="dxa" w:w="2740"/>
            <w:tcMar>
              <w:top w:type="dxa" w:w="60"/>
              <w:left w:type="dxa" w:w="100"/>
              <w:bottom w:type="dxa" w:w="60"/>
              <w:right w:type="dxa" w:w="100"/>
            </w:tcMar>
            <w:vAlign w:val="center"/>
          </w:tcPr>
          <w:p>
            <w:pPr>
              <w:jc w:val="left"/>
            </w:pPr>
            <w:r>
              <w:rPr>
                <w:b w:val="false"/>
                <w:bCs w:val="false"/>
                <w:color w:val="000000"/>
                <w:sz w:val="17"/>
                <w:szCs w:val="17"/>
              </w:rPr>
              <w:t xml:space="preserve">Operating Income</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(4,669)</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1,975</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2,494</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2,911</w:t>
            </w:r>
          </w:p>
        </w:tc>
      </w:tr>
      <w:tr>
        <w:tc>
          <w:tcPr>
            <w:tcW w:type="dxa" w:w="274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Net Income</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(5,846)</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1,032</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1,422</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1,731</w:t>
            </w:r>
          </w:p>
        </w:tc>
      </w:tr>
      <w:tr>
        <w:tc>
          <w:tcPr>
            <w:tcW w:type="dxa" w:w="2740"/>
            <w:tcMar>
              <w:top w:type="dxa" w:w="60"/>
              <w:left w:type="dxa" w:w="100"/>
              <w:bottom w:type="dxa" w:w="60"/>
              <w:right w:type="dxa" w:w="100"/>
            </w:tcMar>
            <w:vAlign w:val="center"/>
          </w:tcPr>
          <w:p>
            <w:pPr>
              <w:jc w:val="left"/>
            </w:pPr>
            <w:r>
              <w:rPr>
                <w:b w:val="false"/>
                <w:bCs w:val="false"/>
                <w:color w:val="000000"/>
                <w:sz w:val="17"/>
                <w:szCs w:val="17"/>
              </w:rPr>
              <w:t xml:space="preserve">Net Margin</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(23.4%)</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4.2%</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5.7%</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6.8%</w:t>
            </w:r>
          </w:p>
        </w:tc>
      </w:tr>
      <w:tr>
        <w:tc>
          <w:tcPr>
            <w:tcW w:type="dxa" w:w="274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Diluted EPS</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$(4.93)</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$0.87</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$1.19</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$1.46</w:t>
            </w:r>
          </w:p>
        </w:tc>
      </w:tr>
    </w:tbl>
    <w:p>
      <w:pPr>
        <w:spacing w:after="160" w:line="276"/>
        <w:jc w:val="both"/>
      </w:pPr>
      <w:r>
        <w:t xml:space="preserve">Under these assumptions, Kraft Heinz returns to GAAP profitability in FY2026E as impairment charges roll off, with net margin recovering gradually toward, but still below, its FY2021-FY2023 normalized level of 8-11% by FY2028E. The projected Balance Sheet (Excel Workbook) shows total assets declining modestly to ~$80.4 billion by FY2028E (as the enlarged goodwill/intangible base is held flat with no further write-downs assumed) while shareholders' equity is roughly stable, as retained net income offsets the ~$1.9 billion of annual dividends. This is a base-case scenario; the gold-highlighted assumption cells in the Excel model can be adjusted to test alternative (bull/bear) scenarios.</w:t>
      </w:r>
    </w:p>
    <w:p>
      <w:r>
        <w:br w:type="page"/>
      </w:r>
    </w:p>
    <w:p>
      <w:pPr>
        <w:pStyle w:val="Heading1"/>
        <w:spacing w:after="160" w:before="360"/>
      </w:pPr>
      <w:r>
        <w:rPr>
          <w:b/>
          <w:bCs/>
        </w:rPr>
        <w:t xml:space="preserve">Section III — Non-Financial Information</w:t>
      </w:r>
    </w:p>
    <w:p>
      <w:pPr>
        <w:pStyle w:val="Heading2"/>
        <w:spacing w:after="120" w:before="260"/>
      </w:pPr>
      <w:r>
        <w:rPr>
          <w:b/>
          <w:bCs/>
        </w:rPr>
        <w:t xml:space="preserve">3.1  Industry Environment and Competition</w:t>
      </w:r>
    </w:p>
    <w:p>
      <w:pPr>
        <w:spacing w:after="160" w:line="276"/>
        <w:jc w:val="both"/>
      </w:pPr>
      <w:r>
        <w:t xml:space="preserve">The packaged foods industry remains intensely competitive on price, promotion, innovation, and shelf space. All three companies compete against each other, against other large branded manufacturers (e.g., Mondelez, Nestlé, Campbell's, J.M. Smucker, PepsiCo), and increasingly against retailer private-label programs, which have gained share as inflation-fatigued consumers trade down. Retail customer concentration is a structural feature of the industry — large retailers such as Walmart represent a high single-digit to mid-teens percentage of each company's net sales, giving retailers significant negotiating leverage over pricing, promotion, and shelf placement. A newer competitive/demand pressure specific to 2025-2026 is the growing adoption of GLP-1 weight-management medications, which multiple sell-side analysts and company management teams have identified as a contributing factor to softer volumes in snacking and indulgent categories across the sector.</w:t>
      </w:r>
    </w:p>
    <w:p>
      <w:pPr>
        <w:pStyle w:val="Heading2"/>
        <w:spacing w:after="120" w:before="260"/>
      </w:pPr>
      <w:r>
        <w:rPr>
          <w:b/>
          <w:bCs/>
        </w:rPr>
        <w:t xml:space="preserve">3.2  Regulatory and Economic Factors</w:t>
      </w:r>
    </w:p>
    <w:p>
      <w:pPr>
        <w:spacing w:after="160" w:line="276"/>
        <w:jc w:val="both"/>
      </w:pPr>
      <w:r>
        <w:t xml:space="preserve">U.S. food manufacturers are subject to FDA and USDA regulation covering labeling, food safety, and (increasingly) ingredient/additive composition; heightened U.S. regulatory and political attention to food additives, dyes, and ultra-processed food formulations through 2025-2026 has required reformulation investment across the industry, including at Kraft Heinz. On the macroeconomic side, all three companies cited elevated inflationary pressure on commodities, packaging, and logistics costs in their most recent fiscal-year filings; Kraft Heinz specifically attributed part of its FY2025 cost inflation to U.S. and foreign tariff and trade-policy actions, and stated it expects these inflationary trends to moderate through 2026, though with continued uncertainty. These regulatory and macroeconomic factors directly informed the margin and cost assumptions used in the Kraft Heinz projection in Section 2.4.</w:t>
      </w:r>
    </w:p>
    <w:p>
      <w:pPr>
        <w:pStyle w:val="Heading2"/>
        <w:spacing w:after="120" w:before="260"/>
      </w:pPr>
      <w:r>
        <w:rPr>
          <w:b/>
          <w:bCs/>
        </w:rPr>
        <w:t xml:space="preserve">3.3  Auditor's Report and Qualifications</w:t>
      </w:r>
    </w:p>
    <w:p>
      <w:pPr>
        <w:spacing w:after="160" w:line="276"/>
        <w:jc w:val="both"/>
      </w:pPr>
      <w:r>
        <w:t xml:space="preserve">All three companies engage a Big Four independent registered public accounting firm and have received unqualified ("clean") audit opinions on both their financial statements and the effectiveness of internal control over financial reporting in their most recent 10-K filings:</w:t>
      </w:r>
    </w:p>
    <w:p>
      <w:pPr>
        <w:pStyle w:val="ListParagraph"/>
        <w:numPr>
          <w:ilvl w:val="0"/>
          <w:numId w:val="2"/>
        </w:numPr>
        <w:spacing w:after="80"/>
      </w:pPr>
      <w:r>
        <w:t xml:space="preserve">Kraft Heinz — PricewaterhouseCoopers LLP (PwC).</w:t>
      </w:r>
    </w:p>
    <w:p>
      <w:pPr>
        <w:pStyle w:val="ListParagraph"/>
        <w:numPr>
          <w:ilvl w:val="0"/>
          <w:numId w:val="2"/>
        </w:numPr>
        <w:spacing w:after="80"/>
      </w:pPr>
      <w:r>
        <w:t xml:space="preserve">General Mills — KPMG LLP.</w:t>
      </w:r>
    </w:p>
    <w:p>
      <w:pPr>
        <w:pStyle w:val="ListParagraph"/>
        <w:numPr>
          <w:ilvl w:val="0"/>
          <w:numId w:val="2"/>
        </w:numPr>
        <w:spacing w:after="80"/>
      </w:pPr>
      <w:r>
        <w:t xml:space="preserve">Conagra Brands — KPMG LLP.</w:t>
      </w:r>
    </w:p>
    <w:p>
      <w:pPr>
        <w:spacing w:after="160" w:line="276"/>
        <w:jc w:val="both"/>
      </w:pPr>
      <w:r>
        <w:t xml:space="preserve">No going-concern qualifications or material weaknesses were identified for any of the three companies. It should be noted, however, that a clean audit opinion attests to fair presentation in accordance with U.S. GAAP and does not opine on the wisdom of management's underlying business judgments — the large goodwill/intangible impairment charges recorded by all three companies in their latest fiscal year were themselves appropriately recognized in accordance with GAAP impairment-testing standards, following auditor review, rather than representing any audit or accounting irregularity.</w:t>
      </w:r>
    </w:p>
    <w:p>
      <w:pPr>
        <w:pStyle w:val="Heading2"/>
        <w:spacing w:after="120" w:before="260"/>
      </w:pPr>
      <w:r>
        <w:rPr>
          <w:b/>
          <w:bCs/>
        </w:rPr>
        <w:t xml:space="preserve">3.4  Management Discussion &amp; Analysis (MD&amp;A) Highlights</w:t>
      </w:r>
    </w:p>
    <w:p>
      <w:pPr>
        <w:pStyle w:val="Heading3"/>
        <w:spacing w:after="100" w:before="200"/>
      </w:pPr>
      <w:r>
        <w:rPr>
          <w:b/>
          <w:bCs/>
        </w:rPr>
        <w:t xml:space="preserve">Kraft Heinz</w:t>
      </w:r>
    </w:p>
    <w:p>
      <w:pPr>
        <w:pStyle w:val="ListParagraph"/>
        <w:numPr>
          <w:ilvl w:val="0"/>
          <w:numId w:val="2"/>
        </w:numPr>
        <w:spacing w:after="80"/>
      </w:pPr>
      <w:r>
        <w:t xml:space="preserve">On September 2, 2025, Kraft Heinz announced a plan to separate into two independent, publicly traded companies via a tax-free spin-off; on February 11, 2026, the Board decided to pause work on the separation, introducing near-term strategic uncertainty.</w:t>
      </w:r>
    </w:p>
    <w:p>
      <w:pPr>
        <w:pStyle w:val="ListParagraph"/>
        <w:numPr>
          <w:ilvl w:val="0"/>
          <w:numId w:val="2"/>
        </w:numPr>
        <w:spacing w:after="80"/>
      </w:pPr>
      <w:r>
        <w:t xml:space="preserve">Management recorded $9.3 billion of non-cash goodwill and indefinite-lived intangible impairment charges in FY2025, reflecting reduced long-term growth and margin expectations for certain reporting units/brands.</w:t>
      </w:r>
    </w:p>
    <w:p>
      <w:pPr>
        <w:pStyle w:val="ListParagraph"/>
        <w:numPr>
          <w:ilvl w:val="0"/>
          <w:numId w:val="2"/>
        </w:numPr>
        <w:spacing w:after="80"/>
      </w:pPr>
      <w:r>
        <w:t xml:space="preserve">A new CEO (Steve Cahillane, effective 2026) outlined a ~$600 million incremental growth-investment plan prioritizing brand innovation, market-share recovery, and productivity/disciplined execution.</w:t>
      </w:r>
    </w:p>
    <w:p>
      <w:pPr>
        <w:pStyle w:val="Heading3"/>
        <w:spacing w:after="100" w:before="200"/>
      </w:pPr>
      <w:r>
        <w:rPr>
          <w:b/>
          <w:bCs/>
        </w:rPr>
        <w:t xml:space="preserve">General Mills</w:t>
      </w:r>
    </w:p>
    <w:p>
      <w:pPr>
        <w:pStyle w:val="ListParagraph"/>
        <w:numPr>
          <w:ilvl w:val="0"/>
          <w:numId w:val="2"/>
        </w:numPr>
        <w:spacing w:after="80"/>
      </w:pPr>
      <w:r>
        <w:t xml:space="preserve">Continuing its "Accelerate" strategy (boldly building brands, relentlessly innovating, unleashing scale, being a force for good), with fiscal 2027 guidance calling for an 8-13% decline in adjusted operating profit amid a pressured consumer environment.</w:t>
      </w:r>
    </w:p>
    <w:p>
      <w:pPr>
        <w:pStyle w:val="ListParagraph"/>
        <w:numPr>
          <w:ilvl w:val="0"/>
          <w:numId w:val="2"/>
        </w:numPr>
        <w:spacing w:after="80"/>
      </w:pPr>
      <w:r>
        <w:t xml:space="preserve">Reported improved household penetration and base volume in FY2026 despite headwinds in key brands, with FY2027 priorities centered on innovation and cost savings.</w:t>
      </w:r>
    </w:p>
    <w:p>
      <w:pPr>
        <w:pStyle w:val="Heading3"/>
        <w:spacing w:after="100" w:before="200"/>
      </w:pPr>
      <w:r>
        <w:rPr>
          <w:b/>
          <w:bCs/>
        </w:rPr>
        <w:t xml:space="preserve">Conagra Brands</w:t>
      </w:r>
    </w:p>
    <w:p>
      <w:pPr>
        <w:pStyle w:val="ListParagraph"/>
        <w:numPr>
          <w:ilvl w:val="0"/>
          <w:numId w:val="2"/>
        </w:numPr>
        <w:spacing w:after="80"/>
      </w:pPr>
      <w:r>
        <w:t xml:space="preserve">A CEO transition occurred in mid-2026 (John Brase named CEO), alongside elimination of the COO role as part of an operating-model simplification.</w:t>
      </w:r>
    </w:p>
    <w:p>
      <w:pPr>
        <w:pStyle w:val="ListParagraph"/>
        <w:numPr>
          <w:ilvl w:val="0"/>
          <w:numId w:val="2"/>
        </w:numPr>
        <w:spacing w:after="80"/>
      </w:pPr>
      <w:r>
        <w:t xml:space="preserve">Management cut the dividend by roughly 50% in 2026 to free up cash for brand/supply-chain investment and balance-sheet deleveraging, and is targeting margin restoration and simplification of a ~5,500-SKU portfolio.</w:t>
      </w:r>
    </w:p>
    <w:p>
      <w:pPr>
        <w:pStyle w:val="Heading2"/>
        <w:spacing w:after="120" w:before="260"/>
      </w:pPr>
      <w:r>
        <w:rPr>
          <w:b/>
          <w:bCs/>
        </w:rPr>
        <w:t xml:space="preserve">3.5  Company Strategy and Future Plans</w:t>
      </w:r>
    </w:p>
    <w:p>
      <w:pPr>
        <w:spacing w:after="160" w:line="276"/>
        <w:jc w:val="both"/>
      </w:pPr>
      <w:r>
        <w:t xml:space="preserve">All three companies are pursuing broadly similar strategic playbooks in response to shared category headwinds: (1) portfolio simplification/SKU rationalization to focus resources on core, higher-margin brands; (2) reinvestment in brand marketing and product innovation (including health/wellness-oriented reformulation) to defend volume and share; (3) supply-chain productivity and cost-savings programs to protect margin against continued input-cost inflation; and (4) selective capital-allocation discipline — Kraft Heinz maintaining its dividend while considering a corporate separation, General Mills continuing its Accelerate strategy with bolt-on M&amp;A/divestiture activity, and Conagra actively cutting its dividend to prioritize deleveraging.</w:t>
      </w:r>
    </w:p>
    <w:p>
      <w:pPr>
        <w:pStyle w:val="Heading2"/>
        <w:spacing w:after="120" w:before="260"/>
      </w:pPr>
      <w:r>
        <w:rPr>
          <w:b/>
          <w:bCs/>
        </w:rPr>
        <w:t xml:space="preserve">3.6  Risks and Opportunities</w:t>
      </w:r>
    </w:p>
    <w:p>
      <w:pPr>
        <w:pStyle w:val="Heading3"/>
        <w:spacing w:after="100" w:before="200"/>
      </w:pPr>
      <w:r>
        <w:rPr>
          <w:b/>
          <w:bCs/>
        </w:rPr>
        <w:t xml:space="preserve">Key Risks (common across the peer group)</w:t>
      </w:r>
    </w:p>
    <w:p>
      <w:pPr>
        <w:pStyle w:val="ListParagraph"/>
        <w:numPr>
          <w:ilvl w:val="0"/>
          <w:numId w:val="2"/>
        </w:numPr>
        <w:spacing w:after="80"/>
      </w:pPr>
      <w:r>
        <w:t xml:space="preserve">Further goodwill/intangible impairment risk if brand performance, discount rates, or category growth assumptions deteriorate further — all three companies retain large intangible asset bases relative to equity.</w:t>
      </w:r>
    </w:p>
    <w:p>
      <w:pPr>
        <w:pStyle w:val="ListParagraph"/>
        <w:numPr>
          <w:ilvl w:val="0"/>
          <w:numId w:val="2"/>
        </w:numPr>
        <w:spacing w:after="80"/>
      </w:pPr>
      <w:r>
        <w:t xml:space="preserve">Continued volume softness from private-label trade-down, GLP-1-related demand shifts, and value-seeking consumer behavior.</w:t>
      </w:r>
    </w:p>
    <w:p>
      <w:pPr>
        <w:pStyle w:val="ListParagraph"/>
        <w:numPr>
          <w:ilvl w:val="0"/>
          <w:numId w:val="2"/>
        </w:numPr>
        <w:spacing w:after="80"/>
      </w:pPr>
      <w:r>
        <w:t xml:space="preserve">Commodity, packaging, energy, and tariff-driven input cost inflation that pricing/productivity actions may not fully offset.</w:t>
      </w:r>
    </w:p>
    <w:p>
      <w:pPr>
        <w:pStyle w:val="ListParagraph"/>
        <w:numPr>
          <w:ilvl w:val="0"/>
          <w:numId w:val="2"/>
        </w:numPr>
        <w:spacing w:after="80"/>
      </w:pPr>
      <w:r>
        <w:t xml:space="preserve">Customer concentration and retailer bargaining power, which can compress margins and restrict pricing flexibility.</w:t>
      </w:r>
    </w:p>
    <w:p>
      <w:pPr>
        <w:pStyle w:val="ListParagraph"/>
        <w:numPr>
          <w:ilvl w:val="0"/>
          <w:numId w:val="2"/>
        </w:numPr>
        <w:spacing w:after="80"/>
      </w:pPr>
      <w:r>
        <w:t xml:space="preserve">Company-specific: Kraft Heinz's paused corporate separation introduces execution and strategic-clarity risk; General Mills' rising leverage (debt/equity of 1.83x) reduces financial flexibility; Conagra's leadership transition and dividend cut signal a company still working through a turnaround.</w:t>
      </w:r>
    </w:p>
    <w:p>
      <w:pPr>
        <w:pStyle w:val="ListParagraph"/>
        <w:numPr>
          <w:ilvl w:val="0"/>
          <w:numId w:val="2"/>
        </w:numPr>
        <w:spacing w:after="80"/>
      </w:pPr>
      <w:r>
        <w:t xml:space="preserve">Reformulation and innovation aligned with health/wellness trends to capture a growing premium/clean-label consumer segment.</w:t>
      </w:r>
    </w:p>
    <w:p>
      <w:pPr>
        <w:pStyle w:val="ListParagraph"/>
        <w:numPr>
          <w:ilvl w:val="0"/>
          <w:numId w:val="2"/>
        </w:numPr>
        <w:spacing w:after="80"/>
      </w:pPr>
      <w:r>
        <w:t xml:space="preserve">Productivity and supply-chain efficiency programs (e.g., KHC's $600mm growth-investment plan, CAG's simplification program) that can structurally improve margins independent of top-line growth.</w:t>
      </w:r>
    </w:p>
    <w:p>
      <w:pPr>
        <w:pStyle w:val="ListParagraph"/>
        <w:numPr>
          <w:ilvl w:val="0"/>
          <w:numId w:val="2"/>
        </w:numPr>
        <w:spacing w:after="80"/>
      </w:pPr>
      <w:r>
        <w:t xml:space="preserve">Strong underlying free cash flow generation at all three companies (Section 2.1.3) provides balance-sheet flexibility to fund brand reinvestment, deleveraging, or shareholder returns even in a soft-volume environment.</w:t>
      </w:r>
    </w:p>
    <w:p>
      <w:pPr>
        <w:pStyle w:val="ListParagraph"/>
        <w:numPr>
          <w:ilvl w:val="0"/>
          <w:numId w:val="2"/>
        </w:numPr>
        <w:spacing w:after="80"/>
      </w:pPr>
      <w:r>
        <w:t xml:space="preserve">Kraft Heinz's potential separation, if resumed, could unlock focused capital allocation and valuation re-rating for each resulting entity, similar to precedents elsewhere in the packaged-food and consumer-products sector.</w:t>
      </w:r>
    </w:p>
    <w:p>
      <w:pPr>
        <w:pStyle w:val="Heading2"/>
        <w:spacing w:after="120" w:before="260"/>
      </w:pPr>
      <w:r>
        <w:rPr>
          <w:b/>
          <w:bCs/>
        </w:rPr>
        <w:t xml:space="preserve">3.7  Assumptions Used in Projections</w:t>
      </w:r>
    </w:p>
    <w:p>
      <w:pPr>
        <w:spacing w:after="160" w:line="276"/>
        <w:jc w:val="both"/>
      </w:pPr>
      <w:r>
        <w:t xml:space="preserve">The qualitative factors above directly underpin the quantitative assumptions used in the Kraft Heinz 3-year projection in Section 2.4 and the companion Excel Workbook: continued but moderating input-cost inflation supports a flat 34% gross margin assumption; the phased operating-margin recovery (8.0% → 11.5%) reflects management's productivity/investment plan while conservatively assuming margins remain below pre-impairment historical norms given ongoing category volume pressure; and no further impairment charges are assumed only because current goodwill/intangible carrying values already reflect the FY2025 write-down. A full assumption log with sourcing is provided in the Excel Workbook's 'Assumptions &amp; Sources' tab.</w:t>
      </w:r>
    </w:p>
    <w:p>
      <w:r>
        <w:br w:type="page"/>
      </w:r>
    </w:p>
    <w:p>
      <w:pPr>
        <w:pStyle w:val="Heading1"/>
        <w:spacing w:after="160" w:before="360"/>
      </w:pPr>
      <w:r>
        <w:rPr>
          <w:b/>
          <w:bCs/>
        </w:rPr>
        <w:t xml:space="preserve">Section IV — Executive Summary</w:t>
      </w:r>
    </w:p>
    <w:p>
      <w:pPr>
        <w:pStyle w:val="Heading2"/>
        <w:spacing w:after="120" w:before="260"/>
      </w:pPr>
      <w:r>
        <w:rPr>
          <w:b/>
          <w:bCs/>
        </w:rPr>
        <w:t xml:space="preserve">Key Financial Insights</w:t>
      </w:r>
    </w:p>
    <w:p>
      <w:pPr>
        <w:pStyle w:val="ListParagraph"/>
        <w:numPr>
          <w:ilvl w:val="0"/>
          <w:numId w:val="2"/>
        </w:numPr>
        <w:spacing w:after="80"/>
      </w:pPr>
      <w:r>
        <w:t xml:space="preserve">All three companies — Kraft Heinz, General Mills, and Conagra Brands — reported a net loss in their most recently completed fiscal year, driven predominantly by large non-cash goodwill/intangible impairment charges rather than a collapse in cash operating performance; all three remained free-cash-flow positive in the same year.</w:t>
      </w:r>
    </w:p>
    <w:p>
      <w:pPr>
        <w:pStyle w:val="ListParagraph"/>
        <w:numPr>
          <w:ilvl w:val="0"/>
          <w:numId w:val="2"/>
        </w:numPr>
        <w:spacing w:after="80"/>
      </w:pPr>
      <w:r>
        <w:t xml:space="preserve">Kraft Heinz is the largest of the three by revenue (~$24.9bn) and carries the strongest liquidity position (current ratio 1.15x, the only one of the three above 1.0x) and the lowest leverage (debt-to-equity 0.51x vs. 1.83x for GIS and 1.14x for CAG).</w:t>
      </w:r>
    </w:p>
    <w:p>
      <w:pPr>
        <w:pStyle w:val="ListParagraph"/>
        <w:numPr>
          <w:ilvl w:val="0"/>
          <w:numId w:val="2"/>
        </w:numPr>
        <w:spacing w:after="80"/>
      </w:pPr>
      <w:r>
        <w:t xml:space="preserve">On underlying (pre-impairment) profitability, KHC and GIS have comparable gross margins (~33-35%), both well ahead of CAG (~24-28%), reflecting CAG's greater exposure to lower-margin frozen/grocery categories.</w:t>
      </w:r>
    </w:p>
    <w:p>
      <w:pPr>
        <w:pStyle w:val="Heading2"/>
        <w:spacing w:after="120" w:before="260"/>
      </w:pPr>
      <w:r>
        <w:rPr>
          <w:b/>
          <w:bCs/>
        </w:rPr>
        <w:t xml:space="preserve">Major Trends Observed</w:t>
      </w:r>
    </w:p>
    <w:p>
      <w:pPr>
        <w:pStyle w:val="ListParagraph"/>
        <w:numPr>
          <w:ilvl w:val="0"/>
          <w:numId w:val="2"/>
        </w:numPr>
        <w:spacing w:after="80"/>
      </w:pPr>
      <w:r>
        <w:t xml:space="preserve">Revenue has declined modestly (roughly 0.5-1.1% CAGR) at all three companies over the past four to five years, reflecting industry-wide volume softness, portfolio simplification, and the fading of 2021-2023 inflationary pricing gains.</w:t>
      </w:r>
    </w:p>
    <w:p>
      <w:pPr>
        <w:pStyle w:val="ListParagraph"/>
        <w:numPr>
          <w:ilvl w:val="0"/>
          <w:numId w:val="2"/>
        </w:numPr>
        <w:spacing w:after="80"/>
      </w:pPr>
      <w:r>
        <w:t xml:space="preserve">Total assets have shrunk across the peer group, primarily due to cumulative goodwill/intangible impairments rather than deliberate asset-light repositioning.</w:t>
      </w:r>
    </w:p>
    <w:p>
      <w:pPr>
        <w:pStyle w:val="ListParagraph"/>
        <w:numPr>
          <w:ilvl w:val="0"/>
          <w:numId w:val="2"/>
        </w:numPr>
        <w:spacing w:after="80"/>
      </w:pPr>
      <w:r>
        <w:t xml:space="preserve">Operating cash flow trends are mixed: Conagra is the only company with positive 4-year OCF growth, while Kraft Heinz and General Mills show declining trends attributed to lower volumes and working-capital timing.</w:t>
      </w:r>
    </w:p>
    <w:p>
      <w:pPr>
        <w:pStyle w:val="Heading2"/>
        <w:spacing w:after="120" w:before="260"/>
      </w:pPr>
      <w:r>
        <w:rPr>
          <w:b/>
          <w:bCs/>
        </w:rPr>
        <w:t xml:space="preserve">Strengths and Weaknesses</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060"/>
        <w:gridCol w:w="3920"/>
        <w:gridCol w:w="3920"/>
      </w:tblGrid>
      <w:tr>
        <w:trPr>
          <w:tblHeader/>
        </w:trPr>
        <w:tc>
          <w:tcPr>
            <w:tcW w:type="dxa" w:w="2060"/>
            <w:shd w:fill="2E5395" w:val="clear"/>
            <w:tcMar>
              <w:top w:type="dxa" w:w="60"/>
              <w:left w:type="dxa" w:w="100"/>
              <w:bottom w:type="dxa" w:w="60"/>
              <w:right w:type="dxa" w:w="100"/>
            </w:tcMar>
            <w:vAlign w:val="center"/>
          </w:tcPr>
          <w:p>
            <w:pPr>
              <w:jc w:val="center"/>
            </w:pPr>
            <w:r>
              <w:rPr>
                <w:b/>
                <w:bCs/>
                <w:color w:val="FFFFFF"/>
                <w:sz w:val="17"/>
                <w:szCs w:val="17"/>
              </w:rPr>
              <w:t xml:space="preserve">Company</w:t>
            </w:r>
          </w:p>
        </w:tc>
        <w:tc>
          <w:tcPr>
            <w:tcW w:type="dxa" w:w="3920"/>
            <w:shd w:fill="2E5395" w:val="clear"/>
            <w:tcMar>
              <w:top w:type="dxa" w:w="60"/>
              <w:left w:type="dxa" w:w="100"/>
              <w:bottom w:type="dxa" w:w="60"/>
              <w:right w:type="dxa" w:w="100"/>
            </w:tcMar>
            <w:vAlign w:val="center"/>
          </w:tcPr>
          <w:p>
            <w:pPr>
              <w:jc w:val="center"/>
            </w:pPr>
            <w:r>
              <w:rPr>
                <w:b/>
                <w:bCs/>
                <w:color w:val="FFFFFF"/>
                <w:sz w:val="17"/>
                <w:szCs w:val="17"/>
              </w:rPr>
              <w:t xml:space="preserve">Key Strengths</w:t>
            </w:r>
          </w:p>
        </w:tc>
        <w:tc>
          <w:tcPr>
            <w:tcW w:type="dxa" w:w="3920"/>
            <w:shd w:fill="2E5395" w:val="clear"/>
            <w:tcMar>
              <w:top w:type="dxa" w:w="60"/>
              <w:left w:type="dxa" w:w="100"/>
              <w:bottom w:type="dxa" w:w="60"/>
              <w:right w:type="dxa" w:w="100"/>
            </w:tcMar>
            <w:vAlign w:val="center"/>
          </w:tcPr>
          <w:p>
            <w:pPr>
              <w:jc w:val="center"/>
            </w:pPr>
            <w:r>
              <w:rPr>
                <w:b/>
                <w:bCs/>
                <w:color w:val="FFFFFF"/>
                <w:sz w:val="17"/>
                <w:szCs w:val="17"/>
              </w:rPr>
              <w:t xml:space="preserve">Key Weaknesses</w:t>
            </w:r>
          </w:p>
        </w:tc>
      </w:tr>
      <w:tr>
        <w:tc>
          <w:tcPr>
            <w:tcW w:type="dxa" w:w="2060"/>
            <w:tcMar>
              <w:top w:type="dxa" w:w="60"/>
              <w:left w:type="dxa" w:w="100"/>
              <w:bottom w:type="dxa" w:w="60"/>
              <w:right w:type="dxa" w:w="100"/>
            </w:tcMar>
            <w:vAlign w:val="center"/>
          </w:tcPr>
          <w:p>
            <w:pPr>
              <w:jc w:val="left"/>
            </w:pPr>
            <w:r>
              <w:rPr>
                <w:b w:val="false"/>
                <w:bCs w:val="false"/>
                <w:color w:val="000000"/>
                <w:sz w:val="17"/>
                <w:szCs w:val="17"/>
              </w:rPr>
              <w:t xml:space="preserve">Kraft Heinz</w:t>
            </w:r>
          </w:p>
        </w:tc>
        <w:tc>
          <w:tcPr>
            <w:tcW w:type="dxa" w:w="3920"/>
            <w:tcMar>
              <w:top w:type="dxa" w:w="60"/>
              <w:left w:type="dxa" w:w="100"/>
              <w:bottom w:type="dxa" w:w="60"/>
              <w:right w:type="dxa" w:w="100"/>
            </w:tcMar>
            <w:vAlign w:val="center"/>
          </w:tcPr>
          <w:p>
            <w:pPr>
              <w:jc w:val="right"/>
            </w:pPr>
            <w:r>
              <w:rPr>
                <w:b w:val="false"/>
                <w:bCs w:val="false"/>
                <w:color w:val="000000"/>
                <w:sz w:val="17"/>
                <w:szCs w:val="17"/>
              </w:rPr>
              <w:t xml:space="preserve">Largest scale; strongest liquidity &amp; lowest leverage; solid FCF conversion (14.7%)</w:t>
            </w:r>
          </w:p>
        </w:tc>
        <w:tc>
          <w:tcPr>
            <w:tcW w:type="dxa" w:w="3920"/>
            <w:tcMar>
              <w:top w:type="dxa" w:w="60"/>
              <w:left w:type="dxa" w:w="100"/>
              <w:bottom w:type="dxa" w:w="60"/>
              <w:right w:type="dxa" w:w="100"/>
            </w:tcMar>
            <w:vAlign w:val="center"/>
          </w:tcPr>
          <w:p>
            <w:pPr>
              <w:jc w:val="right"/>
            </w:pPr>
            <w:r>
              <w:rPr>
                <w:b w:val="false"/>
                <w:bCs w:val="false"/>
                <w:color w:val="000000"/>
                <w:sz w:val="17"/>
                <w:szCs w:val="17"/>
              </w:rPr>
              <w:t xml:space="preserve">Largest absolute impairment exposure; paused separation creates strategic uncertainty; two straight years of revenue decline</w:t>
            </w:r>
          </w:p>
        </w:tc>
      </w:tr>
      <w:tr>
        <w:tc>
          <w:tcPr>
            <w:tcW w:type="dxa" w:w="206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General Mills</w:t>
            </w:r>
          </w:p>
        </w:tc>
        <w:tc>
          <w:tcPr>
            <w:tcW w:type="dxa" w:w="392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Comparable gross margin to KHC; diversified Pet/Foodservice segments; resilient household penetration</w:t>
            </w:r>
          </w:p>
        </w:tc>
        <w:tc>
          <w:tcPr>
            <w:tcW w:type="dxa" w:w="392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Highest leverage of the three (D/E 1.83x) and rising; negative working capital; weakest current ratio</w:t>
            </w:r>
          </w:p>
        </w:tc>
      </w:tr>
      <w:tr>
        <w:tc>
          <w:tcPr>
            <w:tcW w:type="dxa" w:w="2060"/>
            <w:tcMar>
              <w:top w:type="dxa" w:w="60"/>
              <w:left w:type="dxa" w:w="100"/>
              <w:bottom w:type="dxa" w:w="60"/>
              <w:right w:type="dxa" w:w="100"/>
            </w:tcMar>
            <w:vAlign w:val="center"/>
          </w:tcPr>
          <w:p>
            <w:pPr>
              <w:jc w:val="left"/>
            </w:pPr>
            <w:r>
              <w:rPr>
                <w:b w:val="false"/>
                <w:bCs w:val="false"/>
                <w:color w:val="000000"/>
                <w:sz w:val="17"/>
                <w:szCs w:val="17"/>
              </w:rPr>
              <w:t xml:space="preserve">Conagra Brands</w:t>
            </w:r>
          </w:p>
        </w:tc>
        <w:tc>
          <w:tcPr>
            <w:tcW w:type="dxa" w:w="3920"/>
            <w:tcMar>
              <w:top w:type="dxa" w:w="60"/>
              <w:left w:type="dxa" w:w="100"/>
              <w:bottom w:type="dxa" w:w="60"/>
              <w:right w:type="dxa" w:w="100"/>
            </w:tcMar>
            <w:vAlign w:val="center"/>
          </w:tcPr>
          <w:p>
            <w:pPr>
              <w:jc w:val="right"/>
            </w:pPr>
            <w:r>
              <w:rPr>
                <w:b w:val="false"/>
                <w:bCs w:val="false"/>
                <w:color w:val="000000"/>
                <w:sz w:val="17"/>
                <w:szCs w:val="17"/>
              </w:rPr>
              <w:t xml:space="preserve">Positive OCF CAGR; smallest, most nimble portfolio; active simplification program underway</w:t>
            </w:r>
          </w:p>
        </w:tc>
        <w:tc>
          <w:tcPr>
            <w:tcW w:type="dxa" w:w="3920"/>
            <w:tcMar>
              <w:top w:type="dxa" w:w="60"/>
              <w:left w:type="dxa" w:w="100"/>
              <w:bottom w:type="dxa" w:w="60"/>
              <w:right w:type="dxa" w:w="100"/>
            </w:tcMar>
            <w:vAlign w:val="center"/>
          </w:tcPr>
          <w:p>
            <w:pPr>
              <w:jc w:val="right"/>
            </w:pPr>
            <w:r>
              <w:rPr>
                <w:b w:val="false"/>
                <w:bCs w:val="false"/>
                <w:color w:val="000000"/>
                <w:sz w:val="17"/>
                <w:szCs w:val="17"/>
              </w:rPr>
              <w:t xml:space="preserve">Lowest gross margin of the three; largest relative operating-margin swing; recent dividend cut signals ongoing stress</w:t>
            </w:r>
          </w:p>
        </w:tc>
      </w:tr>
    </w:tbl>
    <w:p>
      <w:pPr>
        <w:pStyle w:val="Heading2"/>
        <w:spacing w:after="120" w:before="260"/>
      </w:pPr>
      <w:r>
        <w:rPr>
          <w:b/>
          <w:bCs/>
        </w:rPr>
        <w:t xml:space="preserve">Comparative Performance</w:t>
      </w:r>
    </w:p>
    <w:p>
      <w:pPr>
        <w:spacing w:after="160" w:line="276"/>
        <w:jc w:val="both"/>
      </w:pPr>
      <w:r>
        <w:t xml:space="preserve">Across the five ratio categories analyzed, Kraft Heinz leads on liquidity and solvency, is roughly tied with General Mills on gross-margin profitability, and trails neither peer decisively on efficiency (differences there are largely attributable to KHC's larger intangible asset base rather than genuine operating inefficiency). On market valuation, the market currently prices Conagra most cheaply on a Price/Sales basis, followed by General Mills and then Kraft Heinz — broadly consistent with each company's relative growth, leverage, and turnaround-stage profile as of mid-2026.</w:t>
      </w:r>
    </w:p>
    <w:p>
      <w:pPr>
        <w:pStyle w:val="Heading2"/>
        <w:spacing w:after="120" w:before="260"/>
      </w:pPr>
      <w:r>
        <w:rPr>
          <w:b/>
          <w:bCs/>
        </w:rPr>
        <w:t xml:space="preserve">Sustainability of Business Models</w:t>
      </w:r>
    </w:p>
    <w:p>
      <w:pPr>
        <w:spacing w:after="160" w:line="276"/>
        <w:jc w:val="both"/>
      </w:pPr>
      <w:r>
        <w:t xml:space="preserve">The underlying cash-generative capacity of all three business models remains intact — each company converted meaningful free cash flow in the same year it reported a GAAP net loss, and none show signs of a liquidity or going-concern issue (all received unqualified audit opinions). The FY2025/FY2026 impairments should be read as a one-time (or at most two-time) accounting recognition of previously overstated brand values rather than a signal of business-model failure. That said, the shared, multi-year revenue decline and margin pressure across all three companies point to a genuine structural challenge — mature-category volume softness compounded by private-label competition and shifting health-conscious demand — that will require sustained innovation and productivity investment to reverse, not merely a one-time cost-cutting response.</w:t>
      </w:r>
    </w:p>
    <w:p>
      <w:pPr>
        <w:pStyle w:val="Heading2"/>
        <w:spacing w:after="120" w:before="260"/>
      </w:pPr>
      <w:r>
        <w:rPr>
          <w:b/>
          <w:bCs/>
        </w:rPr>
        <w:t xml:space="preserve">Future Outlook and Recommendations</w:t>
      </w:r>
    </w:p>
    <w:p>
      <w:pPr>
        <w:pStyle w:val="ListParagraph"/>
        <w:numPr>
          <w:ilvl w:val="0"/>
          <w:numId w:val="2"/>
        </w:numPr>
        <w:spacing w:after="80"/>
      </w:pPr>
      <w:r>
        <w:t xml:space="preserve">Kraft Heinz: the base-case projection in Section 2.4 shows a return to modest profitability in FY2026E with gradual margin recovery through FY2028E; management execution on its productivity/brand-investment plan, and clarity on the paused corporate separation, are the key catalysts/risks to monitor.</w:t>
      </w:r>
    </w:p>
    <w:p>
      <w:pPr>
        <w:pStyle w:val="ListParagraph"/>
        <w:numPr>
          <w:ilvl w:val="0"/>
          <w:numId w:val="2"/>
        </w:numPr>
        <w:spacing w:after="80"/>
      </w:pPr>
      <w:r>
        <w:t xml:space="preserve">General Mills: the rising leverage trend warrants monitoring; continued execution of the Accelerate strategy and disciplined capital allocation will be important to prevent further balance-sheet deterioration.</w:t>
      </w:r>
    </w:p>
    <w:p>
      <w:pPr>
        <w:pStyle w:val="ListParagraph"/>
        <w:numPr>
          <w:ilvl w:val="0"/>
          <w:numId w:val="2"/>
        </w:numPr>
        <w:spacing w:after="80"/>
      </w:pPr>
      <w:r>
        <w:t xml:space="preserve">Conagra Brands: the recent dividend cut and leadership transition suggest the turnaround is still in an early, uncertain stage; the SKU-simplification program is the key near-term lever to watch for margin stabilization.</w:t>
      </w:r>
    </w:p>
    <w:p>
      <w:pPr>
        <w:pStyle w:val="ListParagraph"/>
        <w:numPr>
          <w:ilvl w:val="0"/>
          <w:numId w:val="2"/>
        </w:numPr>
        <w:spacing w:after="80"/>
      </w:pPr>
      <w:r>
        <w:t xml:space="preserve">For an investor or analyst comparing the three, Kraft Heinz currently presents the most conservative balance-sheet profile within the peer group, while Conagra offers the most discounted valuation entry point contingent on successful execution of its turnaround — a classic quality-versus-value trade-off within a single, currently out-of-favor industry.</w:t>
      </w:r>
    </w:p>
    <w:p>
      <w:r>
        <w:br w:type="page"/>
      </w:r>
    </w:p>
    <w:p>
      <w:pPr>
        <w:pStyle w:val="Heading1"/>
        <w:spacing w:after="160" w:before="360"/>
      </w:pPr>
      <w:r>
        <w:rPr>
          <w:b/>
          <w:bCs/>
        </w:rPr>
        <w:t xml:space="preserve">Annexures</w:t>
      </w:r>
    </w:p>
    <w:p>
      <w:pPr>
        <w:spacing w:after="160" w:line="276"/>
        <w:jc w:val="both"/>
      </w:pPr>
      <w:r>
        <w:t xml:space="preserve">The tables below reproduce the core 5-year financial statements, ratio analysis, and projection detail underlying this report. All figures are in US$ millions except per-share and ratio data. Full formula-driven workings, additional ratio years, and comparative charts are provided in the companion Excel Workbook ("Kraft Heinz Financial Analysis – Workbook.xlsx").</w:t>
      </w:r>
    </w:p>
    <w:p>
      <w:pPr>
        <w:pStyle w:val="Heading2"/>
        <w:spacing w:after="120" w:before="260"/>
      </w:pPr>
      <w:r>
        <w:rPr>
          <w:b/>
          <w:bCs/>
        </w:rPr>
        <w:t xml:space="preserve">Annexure A — 5-Year Income Statements</w:t>
      </w:r>
    </w:p>
    <w:p>
      <w:pPr>
        <w:pStyle w:val="Heading3"/>
        <w:spacing w:after="100" w:before="200"/>
      </w:pPr>
      <w:r>
        <w:rPr>
          <w:b/>
          <w:bCs/>
        </w:rPr>
        <w:t xml:space="preserve">The Kraft Heinz Company (KHC)</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250"/>
        <w:gridCol w:w="1530"/>
        <w:gridCol w:w="1530"/>
        <w:gridCol w:w="1530"/>
        <w:gridCol w:w="1530"/>
        <w:gridCol w:w="1530"/>
      </w:tblGrid>
      <w:tr>
        <w:trPr>
          <w:tblHeader/>
        </w:trPr>
        <w:tc>
          <w:tcPr>
            <w:tcW w:type="dxa" w:w="2250"/>
            <w:shd w:fill="2E5395" w:val="clear"/>
            <w:tcMar>
              <w:top w:type="dxa" w:w="60"/>
              <w:left w:type="dxa" w:w="100"/>
              <w:bottom w:type="dxa" w:w="60"/>
              <w:right w:type="dxa" w:w="100"/>
            </w:tcMar>
            <w:vAlign w:val="center"/>
          </w:tcPr>
          <w:p>
            <w:pPr>
              <w:jc w:val="center"/>
            </w:pPr>
            <w:r>
              <w:rPr>
                <w:b/>
                <w:bCs/>
                <w:color w:val="FFFFFF"/>
                <w:sz w:val="17"/>
                <w:szCs w:val="17"/>
              </w:rPr>
              <w:t xml:space="preserve"/>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FY2021</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FY2022</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FY2023</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FY2024</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FY2025</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Revenue</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26,042</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26,485</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26,640</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25,846</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24,942</w:t>
            </w:r>
          </w:p>
        </w:tc>
      </w:tr>
      <w:tr>
        <w:tc>
          <w:tcPr>
            <w:tcW w:type="dxa" w:w="22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Gross Profit</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8,682</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8,122</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8,926</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8,968</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8,309</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Operating Income</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3,460</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3,634</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4,572</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1,683</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(4,669)</w:t>
            </w:r>
          </w:p>
        </w:tc>
      </w:tr>
      <w:tr>
        <w:tc>
          <w:tcPr>
            <w:tcW w:type="dxa" w:w="22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Net Income</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1,012</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2,363</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2,855</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2,744</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(5,846)</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Diluted EPS</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$0.82</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$1.91</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$2.31</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$2.26</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$(4.93)</w:t>
            </w:r>
          </w:p>
        </w:tc>
      </w:tr>
    </w:tbl>
    <w:p>
      <w:pPr>
        <w:pStyle w:val="Heading3"/>
        <w:spacing w:after="100" w:before="200"/>
      </w:pPr>
      <w:r>
        <w:rPr>
          <w:b/>
          <w:bCs/>
        </w:rPr>
        <w:t xml:space="preserve">General Mills, Inc. (GIS)</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250"/>
        <w:gridCol w:w="1530"/>
        <w:gridCol w:w="1530"/>
        <w:gridCol w:w="1530"/>
        <w:gridCol w:w="1530"/>
        <w:gridCol w:w="1530"/>
      </w:tblGrid>
      <w:tr>
        <w:trPr>
          <w:tblHeader/>
        </w:trPr>
        <w:tc>
          <w:tcPr>
            <w:tcW w:type="dxa" w:w="2250"/>
            <w:shd w:fill="2E5395" w:val="clear"/>
            <w:tcMar>
              <w:top w:type="dxa" w:w="60"/>
              <w:left w:type="dxa" w:w="100"/>
              <w:bottom w:type="dxa" w:w="60"/>
              <w:right w:type="dxa" w:w="100"/>
            </w:tcMar>
            <w:vAlign w:val="center"/>
          </w:tcPr>
          <w:p>
            <w:pPr>
              <w:jc w:val="center"/>
            </w:pPr>
            <w:r>
              <w:rPr>
                <w:b/>
                <w:bCs/>
                <w:color w:val="FFFFFF"/>
                <w:sz w:val="17"/>
                <w:szCs w:val="17"/>
              </w:rPr>
              <w:t xml:space="preserve"/>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FY2022</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FY2023</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FY2024</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FY2025</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FY2026</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Revenue</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18,993</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20,094</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19,857</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19,487</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18,425</w:t>
            </w:r>
          </w:p>
        </w:tc>
      </w:tr>
      <w:tr>
        <w:tc>
          <w:tcPr>
            <w:tcW w:type="dxa" w:w="22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Gross Profit</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6,402</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6,546</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6,932</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6,733</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6,196</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Operating Income</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3,476</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3,434</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3,432</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3,305</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886</w:t>
            </w:r>
          </w:p>
        </w:tc>
      </w:tr>
      <w:tr>
        <w:tc>
          <w:tcPr>
            <w:tcW w:type="dxa" w:w="22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Net Income</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2,707</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2,594</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2,497</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2,295</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(88)</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Diluted EPS</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$4.42</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$4.31</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$4.31</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$4.10</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$(0.16)</w:t>
            </w:r>
          </w:p>
        </w:tc>
      </w:tr>
    </w:tbl>
    <w:p>
      <w:pPr>
        <w:pStyle w:val="Heading3"/>
        <w:spacing w:after="100" w:before="200"/>
      </w:pPr>
      <w:r>
        <w:rPr>
          <w:b/>
          <w:bCs/>
        </w:rPr>
        <w:t xml:space="preserve">Conagra Brands, Inc. (CAG)</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250"/>
        <w:gridCol w:w="1530"/>
        <w:gridCol w:w="1530"/>
        <w:gridCol w:w="1530"/>
        <w:gridCol w:w="1530"/>
        <w:gridCol w:w="1530"/>
      </w:tblGrid>
      <w:tr>
        <w:trPr>
          <w:tblHeader/>
        </w:trPr>
        <w:tc>
          <w:tcPr>
            <w:tcW w:type="dxa" w:w="2250"/>
            <w:shd w:fill="2E5395" w:val="clear"/>
            <w:tcMar>
              <w:top w:type="dxa" w:w="60"/>
              <w:left w:type="dxa" w:w="100"/>
              <w:bottom w:type="dxa" w:w="60"/>
              <w:right w:type="dxa" w:w="100"/>
            </w:tcMar>
            <w:vAlign w:val="center"/>
          </w:tcPr>
          <w:p>
            <w:pPr>
              <w:jc w:val="center"/>
            </w:pPr>
            <w:r>
              <w:rPr>
                <w:b/>
                <w:bCs/>
                <w:color w:val="FFFFFF"/>
                <w:sz w:val="17"/>
                <w:szCs w:val="17"/>
              </w:rPr>
              <w:t xml:space="preserve"/>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FY2022</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FY2023</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FY2024</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FY2025</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FY2026</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Revenue</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11,536</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12,277</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12,051</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11,613</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11,282</w:t>
            </w:r>
          </w:p>
        </w:tc>
      </w:tr>
      <w:tr>
        <w:tc>
          <w:tcPr>
            <w:tcW w:type="dxa" w:w="22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Gross Profit</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2,839</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3,265</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3,333</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3,004</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2,698</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Operating Income</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1,346</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1,075</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853</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1,365</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(1,628)</w:t>
            </w:r>
          </w:p>
        </w:tc>
      </w:tr>
      <w:tr>
        <w:tc>
          <w:tcPr>
            <w:tcW w:type="dxa" w:w="22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Net Income</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888</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684</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347</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1,152</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(1,916)</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Diluted EPS</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$1.84</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$1.42</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$0.72</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$2.40</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$(4.00)</w:t>
            </w:r>
          </w:p>
        </w:tc>
      </w:tr>
    </w:tbl>
    <w:p>
      <w:pPr>
        <w:spacing w:after="240"/>
      </w:pPr>
      <w:r>
        <w:rPr>
          <w:i/>
          <w:iCs/>
          <w:color w:val="666666"/>
          <w:sz w:val="16"/>
          <w:szCs w:val="16"/>
        </w:rPr>
        <w:t xml:space="preserve">Source: Stockanalysis.com standardized financials (Fiscal.ai), cross-referenced to each company's 10-K on SEC EDGAR. See Excel Workbook, 'KHC Data' / 'GIS Data' / 'CAG Data' tabs for full balance sheet and cash flow detail.</w:t>
      </w:r>
    </w:p>
    <w:p>
      <w:r>
        <w:br w:type="page"/>
      </w:r>
    </w:p>
    <w:p>
      <w:pPr>
        <w:pStyle w:val="Heading2"/>
        <w:spacing w:after="120" w:before="260"/>
      </w:pPr>
      <w:r>
        <w:rPr>
          <w:b/>
          <w:bCs/>
        </w:rPr>
        <w:t xml:space="preserve">Annexure B — 5-Year Balance Sheets (Key Items)</w:t>
      </w:r>
    </w:p>
    <w:p>
      <w:pPr>
        <w:pStyle w:val="Heading3"/>
        <w:spacing w:after="100" w:before="200"/>
      </w:pPr>
      <w:r>
        <w:rPr>
          <w:b/>
          <w:bCs/>
        </w:rPr>
        <w:t xml:space="preserve">The Kraft Heinz Company (KHC)</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250"/>
        <w:gridCol w:w="1530"/>
        <w:gridCol w:w="1530"/>
        <w:gridCol w:w="1530"/>
        <w:gridCol w:w="1530"/>
        <w:gridCol w:w="1530"/>
      </w:tblGrid>
      <w:tr>
        <w:trPr>
          <w:tblHeader/>
        </w:trPr>
        <w:tc>
          <w:tcPr>
            <w:tcW w:type="dxa" w:w="2250"/>
            <w:shd w:fill="2E5395" w:val="clear"/>
            <w:tcMar>
              <w:top w:type="dxa" w:w="60"/>
              <w:left w:type="dxa" w:w="100"/>
              <w:bottom w:type="dxa" w:w="60"/>
              <w:right w:type="dxa" w:w="100"/>
            </w:tcMar>
            <w:vAlign w:val="center"/>
          </w:tcPr>
          <w:p>
            <w:pPr>
              <w:jc w:val="center"/>
            </w:pPr>
            <w:r>
              <w:rPr>
                <w:b/>
                <w:bCs/>
                <w:color w:val="FFFFFF"/>
                <w:sz w:val="17"/>
                <w:szCs w:val="17"/>
              </w:rPr>
              <w:t xml:space="preserve"/>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FY2021</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FY2022</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FY2023</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FY2024</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FY2025</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Total Current Assets</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8,994</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7,897</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7,929</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7,655</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10,127</w:t>
            </w:r>
          </w:p>
        </w:tc>
      </w:tr>
      <w:tr>
        <w:tc>
          <w:tcPr>
            <w:tcW w:type="dxa" w:w="22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Total Assets</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93,394</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90,513</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90,339</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88,287</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81,786</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Total Current Liabilities</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9,064</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9,028</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8,037</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7,253</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8,778</w:t>
            </w:r>
          </w:p>
        </w:tc>
      </w:tr>
      <w:tr>
        <w:tc>
          <w:tcPr>
            <w:tcW w:type="dxa" w:w="22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Total Liabilities</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43,942</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41,643</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40,617</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38,962</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39,997</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Total Shareholders' Equity</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49,452</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48,870</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49,722</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49,325</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41,789</w:t>
            </w:r>
          </w:p>
        </w:tc>
      </w:tr>
    </w:tbl>
    <w:p>
      <w:pPr>
        <w:pStyle w:val="Heading3"/>
        <w:spacing w:after="100" w:before="200"/>
      </w:pPr>
      <w:r>
        <w:rPr>
          <w:b/>
          <w:bCs/>
        </w:rPr>
        <w:t xml:space="preserve">General Mills, Inc. (GIS)</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250"/>
        <w:gridCol w:w="1530"/>
        <w:gridCol w:w="1530"/>
        <w:gridCol w:w="1530"/>
        <w:gridCol w:w="1530"/>
        <w:gridCol w:w="1530"/>
      </w:tblGrid>
      <w:tr>
        <w:trPr>
          <w:tblHeader/>
        </w:trPr>
        <w:tc>
          <w:tcPr>
            <w:tcW w:type="dxa" w:w="2250"/>
            <w:shd w:fill="2E5395" w:val="clear"/>
            <w:tcMar>
              <w:top w:type="dxa" w:w="60"/>
              <w:left w:type="dxa" w:w="100"/>
              <w:bottom w:type="dxa" w:w="60"/>
              <w:right w:type="dxa" w:w="100"/>
            </w:tcMar>
            <w:vAlign w:val="center"/>
          </w:tcPr>
          <w:p>
            <w:pPr>
              <w:jc w:val="center"/>
            </w:pPr>
            <w:r>
              <w:rPr>
                <w:b/>
                <w:bCs/>
                <w:color w:val="FFFFFF"/>
                <w:sz w:val="17"/>
                <w:szCs w:val="17"/>
              </w:rPr>
              <w:t xml:space="preserve"/>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FY2022</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FY2023</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FY2024</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FY2025</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FY2026</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Total Current Assets</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5,090</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5,176</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4,581</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5,276</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4,618</w:t>
            </w:r>
          </w:p>
        </w:tc>
      </w:tr>
      <w:tr>
        <w:tc>
          <w:tcPr>
            <w:tcW w:type="dxa" w:w="22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Total Assets</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31,090</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31,452</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31,470</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33,071</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30,017</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Total Current Liabilities</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8,020</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7,536</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7,033</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7,857</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6,774</w:t>
            </w:r>
          </w:p>
        </w:tc>
      </w:tr>
      <w:tr>
        <w:tc>
          <w:tcPr>
            <w:tcW w:type="dxa" w:w="22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Total Liabilities</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20,302</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20,752</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21,821</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23,860</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22,636</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Total Shareholders' Equity</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10,788</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10,700</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9,649</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9,211</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7,381</w:t>
            </w:r>
          </w:p>
        </w:tc>
      </w:tr>
    </w:tbl>
    <w:p>
      <w:pPr>
        <w:pStyle w:val="Heading3"/>
        <w:spacing w:after="100" w:before="200"/>
      </w:pPr>
      <w:r>
        <w:rPr>
          <w:b/>
          <w:bCs/>
        </w:rPr>
        <w:t xml:space="preserve">Conagra Brands, Inc. (CAG)</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250"/>
        <w:gridCol w:w="1530"/>
        <w:gridCol w:w="1530"/>
        <w:gridCol w:w="1530"/>
        <w:gridCol w:w="1530"/>
        <w:gridCol w:w="1530"/>
      </w:tblGrid>
      <w:tr>
        <w:trPr>
          <w:tblHeader/>
        </w:trPr>
        <w:tc>
          <w:tcPr>
            <w:tcW w:type="dxa" w:w="2250"/>
            <w:shd w:fill="2E5395" w:val="clear"/>
            <w:tcMar>
              <w:top w:type="dxa" w:w="60"/>
              <w:left w:type="dxa" w:w="100"/>
              <w:bottom w:type="dxa" w:w="60"/>
              <w:right w:type="dxa" w:w="100"/>
            </w:tcMar>
            <w:vAlign w:val="center"/>
          </w:tcPr>
          <w:p>
            <w:pPr>
              <w:jc w:val="center"/>
            </w:pPr>
            <w:r>
              <w:rPr>
                <w:b/>
                <w:bCs/>
                <w:color w:val="FFFFFF"/>
                <w:sz w:val="17"/>
                <w:szCs w:val="17"/>
              </w:rPr>
              <w:t xml:space="preserve"/>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FY2022</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FY2023</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FY2024</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FY2025</w:t>
            </w:r>
          </w:p>
        </w:tc>
        <w:tc>
          <w:tcPr>
            <w:tcW w:type="dxa" w:w="1530"/>
            <w:shd w:fill="2E5395" w:val="clear"/>
            <w:tcMar>
              <w:top w:type="dxa" w:w="60"/>
              <w:left w:type="dxa" w:w="100"/>
              <w:bottom w:type="dxa" w:w="60"/>
              <w:right w:type="dxa" w:w="100"/>
            </w:tcMar>
            <w:vAlign w:val="center"/>
          </w:tcPr>
          <w:p>
            <w:pPr>
              <w:jc w:val="center"/>
            </w:pPr>
            <w:r>
              <w:rPr>
                <w:b/>
                <w:bCs/>
                <w:color w:val="FFFFFF"/>
                <w:sz w:val="17"/>
                <w:szCs w:val="17"/>
              </w:rPr>
              <w:t xml:space="preserve">FY2026</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Total Current Assets</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3,034</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3,385</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3,150</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3,071</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2,882</w:t>
            </w:r>
          </w:p>
        </w:tc>
      </w:tr>
      <w:tr>
        <w:tc>
          <w:tcPr>
            <w:tcW w:type="dxa" w:w="22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Total Assets</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22,435</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22,053</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20,862</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20,934</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17,274</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Total Current Liabilities</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3,519</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4,441</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3,242</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4,317</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3,188</w:t>
            </w:r>
          </w:p>
        </w:tc>
      </w:tr>
      <w:tr>
        <w:tc>
          <w:tcPr>
            <w:tcW w:type="dxa" w:w="225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Total Liabilities</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13,573</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13,245</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12,351</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12,001</w:t>
            </w:r>
          </w:p>
        </w:tc>
        <w:tc>
          <w:tcPr>
            <w:tcW w:type="dxa" w:w="153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10,917</w:t>
            </w:r>
          </w:p>
        </w:tc>
      </w:tr>
      <w:tr>
        <w:tc>
          <w:tcPr>
            <w:tcW w:type="dxa" w:w="2250"/>
            <w:tcMar>
              <w:top w:type="dxa" w:w="60"/>
              <w:left w:type="dxa" w:w="100"/>
              <w:bottom w:type="dxa" w:w="60"/>
              <w:right w:type="dxa" w:w="100"/>
            </w:tcMar>
            <w:vAlign w:val="center"/>
          </w:tcPr>
          <w:p>
            <w:pPr>
              <w:jc w:val="left"/>
            </w:pPr>
            <w:r>
              <w:rPr>
                <w:b w:val="false"/>
                <w:bCs w:val="false"/>
                <w:color w:val="000000"/>
                <w:sz w:val="17"/>
                <w:szCs w:val="17"/>
              </w:rPr>
              <w:t xml:space="preserve">Total Shareholders' Equity</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8,862</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8,807</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8,511</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8,933</w:t>
            </w:r>
          </w:p>
        </w:tc>
        <w:tc>
          <w:tcPr>
            <w:tcW w:type="dxa" w:w="1530"/>
            <w:tcMar>
              <w:top w:type="dxa" w:w="60"/>
              <w:left w:type="dxa" w:w="100"/>
              <w:bottom w:type="dxa" w:w="60"/>
              <w:right w:type="dxa" w:w="100"/>
            </w:tcMar>
            <w:vAlign w:val="center"/>
          </w:tcPr>
          <w:p>
            <w:pPr>
              <w:jc w:val="right"/>
            </w:pPr>
            <w:r>
              <w:rPr>
                <w:b w:val="false"/>
                <w:bCs w:val="false"/>
                <w:color w:val="000000"/>
                <w:sz w:val="17"/>
                <w:szCs w:val="17"/>
              </w:rPr>
              <w:t xml:space="preserve">6,358</w:t>
            </w:r>
          </w:p>
        </w:tc>
      </w:tr>
    </w:tbl>
    <w:p>
      <w:pPr>
        <w:spacing w:after="240"/>
      </w:pPr>
      <w:r>
        <w:rPr>
          <w:i/>
          <w:iCs/>
          <w:color w:val="666666"/>
          <w:sz w:val="16"/>
          <w:szCs w:val="16"/>
        </w:rPr>
        <w:t xml:space="preserve">Source: Stockanalysis.com standardized financials (Fiscal.ai), cross-referenced to each company's 10-K on SEC EDGAR.</w:t>
      </w:r>
    </w:p>
    <w:p>
      <w:r>
        <w:br w:type="page"/>
      </w:r>
    </w:p>
    <w:p>
      <w:pPr>
        <w:pStyle w:val="Heading2"/>
        <w:spacing w:after="120" w:before="260"/>
      </w:pPr>
      <w:r>
        <w:rPr>
          <w:b/>
          <w:bCs/>
        </w:rPr>
        <w:t xml:space="preserve">Annexure C — 5-Year Ratio Trend (Primary Company: Kraft Heinz)</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1500"/>
        <w:gridCol w:w="1500"/>
        <w:gridCol w:w="1500"/>
        <w:gridCol w:w="1500"/>
        <w:gridCol w:w="1500"/>
      </w:tblGrid>
      <w:tr>
        <w:trPr>
          <w:tblHeader/>
        </w:trPr>
        <w:tc>
          <w:tcPr>
            <w:tcW w:type="dxa" w:w="2400"/>
            <w:shd w:fill="2E5395" w:val="clear"/>
            <w:tcMar>
              <w:top w:type="dxa" w:w="60"/>
              <w:left w:type="dxa" w:w="100"/>
              <w:bottom w:type="dxa" w:w="60"/>
              <w:right w:type="dxa" w:w="100"/>
            </w:tcMar>
            <w:vAlign w:val="center"/>
          </w:tcPr>
          <w:p>
            <w:pPr>
              <w:jc w:val="center"/>
            </w:pPr>
            <w:r>
              <w:rPr>
                <w:b/>
                <w:bCs/>
                <w:color w:val="FFFFFF"/>
                <w:sz w:val="17"/>
                <w:szCs w:val="17"/>
              </w:rPr>
              <w:t xml:space="preserve">Ratio</w:t>
            </w:r>
          </w:p>
        </w:tc>
        <w:tc>
          <w:tcPr>
            <w:tcW w:type="dxa" w:w="1500"/>
            <w:shd w:fill="2E5395" w:val="clear"/>
            <w:tcMar>
              <w:top w:type="dxa" w:w="60"/>
              <w:left w:type="dxa" w:w="100"/>
              <w:bottom w:type="dxa" w:w="60"/>
              <w:right w:type="dxa" w:w="100"/>
            </w:tcMar>
            <w:vAlign w:val="center"/>
          </w:tcPr>
          <w:p>
            <w:pPr>
              <w:jc w:val="center"/>
            </w:pPr>
            <w:r>
              <w:rPr>
                <w:b/>
                <w:bCs/>
                <w:color w:val="FFFFFF"/>
                <w:sz w:val="17"/>
                <w:szCs w:val="17"/>
              </w:rPr>
              <w:t xml:space="preserve">FY2021</w:t>
            </w:r>
          </w:p>
        </w:tc>
        <w:tc>
          <w:tcPr>
            <w:tcW w:type="dxa" w:w="1500"/>
            <w:shd w:fill="2E5395" w:val="clear"/>
            <w:tcMar>
              <w:top w:type="dxa" w:w="60"/>
              <w:left w:type="dxa" w:w="100"/>
              <w:bottom w:type="dxa" w:w="60"/>
              <w:right w:type="dxa" w:w="100"/>
            </w:tcMar>
            <w:vAlign w:val="center"/>
          </w:tcPr>
          <w:p>
            <w:pPr>
              <w:jc w:val="center"/>
            </w:pPr>
            <w:r>
              <w:rPr>
                <w:b/>
                <w:bCs/>
                <w:color w:val="FFFFFF"/>
                <w:sz w:val="17"/>
                <w:szCs w:val="17"/>
              </w:rPr>
              <w:t xml:space="preserve">FY2022</w:t>
            </w:r>
          </w:p>
        </w:tc>
        <w:tc>
          <w:tcPr>
            <w:tcW w:type="dxa" w:w="1500"/>
            <w:shd w:fill="2E5395" w:val="clear"/>
            <w:tcMar>
              <w:top w:type="dxa" w:w="60"/>
              <w:left w:type="dxa" w:w="100"/>
              <w:bottom w:type="dxa" w:w="60"/>
              <w:right w:type="dxa" w:w="100"/>
            </w:tcMar>
            <w:vAlign w:val="center"/>
          </w:tcPr>
          <w:p>
            <w:pPr>
              <w:jc w:val="center"/>
            </w:pPr>
            <w:r>
              <w:rPr>
                <w:b/>
                <w:bCs/>
                <w:color w:val="FFFFFF"/>
                <w:sz w:val="17"/>
                <w:szCs w:val="17"/>
              </w:rPr>
              <w:t xml:space="preserve">FY2023</w:t>
            </w:r>
          </w:p>
        </w:tc>
        <w:tc>
          <w:tcPr>
            <w:tcW w:type="dxa" w:w="1500"/>
            <w:shd w:fill="2E5395" w:val="clear"/>
            <w:tcMar>
              <w:top w:type="dxa" w:w="60"/>
              <w:left w:type="dxa" w:w="100"/>
              <w:bottom w:type="dxa" w:w="60"/>
              <w:right w:type="dxa" w:w="100"/>
            </w:tcMar>
            <w:vAlign w:val="center"/>
          </w:tcPr>
          <w:p>
            <w:pPr>
              <w:jc w:val="center"/>
            </w:pPr>
            <w:r>
              <w:rPr>
                <w:b/>
                <w:bCs/>
                <w:color w:val="FFFFFF"/>
                <w:sz w:val="17"/>
                <w:szCs w:val="17"/>
              </w:rPr>
              <w:t xml:space="preserve">FY2024</w:t>
            </w:r>
          </w:p>
        </w:tc>
        <w:tc>
          <w:tcPr>
            <w:tcW w:type="dxa" w:w="1500"/>
            <w:shd w:fill="2E5395" w:val="clear"/>
            <w:tcMar>
              <w:top w:type="dxa" w:w="60"/>
              <w:left w:type="dxa" w:w="100"/>
              <w:bottom w:type="dxa" w:w="60"/>
              <w:right w:type="dxa" w:w="100"/>
            </w:tcMar>
            <w:vAlign w:val="center"/>
          </w:tcPr>
          <w:p>
            <w:pPr>
              <w:jc w:val="center"/>
            </w:pPr>
            <w:r>
              <w:rPr>
                <w:b/>
                <w:bCs/>
                <w:color w:val="FFFFFF"/>
                <w:sz w:val="17"/>
                <w:szCs w:val="17"/>
              </w:rPr>
              <w:t xml:space="preserve">FY2025</w:t>
            </w:r>
          </w:p>
        </w:tc>
      </w:tr>
      <w:tr>
        <w:tc>
          <w:tcPr>
            <w:tcW w:type="dxa" w:w="2400"/>
            <w:tcMar>
              <w:top w:type="dxa" w:w="60"/>
              <w:left w:type="dxa" w:w="100"/>
              <w:bottom w:type="dxa" w:w="60"/>
              <w:right w:type="dxa" w:w="100"/>
            </w:tcMar>
            <w:vAlign w:val="center"/>
          </w:tcPr>
          <w:p>
            <w:pPr>
              <w:jc w:val="left"/>
            </w:pPr>
            <w:r>
              <w:rPr>
                <w:b w:val="false"/>
                <w:bCs w:val="false"/>
                <w:color w:val="000000"/>
                <w:sz w:val="17"/>
                <w:szCs w:val="17"/>
              </w:rPr>
              <w:t xml:space="preserve">Current Ratio</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0.99x</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0.87x</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0.99x</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1.06x</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1.15x</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Quick Ratio</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0.69x</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0.47x</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0.54x</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0.59x</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0.79x</w:t>
            </w:r>
          </w:p>
        </w:tc>
      </w:tr>
      <w:tr>
        <w:tc>
          <w:tcPr>
            <w:tcW w:type="dxa" w:w="2400"/>
            <w:tcMar>
              <w:top w:type="dxa" w:w="60"/>
              <w:left w:type="dxa" w:w="100"/>
              <w:bottom w:type="dxa" w:w="60"/>
              <w:right w:type="dxa" w:w="100"/>
            </w:tcMar>
            <w:vAlign w:val="center"/>
          </w:tcPr>
          <w:p>
            <w:pPr>
              <w:jc w:val="left"/>
            </w:pPr>
            <w:r>
              <w:rPr>
                <w:b w:val="false"/>
                <w:bCs w:val="false"/>
                <w:color w:val="000000"/>
                <w:sz w:val="17"/>
                <w:szCs w:val="17"/>
              </w:rPr>
              <w:t xml:space="preserve">Gross Margin</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33.3%</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30.7%</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33.5%</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34.7%</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33.3%</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Operating Margin</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13.3%</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13.7%</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17.2%</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6.5%</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(18.7%)</w:t>
            </w:r>
          </w:p>
        </w:tc>
      </w:tr>
      <w:tr>
        <w:tc>
          <w:tcPr>
            <w:tcW w:type="dxa" w:w="2400"/>
            <w:tcMar>
              <w:top w:type="dxa" w:w="60"/>
              <w:left w:type="dxa" w:w="100"/>
              <w:bottom w:type="dxa" w:w="60"/>
              <w:right w:type="dxa" w:w="100"/>
            </w:tcMar>
            <w:vAlign w:val="center"/>
          </w:tcPr>
          <w:p>
            <w:pPr>
              <w:jc w:val="left"/>
            </w:pPr>
            <w:r>
              <w:rPr>
                <w:b w:val="false"/>
                <w:bCs w:val="false"/>
                <w:color w:val="000000"/>
                <w:sz w:val="17"/>
                <w:szCs w:val="17"/>
              </w:rPr>
              <w:t xml:space="preserve">Net Margin</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3.9%</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8.9%</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10.7%</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10.6%</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(23.4%)</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ROA</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1.1%</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2.6%</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3.2%</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3.1%</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(7.1%)</w:t>
            </w:r>
          </w:p>
        </w:tc>
      </w:tr>
      <w:tr>
        <w:tc>
          <w:tcPr>
            <w:tcW w:type="dxa" w:w="2400"/>
            <w:tcMar>
              <w:top w:type="dxa" w:w="60"/>
              <w:left w:type="dxa" w:w="100"/>
              <w:bottom w:type="dxa" w:w="60"/>
              <w:right w:type="dxa" w:w="100"/>
            </w:tcMar>
            <w:vAlign w:val="center"/>
          </w:tcPr>
          <w:p>
            <w:pPr>
              <w:jc w:val="left"/>
            </w:pPr>
            <w:r>
              <w:rPr>
                <w:b w:val="false"/>
                <w:bCs w:val="false"/>
                <w:color w:val="000000"/>
                <w:sz w:val="17"/>
                <w:szCs w:val="17"/>
              </w:rPr>
              <w:t xml:space="preserve">ROE</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2.0%</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4.8%</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5.7%</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5.6%</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(14.0%)</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Debt-to-Equity</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0.44x</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0.41x</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0.40x</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0.40x</w:t>
            </w:r>
          </w:p>
        </w:tc>
        <w:tc>
          <w:tcPr>
            <w:tcW w:type="dxa" w:w="150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0.51x</w:t>
            </w:r>
          </w:p>
        </w:tc>
      </w:tr>
      <w:tr>
        <w:tc>
          <w:tcPr>
            <w:tcW w:type="dxa" w:w="2400"/>
            <w:tcMar>
              <w:top w:type="dxa" w:w="60"/>
              <w:left w:type="dxa" w:w="100"/>
              <w:bottom w:type="dxa" w:w="60"/>
              <w:right w:type="dxa" w:w="100"/>
            </w:tcMar>
            <w:vAlign w:val="center"/>
          </w:tcPr>
          <w:p>
            <w:pPr>
              <w:jc w:val="left"/>
            </w:pPr>
            <w:r>
              <w:rPr>
                <w:b w:val="false"/>
                <w:bCs w:val="false"/>
                <w:color w:val="000000"/>
                <w:sz w:val="17"/>
                <w:szCs w:val="17"/>
              </w:rPr>
              <w:t xml:space="preserve">Asset Turnover</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0.28x</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0.29x</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0.29x</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0.29x</w:t>
            </w:r>
          </w:p>
        </w:tc>
        <w:tc>
          <w:tcPr>
            <w:tcW w:type="dxa" w:w="1500"/>
            <w:tcMar>
              <w:top w:type="dxa" w:w="60"/>
              <w:left w:type="dxa" w:w="100"/>
              <w:bottom w:type="dxa" w:w="60"/>
              <w:right w:type="dxa" w:w="100"/>
            </w:tcMar>
            <w:vAlign w:val="center"/>
          </w:tcPr>
          <w:p>
            <w:pPr>
              <w:jc w:val="right"/>
            </w:pPr>
            <w:r>
              <w:rPr>
                <w:b w:val="false"/>
                <w:bCs w:val="false"/>
                <w:color w:val="000000"/>
                <w:sz w:val="17"/>
                <w:szCs w:val="17"/>
              </w:rPr>
              <w:t xml:space="preserve">0.30x</w:t>
            </w:r>
          </w:p>
        </w:tc>
      </w:tr>
    </w:tbl>
    <w:p>
      <w:pPr>
        <w:spacing w:after="200"/>
      </w:pPr>
      <w:r>
        <w:rPr>
          <w:i/>
          <w:iCs/>
          <w:color w:val="666666"/>
          <w:sz w:val="18"/>
          <w:szCs w:val="18"/>
        </w:rPr>
        <w:t xml:space="preserve">Ratios computed on total shareholders' equity including non-controlling interests; minor differences vs. published market-data ROE/ROE figures (which typically use common equity only) are expected. Full 5-year ratio tables for General Mills and Conagra Brands, and every ratio formula, are in the Excel Workbook's 'Ratio Analysis' tab.</w:t>
      </w:r>
    </w:p>
    <w:p>
      <w:pPr>
        <w:pStyle w:val="Heading2"/>
        <w:spacing w:after="120" w:before="260"/>
      </w:pPr>
      <w:r>
        <w:rPr>
          <w:b/>
          <w:bCs/>
        </w:rPr>
        <w:t xml:space="preserve">Annexure D — Kraft Heinz 3-Year Projection Detail</w:t>
      </w: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740"/>
        <w:gridCol w:w="1790"/>
        <w:gridCol w:w="1790"/>
        <w:gridCol w:w="1790"/>
        <w:gridCol w:w="1790"/>
      </w:tblGrid>
      <w:tr>
        <w:trPr>
          <w:tblHeader/>
        </w:trPr>
        <w:tc>
          <w:tcPr>
            <w:tcW w:type="dxa" w:w="2740"/>
            <w:shd w:fill="2E5395" w:val="clear"/>
            <w:tcMar>
              <w:top w:type="dxa" w:w="60"/>
              <w:left w:type="dxa" w:w="100"/>
              <w:bottom w:type="dxa" w:w="60"/>
              <w:right w:type="dxa" w:w="100"/>
            </w:tcMar>
            <w:vAlign w:val="center"/>
          </w:tcPr>
          <w:p>
            <w:pPr>
              <w:jc w:val="center"/>
            </w:pPr>
            <w:r>
              <w:rPr>
                <w:b/>
                <w:bCs/>
                <w:color w:val="FFFFFF"/>
                <w:sz w:val="17"/>
                <w:szCs w:val="17"/>
              </w:rPr>
              <w:t xml:space="preserve"/>
            </w:r>
          </w:p>
        </w:tc>
        <w:tc>
          <w:tcPr>
            <w:tcW w:type="dxa" w:w="1790"/>
            <w:shd w:fill="2E5395" w:val="clear"/>
            <w:tcMar>
              <w:top w:type="dxa" w:w="60"/>
              <w:left w:type="dxa" w:w="100"/>
              <w:bottom w:type="dxa" w:w="60"/>
              <w:right w:type="dxa" w:w="100"/>
            </w:tcMar>
            <w:vAlign w:val="center"/>
          </w:tcPr>
          <w:p>
            <w:pPr>
              <w:jc w:val="center"/>
            </w:pPr>
            <w:r>
              <w:rPr>
                <w:b/>
                <w:bCs/>
                <w:color w:val="FFFFFF"/>
                <w:sz w:val="17"/>
                <w:szCs w:val="17"/>
              </w:rPr>
              <w:t xml:space="preserve">FY2025A</w:t>
            </w:r>
          </w:p>
        </w:tc>
        <w:tc>
          <w:tcPr>
            <w:tcW w:type="dxa" w:w="1790"/>
            <w:shd w:fill="2E5395" w:val="clear"/>
            <w:tcMar>
              <w:top w:type="dxa" w:w="60"/>
              <w:left w:type="dxa" w:w="100"/>
              <w:bottom w:type="dxa" w:w="60"/>
              <w:right w:type="dxa" w:w="100"/>
            </w:tcMar>
            <w:vAlign w:val="center"/>
          </w:tcPr>
          <w:p>
            <w:pPr>
              <w:jc w:val="center"/>
            </w:pPr>
            <w:r>
              <w:rPr>
                <w:b/>
                <w:bCs/>
                <w:color w:val="FFFFFF"/>
                <w:sz w:val="17"/>
                <w:szCs w:val="17"/>
              </w:rPr>
              <w:t xml:space="preserve">FY2026E</w:t>
            </w:r>
          </w:p>
        </w:tc>
        <w:tc>
          <w:tcPr>
            <w:tcW w:type="dxa" w:w="1790"/>
            <w:shd w:fill="2E5395" w:val="clear"/>
            <w:tcMar>
              <w:top w:type="dxa" w:w="60"/>
              <w:left w:type="dxa" w:w="100"/>
              <w:bottom w:type="dxa" w:w="60"/>
              <w:right w:type="dxa" w:w="100"/>
            </w:tcMar>
            <w:vAlign w:val="center"/>
          </w:tcPr>
          <w:p>
            <w:pPr>
              <w:jc w:val="center"/>
            </w:pPr>
            <w:r>
              <w:rPr>
                <w:b/>
                <w:bCs/>
                <w:color w:val="FFFFFF"/>
                <w:sz w:val="17"/>
                <w:szCs w:val="17"/>
              </w:rPr>
              <w:t xml:space="preserve">FY2027E</w:t>
            </w:r>
          </w:p>
        </w:tc>
        <w:tc>
          <w:tcPr>
            <w:tcW w:type="dxa" w:w="1790"/>
            <w:shd w:fill="2E5395" w:val="clear"/>
            <w:tcMar>
              <w:top w:type="dxa" w:w="60"/>
              <w:left w:type="dxa" w:w="100"/>
              <w:bottom w:type="dxa" w:w="60"/>
              <w:right w:type="dxa" w:w="100"/>
            </w:tcMar>
            <w:vAlign w:val="center"/>
          </w:tcPr>
          <w:p>
            <w:pPr>
              <w:jc w:val="center"/>
            </w:pPr>
            <w:r>
              <w:rPr>
                <w:b/>
                <w:bCs/>
                <w:color w:val="FFFFFF"/>
                <w:sz w:val="17"/>
                <w:szCs w:val="17"/>
              </w:rPr>
              <w:t xml:space="preserve">FY2028E</w:t>
            </w:r>
          </w:p>
        </w:tc>
      </w:tr>
      <w:tr>
        <w:tc>
          <w:tcPr>
            <w:tcW w:type="dxa" w:w="2740"/>
            <w:tcMar>
              <w:top w:type="dxa" w:w="60"/>
              <w:left w:type="dxa" w:w="100"/>
              <w:bottom w:type="dxa" w:w="60"/>
              <w:right w:type="dxa" w:w="100"/>
            </w:tcMar>
            <w:vAlign w:val="center"/>
          </w:tcPr>
          <w:p>
            <w:pPr>
              <w:jc w:val="left"/>
            </w:pPr>
            <w:r>
              <w:rPr>
                <w:b w:val="false"/>
                <w:bCs w:val="false"/>
                <w:color w:val="000000"/>
                <w:sz w:val="17"/>
                <w:szCs w:val="17"/>
              </w:rPr>
              <w:t xml:space="preserve">Revenue</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24,942</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24,693</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24,940</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25,314</w:t>
            </w:r>
          </w:p>
        </w:tc>
      </w:tr>
      <w:tr>
        <w:tc>
          <w:tcPr>
            <w:tcW w:type="dxa" w:w="274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Gross Profit</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8,309</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8,395</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8,479</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8,607</w:t>
            </w:r>
          </w:p>
        </w:tc>
      </w:tr>
      <w:tr>
        <w:tc>
          <w:tcPr>
            <w:tcW w:type="dxa" w:w="2740"/>
            <w:tcMar>
              <w:top w:type="dxa" w:w="60"/>
              <w:left w:type="dxa" w:w="100"/>
              <w:bottom w:type="dxa" w:w="60"/>
              <w:right w:type="dxa" w:w="100"/>
            </w:tcMar>
            <w:vAlign w:val="center"/>
          </w:tcPr>
          <w:p>
            <w:pPr>
              <w:jc w:val="left"/>
            </w:pPr>
            <w:r>
              <w:rPr>
                <w:b w:val="false"/>
                <w:bCs w:val="false"/>
                <w:color w:val="000000"/>
                <w:sz w:val="17"/>
                <w:szCs w:val="17"/>
              </w:rPr>
              <w:t xml:space="preserve">Operating Income</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(4,669)</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1,975</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2,494</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2,911</w:t>
            </w:r>
          </w:p>
        </w:tc>
      </w:tr>
      <w:tr>
        <w:tc>
          <w:tcPr>
            <w:tcW w:type="dxa" w:w="274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Net Interest &amp; Other Expense</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n/a</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617</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623</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633</w:t>
            </w:r>
          </w:p>
        </w:tc>
      </w:tr>
      <w:tr>
        <w:tc>
          <w:tcPr>
            <w:tcW w:type="dxa" w:w="2740"/>
            <w:tcMar>
              <w:top w:type="dxa" w:w="60"/>
              <w:left w:type="dxa" w:w="100"/>
              <w:bottom w:type="dxa" w:w="60"/>
              <w:right w:type="dxa" w:w="100"/>
            </w:tcMar>
            <w:vAlign w:val="center"/>
          </w:tcPr>
          <w:p>
            <w:pPr>
              <w:jc w:val="left"/>
            </w:pPr>
            <w:r>
              <w:rPr>
                <w:b w:val="false"/>
                <w:bCs w:val="false"/>
                <w:color w:val="000000"/>
                <w:sz w:val="17"/>
                <w:szCs w:val="17"/>
              </w:rPr>
              <w:t xml:space="preserve">Pre-tax Income</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n/a</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1,358</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1,870</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2,278</w:t>
            </w:r>
          </w:p>
        </w:tc>
      </w:tr>
      <w:tr>
        <w:tc>
          <w:tcPr>
            <w:tcW w:type="dxa" w:w="274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Income Tax Expense</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n/a</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326</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449</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547</w:t>
            </w:r>
          </w:p>
        </w:tc>
      </w:tr>
      <w:tr>
        <w:tc>
          <w:tcPr>
            <w:tcW w:type="dxa" w:w="2740"/>
            <w:tcMar>
              <w:top w:type="dxa" w:w="60"/>
              <w:left w:type="dxa" w:w="100"/>
              <w:bottom w:type="dxa" w:w="60"/>
              <w:right w:type="dxa" w:w="100"/>
            </w:tcMar>
            <w:vAlign w:val="center"/>
          </w:tcPr>
          <w:p>
            <w:pPr>
              <w:jc w:val="left"/>
            </w:pPr>
            <w:r>
              <w:rPr>
                <w:b w:val="false"/>
                <w:bCs w:val="false"/>
                <w:color w:val="000000"/>
                <w:sz w:val="17"/>
                <w:szCs w:val="17"/>
              </w:rPr>
              <w:t xml:space="preserve">Net Income</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(5,846)</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1,032</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1,422</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1,731</w:t>
            </w:r>
          </w:p>
        </w:tc>
      </w:tr>
      <w:tr>
        <w:tc>
          <w:tcPr>
            <w:tcW w:type="dxa" w:w="274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Diluted EPS</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$(4.93)</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$0.87</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$1.19</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$1.46</w:t>
            </w:r>
          </w:p>
        </w:tc>
      </w:tr>
    </w:tbl>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2740"/>
        <w:gridCol w:w="1790"/>
        <w:gridCol w:w="1790"/>
        <w:gridCol w:w="1790"/>
        <w:gridCol w:w="1790"/>
      </w:tblGrid>
      <w:tr>
        <w:trPr>
          <w:tblHeader/>
        </w:trPr>
        <w:tc>
          <w:tcPr>
            <w:tcW w:type="dxa" w:w="2740"/>
            <w:shd w:fill="2E5395" w:val="clear"/>
            <w:tcMar>
              <w:top w:type="dxa" w:w="60"/>
              <w:left w:type="dxa" w:w="100"/>
              <w:bottom w:type="dxa" w:w="60"/>
              <w:right w:type="dxa" w:w="100"/>
            </w:tcMar>
            <w:vAlign w:val="center"/>
          </w:tcPr>
          <w:p>
            <w:pPr>
              <w:jc w:val="center"/>
            </w:pPr>
            <w:r>
              <w:rPr>
                <w:b/>
                <w:bCs/>
                <w:color w:val="FFFFFF"/>
                <w:sz w:val="17"/>
                <w:szCs w:val="17"/>
              </w:rPr>
              <w:t xml:space="preserve">Balance Sheet (simplified)</w:t>
            </w:r>
          </w:p>
        </w:tc>
        <w:tc>
          <w:tcPr>
            <w:tcW w:type="dxa" w:w="1790"/>
            <w:shd w:fill="2E5395" w:val="clear"/>
            <w:tcMar>
              <w:top w:type="dxa" w:w="60"/>
              <w:left w:type="dxa" w:w="100"/>
              <w:bottom w:type="dxa" w:w="60"/>
              <w:right w:type="dxa" w:w="100"/>
            </w:tcMar>
            <w:vAlign w:val="center"/>
          </w:tcPr>
          <w:p>
            <w:pPr>
              <w:jc w:val="center"/>
            </w:pPr>
            <w:r>
              <w:rPr>
                <w:b/>
                <w:bCs/>
                <w:color w:val="FFFFFF"/>
                <w:sz w:val="17"/>
                <w:szCs w:val="17"/>
              </w:rPr>
              <w:t xml:space="preserve">FY2025A</w:t>
            </w:r>
          </w:p>
        </w:tc>
        <w:tc>
          <w:tcPr>
            <w:tcW w:type="dxa" w:w="1790"/>
            <w:shd w:fill="2E5395" w:val="clear"/>
            <w:tcMar>
              <w:top w:type="dxa" w:w="60"/>
              <w:left w:type="dxa" w:w="100"/>
              <w:bottom w:type="dxa" w:w="60"/>
              <w:right w:type="dxa" w:w="100"/>
            </w:tcMar>
            <w:vAlign w:val="center"/>
          </w:tcPr>
          <w:p>
            <w:pPr>
              <w:jc w:val="center"/>
            </w:pPr>
            <w:r>
              <w:rPr>
                <w:b/>
                <w:bCs/>
                <w:color w:val="FFFFFF"/>
                <w:sz w:val="17"/>
                <w:szCs w:val="17"/>
              </w:rPr>
              <w:t xml:space="preserve">FY2026E</w:t>
            </w:r>
          </w:p>
        </w:tc>
        <w:tc>
          <w:tcPr>
            <w:tcW w:type="dxa" w:w="1790"/>
            <w:shd w:fill="2E5395" w:val="clear"/>
            <w:tcMar>
              <w:top w:type="dxa" w:w="60"/>
              <w:left w:type="dxa" w:w="100"/>
              <w:bottom w:type="dxa" w:w="60"/>
              <w:right w:type="dxa" w:w="100"/>
            </w:tcMar>
            <w:vAlign w:val="center"/>
          </w:tcPr>
          <w:p>
            <w:pPr>
              <w:jc w:val="center"/>
            </w:pPr>
            <w:r>
              <w:rPr>
                <w:b/>
                <w:bCs/>
                <w:color w:val="FFFFFF"/>
                <w:sz w:val="17"/>
                <w:szCs w:val="17"/>
              </w:rPr>
              <w:t xml:space="preserve">FY2027E</w:t>
            </w:r>
          </w:p>
        </w:tc>
        <w:tc>
          <w:tcPr>
            <w:tcW w:type="dxa" w:w="1790"/>
            <w:shd w:fill="2E5395" w:val="clear"/>
            <w:tcMar>
              <w:top w:type="dxa" w:w="60"/>
              <w:left w:type="dxa" w:w="100"/>
              <w:bottom w:type="dxa" w:w="60"/>
              <w:right w:type="dxa" w:w="100"/>
            </w:tcMar>
            <w:vAlign w:val="center"/>
          </w:tcPr>
          <w:p>
            <w:pPr>
              <w:jc w:val="center"/>
            </w:pPr>
            <w:r>
              <w:rPr>
                <w:b/>
                <w:bCs/>
                <w:color w:val="FFFFFF"/>
                <w:sz w:val="17"/>
                <w:szCs w:val="17"/>
              </w:rPr>
              <w:t xml:space="preserve">FY2028E</w:t>
            </w:r>
          </w:p>
        </w:tc>
      </w:tr>
      <w:tr>
        <w:tc>
          <w:tcPr>
            <w:tcW w:type="dxa" w:w="2740"/>
            <w:tcMar>
              <w:top w:type="dxa" w:w="60"/>
              <w:left w:type="dxa" w:w="100"/>
              <w:bottom w:type="dxa" w:w="60"/>
              <w:right w:type="dxa" w:w="100"/>
            </w:tcMar>
            <w:vAlign w:val="center"/>
          </w:tcPr>
          <w:p>
            <w:pPr>
              <w:jc w:val="left"/>
            </w:pPr>
            <w:r>
              <w:rPr>
                <w:b w:val="false"/>
                <w:bCs w:val="false"/>
                <w:color w:val="000000"/>
                <w:sz w:val="17"/>
                <w:szCs w:val="17"/>
              </w:rPr>
              <w:t xml:space="preserve">Total Assets</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81,786</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80,982</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80,543</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80,437</w:t>
            </w:r>
          </w:p>
        </w:tc>
      </w:tr>
      <w:tr>
        <w:tc>
          <w:tcPr>
            <w:tcW w:type="dxa" w:w="2740"/>
            <w:shd w:fill="F2F2F2" w:val="clear"/>
            <w:tcMar>
              <w:top w:type="dxa" w:w="60"/>
              <w:left w:type="dxa" w:w="100"/>
              <w:bottom w:type="dxa" w:w="60"/>
              <w:right w:type="dxa" w:w="100"/>
            </w:tcMar>
            <w:vAlign w:val="center"/>
          </w:tcPr>
          <w:p>
            <w:pPr>
              <w:jc w:val="left"/>
            </w:pPr>
            <w:r>
              <w:rPr>
                <w:b w:val="false"/>
                <w:bCs w:val="false"/>
                <w:color w:val="000000"/>
                <w:sz w:val="17"/>
                <w:szCs w:val="17"/>
              </w:rPr>
              <w:t xml:space="preserve">Total Liabilities</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39,997</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40,065</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40,108</w:t>
            </w:r>
          </w:p>
        </w:tc>
        <w:tc>
          <w:tcPr>
            <w:tcW w:type="dxa" w:w="1790"/>
            <w:shd w:fill="F2F2F2" w:val="clear"/>
            <w:tcMar>
              <w:top w:type="dxa" w:w="60"/>
              <w:left w:type="dxa" w:w="100"/>
              <w:bottom w:type="dxa" w:w="60"/>
              <w:right w:type="dxa" w:w="100"/>
            </w:tcMar>
            <w:vAlign w:val="center"/>
          </w:tcPr>
          <w:p>
            <w:pPr>
              <w:jc w:val="right"/>
            </w:pPr>
            <w:r>
              <w:rPr>
                <w:b w:val="false"/>
                <w:bCs w:val="false"/>
                <w:color w:val="000000"/>
                <w:sz w:val="17"/>
                <w:szCs w:val="17"/>
              </w:rPr>
              <w:t xml:space="preserve">40,175</w:t>
            </w:r>
          </w:p>
        </w:tc>
      </w:tr>
      <w:tr>
        <w:tc>
          <w:tcPr>
            <w:tcW w:type="dxa" w:w="2740"/>
            <w:tcMar>
              <w:top w:type="dxa" w:w="60"/>
              <w:left w:type="dxa" w:w="100"/>
              <w:bottom w:type="dxa" w:w="60"/>
              <w:right w:type="dxa" w:w="100"/>
            </w:tcMar>
            <w:vAlign w:val="center"/>
          </w:tcPr>
          <w:p>
            <w:pPr>
              <w:jc w:val="left"/>
            </w:pPr>
            <w:r>
              <w:rPr>
                <w:b w:val="false"/>
                <w:bCs w:val="false"/>
                <w:color w:val="000000"/>
                <w:sz w:val="17"/>
                <w:szCs w:val="17"/>
              </w:rPr>
              <w:t xml:space="preserve">Total Shareholders' Equity</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41,789</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40,917</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40,435</w:t>
            </w:r>
          </w:p>
        </w:tc>
        <w:tc>
          <w:tcPr>
            <w:tcW w:type="dxa" w:w="1790"/>
            <w:tcMar>
              <w:top w:type="dxa" w:w="60"/>
              <w:left w:type="dxa" w:w="100"/>
              <w:bottom w:type="dxa" w:w="60"/>
              <w:right w:type="dxa" w:w="100"/>
            </w:tcMar>
            <w:vAlign w:val="center"/>
          </w:tcPr>
          <w:p>
            <w:pPr>
              <w:jc w:val="right"/>
            </w:pPr>
            <w:r>
              <w:rPr>
                <w:b w:val="false"/>
                <w:bCs w:val="false"/>
                <w:color w:val="000000"/>
                <w:sz w:val="17"/>
                <w:szCs w:val="17"/>
              </w:rPr>
              <w:t xml:space="preserve">40,262</w:t>
            </w:r>
          </w:p>
        </w:tc>
      </w:tr>
    </w:tbl>
    <w:p>
      <w:pPr>
        <w:spacing w:after="200"/>
      </w:pPr>
      <w:r>
        <w:rPr>
          <w:i/>
          <w:iCs/>
          <w:color w:val="666666"/>
          <w:sz w:val="18"/>
          <w:szCs w:val="18"/>
        </w:rPr>
        <w:t xml:space="preserve">Cash is solved as the balancing plug in the simplified projected balance sheet; see the 'KHC Projections' tab of the Excel Workbook for the full, formula-linked model, including all working-capital, PP&amp;E roll-forward, and assumption detail.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4"/>
        <w:szCs w:val="14"/>
      </w:rPr>
      <w:t xml:space="preserve">Financial Performance Analysis &amp; Forecasting — Kraft Heinz, General Mills &amp; Conagra Brands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5395"/>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2026-08-02T11:28:03.633Z</dcterms:created>
  <dcterms:modified xsi:type="dcterms:W3CDTF">2026-08-02T11:28:03.634Z</dcterms:modified>
</cp:coreProperties>
</file>

<file path=docProps/custom.xml><?xml version="1.0" encoding="utf-8"?>
<Properties xmlns="http://schemas.openxmlformats.org/officeDocument/2006/custom-properties" xmlns:vt="http://schemas.openxmlformats.org/officeDocument/2006/docPropsVTypes"/>
</file>