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KANISHKA SHARMA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+91 9582472900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| </w:t>
      </w:r>
      <w:hyperlink w:history="1" r:id="rIdhdn6uo8yv9pif1izr7qjk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27-kanishka.sharma@fiib.edu.in</w:t>
        </w:r>
      </w:hyperlink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| </w:t>
      </w:r>
      <w:hyperlink w:history="1" r:id="rIdhenjs4gbg1xs8f1en1ppy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| </w:t>
      </w: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New Delhi, India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| </w:t>
      </w:r>
      <w:hyperlink w:history="1" r:id="rIdqag3sflk3b75qtvcugkf4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E-portfolio</w:t>
        </w:r>
      </w:hyperlink>
    </w:p>
    <w:p>
      <w:pPr>
        <w:pBdr>
          <w:bottom w:val="single" w:color="1F3864" w:sz="6" w:space="1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0" w:line="245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PGDM-Finance candidate (CGPA 9.58) with hands-on experience in financial modelling and valuation: an integrated three-statement model with a debt schedule, a DCF and relative valuation model with scenario and sensitivity analysis, fund performance analysis, and investor reports and pitch decks. Seeking roles in financial modelling, valuation and portfolio analysis.</w:t>
      </w:r>
    </w:p>
    <w:p>
      <w:pPr>
        <w:pBdr>
          <w:bottom w:val="single" w:color="1F3864" w:sz="6" w:space="1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1150"/>
        </w:tabs>
        <w:spacing w:after="0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PGDM - Finance Management, Fortune Institute of International Business (FIIB)</w:t>
      </w:r>
    </w:p>
    <w:p>
      <w:pPr>
        <w:tabs>
          <w:tab w:val="right" w:pos="11150"/>
        </w:tabs>
        <w:spacing w:after="10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CGPA: 9.58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2025 - 2027</w:t>
      </w:r>
    </w:p>
    <w:p>
      <w:pPr>
        <w:tabs>
          <w:tab w:val="right" w:pos="11150"/>
        </w:tabs>
        <w:spacing w:after="0" w:before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Commerce (Hons.), University of Delhi</w:t>
      </w:r>
    </w:p>
    <w:p>
      <w:pPr>
        <w:tabs>
          <w:tab w:val="right" w:pos="11150"/>
        </w:tabs>
        <w:spacing w:after="10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CGPA: 7.50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2021 - 2024</w:t>
      </w:r>
    </w:p>
    <w:p>
      <w:pPr>
        <w:pBdr>
          <w:bottom w:val="single" w:color="1F3864" w:sz="6" w:space="1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INTERNSHIP &amp; WORK EXPERIENCE</w:t>
      </w:r>
    </w:p>
    <w:p>
      <w:pPr>
        <w:tabs>
          <w:tab w:val="right" w:pos="11150"/>
        </w:tabs>
        <w:spacing w:after="0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Finance Intern, Ummeed Housing Finance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Apr - Jun 2026</w:t>
      </w:r>
    </w:p>
    <w:p>
      <w:pPr>
        <w:spacing w:after="10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Gurugram, India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Mapped as-is and to-be workflows for Accounts Payable, Procurement and Internal Audit, identifying a 12–18 day approval-routing bottleneck and audit-trail gaps against RBI IT governance directions; demonstrated a risk-based audit sampling prototype to the CFO.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Built a cost-benefit model for automating Accounts Payable and Procurement (~550 invoices/month): Rs.19.5 lakh Year-1 investment against Rs.95.2 lakh annual benefit, a 3.4-month payback and 4.8x benefit-cost ratio across 3 scenarios.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Enabled a data-backed Rs.3 crore treasury vendor decision by benchmarking quotes from 2 vendors across a 6-category, 25+ parameter comparison framework.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Reconciled 30–40 client transactions on the NESL platform, uncovering inaccurate balance data reported by a client and improving credit-decisioning data accuracy.</w:t>
      </w:r>
    </w:p>
    <w:p>
      <w:pPr>
        <w:tabs>
          <w:tab w:val="right" w:pos="11150"/>
        </w:tabs>
        <w:spacing w:after="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Social Work Intern, Habitat India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Jan 2026</w:t>
      </w:r>
    </w:p>
    <w:p>
      <w:pPr>
        <w:spacing w:after="10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New Delhi, India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Built an Excel benchmarking model comparing circular-economy and emissions practices of 5 leading tech companies against industry standards, flagging potential greenwashing risks in their disclosures.</w:t>
      </w:r>
    </w:p>
    <w:p>
      <w:pPr>
        <w:pBdr>
          <w:bottom w:val="single" w:color="1F3864" w:sz="6" w:space="1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PROJECTS</w:t>
      </w:r>
    </w:p>
    <w:p>
      <w:pPr>
        <w:tabs>
          <w:tab w:val="right" w:pos="11150"/>
        </w:tabs>
        <w:spacing w:after="0" w:before="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Titan Company - Equity Valuation Model (DCF, Comparable Companies, DDM)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Built a 16-sheet model with a 3-scenario switch, CAPM beta regressed on ~3,700 daily prices, WACC of 10.51%, 2-stage FCFF DCF, DDM and peer multiples (P/E, EV/EBITDA, EV/Sales, P/BV); added a 5x5 WACC vs terminal-growth sensitivity grid and a HOLD valuation memo.</w:t>
      </w:r>
    </w:p>
    <w:p>
      <w:pPr>
        <w:tabs>
          <w:tab w:val="right" w:pos="11150"/>
        </w:tabs>
        <w:spacing w:after="0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Integrated Three-Statement Financial Model (Excel Modelling Test)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Built a fully linked 5-year IS, BS and CFS model with a debt schedule, conditional interest step-up (6% to 7% if interest coverage falls below 6x), convertible bond conversion and subsidiary acquisition/divestment; balance sheet balances in every year; computed DSCR, ROCE, ROE and an FCFF valuation.</w:t>
      </w:r>
    </w:p>
    <w:p>
      <w:pPr>
        <w:tabs>
          <w:tab w:val="right" w:pos="11150"/>
        </w:tabs>
        <w:spacing w:after="0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Nutri-Box - Seed Funding Investment Report &amp; Investor Pitch (Private Equity &amp; Venture Capital)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Prepared a seed-stage investment report and pitch deck for a Rs.1.75 crore raise (6-member team): valued the company at Rs.12.83 crore pre-money using a forward revenue multiple and projected ~17.3x MOIC and ~77% IRR on a 5-year exit, with 3-scenario returns and unit-economics analysis (LTV:CAC ~13.9:1).</w:t>
      </w:r>
    </w:p>
    <w:p>
      <w:pPr>
        <w:tabs>
          <w:tab w:val="right" w:pos="11150"/>
        </w:tabs>
        <w:spacing w:after="0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Mutual Fund Performance Analysis - Multi Cap Funds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Compared 3 multi-cap funds against the NIFTY500 Multicap TRI over 1,204 daily observations, computing annualised return and risk, beta, Sharpe, Treynor and Jensen's alpha; identified the top performer (+6.46% alpha, Sharpe 0.74).</w:t>
      </w:r>
    </w:p>
    <w:p>
      <w:pPr>
        <w:pBdr>
          <w:bottom w:val="single" w:color="1F3864" w:sz="6" w:space="1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Secured a Top 20 global finish at the Global Scaling Challenge by leading the team to a Top 3 position in the Asia-Oceania regional round.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Led Satyawati College's first-ever online management fest, ranked among the Top 10 UG festivals at the Unstop UG Awards 2024.</w:t>
      </w:r>
    </w:p>
    <w:p>
      <w:pPr>
        <w:pBdr>
          <w:bottom w:val="single" w:color="1F3864" w:sz="6" w:space="1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POSITIONS OF RESPONSIBILITY</w:t>
      </w:r>
    </w:p>
    <w:p>
      <w:pPr>
        <w:tabs>
          <w:tab w:val="right" w:pos="11150"/>
        </w:tabs>
        <w:spacing w:after="0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Mentee, Corporate Mentorship Program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Oct 2025 - Feb 2026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Evaluated IPO subscription trends, pricing and post-listing performance under a corporate mentor; authored an IPO evaluation playbook and a 37-slide investor deck on SBI Funds Management.</w:t>
      </w:r>
    </w:p>
    <w:p>
      <w:pPr>
        <w:tabs>
          <w:tab w:val="right" w:pos="11150"/>
        </w:tabs>
        <w:spacing w:after="0" w:before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Student Ambassador, Centre of Behavioral Insights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Aug 2025 – Feb 2026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Managed the development and selection of case studies, aligning competitions with curriculum learning outcomes.</w:t>
      </w:r>
    </w:p>
    <w:p>
      <w:pPr>
        <w:tabs>
          <w:tab w:val="right" w:pos="11150"/>
        </w:tabs>
        <w:spacing w:after="0" w:before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Student Council, SPAC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Aug 2025 – Present</w:t>
      </w:r>
    </w:p>
    <w:p>
      <w:pPr>
        <w:pBdr>
          <w:bottom w:val="single" w:color="1F3864" w:sz="6" w:space="1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 &amp; CERTIFICATIONS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  <w:u w:val="single"/>
        </w:rPr>
        <w:t xml:space="preserve">Skills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: Financial Modelling (3-Statement, DCF) | Valuation (DCF, Comparables, DDM) | Scenario &amp; Sensitivity Analysis | IRR / MOIC | Fund Performance Analysis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  <w:u w:val="single"/>
        </w:rPr>
        <w:t xml:space="preserve">Tools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: Excel | Power BI | PowerPoint | Word | Python (Basics) | Tally ERP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  <w:u w:val="single"/>
        </w:rPr>
        <w:t xml:space="preserve">Certifications</w:t>
      </w: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: Corporate Finance Foundations | Understanding Capital Markets | Excel for Accounting | Accounting Foundations - Budgeting (LinkedIn Learning)</w:t>
      </w:r>
    </w:p>
    <w:sectPr>
      <w:pgSz w:w="12240" w:h="15840" w:orient="portrait"/>
      <w:pgMar w:top="400" w:right="530" w:bottom="3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90" w:hanging="20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dn6uo8yv9pif1izr7qjk" Type="http://schemas.openxmlformats.org/officeDocument/2006/relationships/hyperlink" Target="mailto:27-kanishka.sharma@fiib.edu.in" TargetMode="External"/><Relationship Id="rIdhenjs4gbg1xs8f1en1ppy" Type="http://schemas.openxmlformats.org/officeDocument/2006/relationships/hyperlink" Target="https://www.linkedin.com/in/kanishkasharma2203/" TargetMode="External"/><Relationship Id="rIdqag3sflk3b75qtvcugkf4" Type="http://schemas.openxmlformats.org/officeDocument/2006/relationships/hyperlink" Target="https://kanishka-sharma.streamlit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Kanishka Sharma - Resume</dc:title>
  <dc:creator>Kanishka Sharma</dc:creator>
  <cp:lastModifiedBy>Un-named</cp:lastModifiedBy>
  <cp:revision>1</cp:revision>
  <dcterms:created xsi:type="dcterms:W3CDTF">2026-10-15T16:31:12.118Z</dcterms:created>
  <dcterms:modified xsi:type="dcterms:W3CDTF">2026-10-15T16:31:12.119Z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