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2937"/>
          <w:sz w:val="56"/>
          <w:szCs w:val="56"/>
        </w:rPr>
        <w:t xml:space="preserve">JSW STEEL LIMITED</w:t>
      </w:r>
    </w:p>
    <w:p>
      <w:pPr>
        <w:spacing w:after="200" w:before="200"/>
        <w:jc w:val="center"/>
      </w:pPr>
      <w:r>
        <w:rPr>
          <w:b/>
          <w:bCs/>
          <w:color w:val="C0522A"/>
          <w:sz w:val="30"/>
          <w:szCs w:val="30"/>
        </w:rPr>
        <w:t xml:space="preserve">Credit &amp; Financial Statement Analysis — FY24–FY26</w:t>
      </w:r>
    </w:p>
    <w:p>
      <w:pPr>
        <w:spacing w:before="100"/>
        <w:jc w:val="center"/>
      </w:pPr>
      <w:r>
        <w:rPr>
          <w:i/>
          <w:iCs/>
          <w:color w:val="6B7280"/>
          <w:sz w:val="24"/>
          <w:szCs w:val="24"/>
        </w:rPr>
        <w:t xml:space="preserve">A Lender's Perspective Report</w:t>
      </w:r>
    </w:p>
    <w:p>
      <w:pPr>
        <w:spacing w:before="1200"/>
        <w:jc w:val="center"/>
      </w:pPr>
      <w:r>
        <w:rPr>
          <w:color w:val="1F2937"/>
          <w:sz w:val="22"/>
          <w:szCs w:val="22"/>
        </w:rPr>
        <w:t xml:space="preserve">Individual Presentation — Part 1</w:t>
      </w:r>
    </w:p>
    <w:p>
      <w:pPr>
        <w:jc w:val="center"/>
      </w:pPr>
      <w:r>
        <w:rPr>
          <w:color w:val="1F2937"/>
          <w:sz w:val="22"/>
          <w:szCs w:val="22"/>
        </w:rPr>
        <w:t xml:space="preserve">Nifty50 Allotted Company: JSW Steel Ltd.</w:t>
      </w:r>
    </w:p>
    <w:p>
      <w:pPr>
        <w:spacing w:before="900"/>
        <w:jc w:val="center"/>
      </w:pPr>
      <w:r>
        <w:rPr>
          <w:b/>
          <w:bCs/>
          <w:color w:val="1F2937"/>
          <w:sz w:val="22"/>
          <w:szCs w:val="22"/>
        </w:rPr>
        <w:t xml:space="preserve">Prepared by: Tanya</w:t>
      </w:r>
    </w:p>
    <w:p>
      <w:pPr>
        <w:jc w:val="center"/>
      </w:pPr>
      <w:r>
        <w:rPr>
          <w:color w:val="6B7280"/>
          <w:sz w:val="20"/>
          <w:szCs w:val="20"/>
        </w:rPr>
        <w:t xml:space="preserve">PGDM — Financial Management (Batch 2025–2027)</w:t>
      </w:r>
    </w:p>
    <w:p>
      <w:pPr>
        <w:jc w:val="center"/>
      </w:pPr>
      <w:r>
        <w:rPr>
          <w:color w:val="6B7280"/>
          <w:sz w:val="20"/>
          <w:szCs w:val="20"/>
        </w:rPr>
        <w:t xml:space="preserve">Fortune Institute of International Business (FIIB)</w:t>
      </w:r>
    </w:p>
    <w:p>
      <w:pPr>
        <w:jc w:val="center"/>
      </w:pPr>
      <w:r>
        <w:rPr>
          <w:color w:val="6B7280"/>
          <w:sz w:val="20"/>
          <w:szCs w:val="20"/>
        </w:rPr>
        <w:t xml:space="preserve">Faculty Supervisor: Dr. Shallu Batra</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2937"/>
          <w:sz w:val="30"/>
          <w:szCs w:val="30"/>
        </w:rPr>
        <w:t xml:space="preserve">1. Introduction &amp; Scope</w:t>
      </w:r>
    </w:p>
    <w:p>
      <w:pPr>
        <w:spacing w:after="140" w:line="300"/>
      </w:pPr>
      <w:r>
        <w:rPr>
          <w:color w:val="222222"/>
          <w:sz w:val="21"/>
          <w:szCs w:val="21"/>
        </w:rPr>
        <w:t xml:space="preserve">This report analyses JSW Steel Ltd. — India's largest steel producer and the Nifty50 company allotted for this assignment — from a lender's / bank credit analyst's perspective. The objective is to assess the company's financial statements over FY24–FY26 to judge creditworthiness, not just profitability: whether JSW Steel can service its debt comfortably through a full commodity cycle, and whether its balance sheet is strengthening or weakening.</w:t>
      </w:r>
    </w:p>
    <w:p>
      <w:pPr>
        <w:spacing w:after="140" w:line="300"/>
      </w:pPr>
      <w:r>
        <w:rPr>
          <w:color w:val="222222"/>
          <w:sz w:val="21"/>
          <w:szCs w:val="21"/>
        </w:rPr>
        <w:t xml:space="preserve">For every ratio and number, this report explains not just the direction of movement but the operating and financing reasons behind it — what actually happened inside the business (steel prices, import competition, safeguard duty, the BPSL-JFE joint-venture transaction, and the ongoing capex programme) that produced the number. The analysis covers growth ratios, liquidity ratios, solvency ratios (including the Altman Z-Score), credit/coverage ratios, market valuation, the company's external credit ratings, and closes with a short credit recommendation note in the format a bank credit analyst would prepare.</w:t>
      </w:r>
    </w:p>
    <w:p>
      <w:pPr>
        <w:spacing w:after="140" w:line="300"/>
      </w:pPr>
      <w:r>
        <w:rPr>
          <w:color w:val="222222"/>
          <w:sz w:val="21"/>
          <w:szCs w:val="21"/>
        </w:rPr>
        <w:t xml:space="preserve">Note on FY26 figures: JSW Steel's FY26 annual report was not yet fully published at the time of this analysis; FY26 figures are drawn from the company's Q4 FY26 results press release and investor call (14-May-2026) and NSE filings, and are marked as provisional/estimated where indicated.</w:t>
      </w:r>
    </w:p>
    <w:p>
      <w:pPr>
        <w:pStyle w:val="Heading1"/>
        <w:spacing w:after="160" w:before="360"/>
      </w:pPr>
      <w:r>
        <w:rPr>
          <w:b/>
          <w:bCs/>
          <w:color w:val="1F2937"/>
          <w:sz w:val="30"/>
          <w:szCs w:val="30"/>
        </w:rPr>
        <w:t xml:space="preserve">2. Growth Ratios — Revenue, EBITDA &amp; PAT (FY24–FY26)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tcW w:type="pct" w:w="25%"/>
            <w:shd w:fill="26333F"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FY24</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FY25</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FY26</w:t>
            </w:r>
          </w:p>
        </w:tc>
      </w:tr>
      <w:tr>
        <w:tc>
          <w:tcPr>
            <w:tcW w:type="pct" w:w="25%"/>
            <w:shd w:fill="FFFFFF" w:val="clear"/>
            <w:tcMar>
              <w:top w:type="dxa" w:w="80"/>
              <w:left w:type="dxa" w:w="120"/>
              <w:bottom w:type="dxa" w:w="80"/>
              <w:right w:type="dxa" w:w="120"/>
            </w:tcMar>
            <w:vAlign w:val="center"/>
          </w:tcPr>
          <w:p>
            <w:pPr>
              <w:jc w:val="left"/>
            </w:pPr>
            <w:r>
              <w:rPr>
                <w:b/>
                <w:bCs/>
                <w:color w:val="222222"/>
                <w:sz w:val="20"/>
                <w:szCs w:val="20"/>
              </w:rPr>
              <w:t xml:space="preserve">Revenue (₹ Cr)</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1,75,006</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1,68,824</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1,85,470</w:t>
            </w:r>
          </w:p>
        </w:tc>
      </w:tr>
      <w:tr>
        <w:tc>
          <w:tcPr>
            <w:tcW w:type="pct" w:w="25%"/>
            <w:shd w:fill="F2EFEA" w:val="clear"/>
            <w:tcMar>
              <w:top w:type="dxa" w:w="80"/>
              <w:left w:type="dxa" w:w="120"/>
              <w:bottom w:type="dxa" w:w="80"/>
              <w:right w:type="dxa" w:w="120"/>
            </w:tcMar>
            <w:vAlign w:val="center"/>
          </w:tcPr>
          <w:p>
            <w:pPr>
              <w:jc w:val="left"/>
            </w:pPr>
            <w:r>
              <w:rPr>
                <w:b/>
                <w:bCs/>
                <w:color w:val="222222"/>
                <w:sz w:val="20"/>
                <w:szCs w:val="20"/>
              </w:rPr>
              <w:t xml:space="preserve">Revenue YoY Growth</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-3.5%</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+9.9%</w:t>
            </w:r>
          </w:p>
        </w:tc>
      </w:tr>
      <w:tr>
        <w:tc>
          <w:tcPr>
            <w:tcW w:type="pct" w:w="25%"/>
            <w:shd w:fill="FFFFFF" w:val="clear"/>
            <w:tcMar>
              <w:top w:type="dxa" w:w="80"/>
              <w:left w:type="dxa" w:w="120"/>
              <w:bottom w:type="dxa" w:w="80"/>
              <w:right w:type="dxa" w:w="120"/>
            </w:tcMar>
            <w:vAlign w:val="center"/>
          </w:tcPr>
          <w:p>
            <w:pPr>
              <w:jc w:val="left"/>
            </w:pPr>
            <w:r>
              <w:rPr>
                <w:b/>
                <w:bCs/>
                <w:color w:val="222222"/>
                <w:sz w:val="20"/>
                <w:szCs w:val="20"/>
              </w:rPr>
              <w:t xml:space="preserve">EBITDA (₹ Cr, adj.)</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27,500</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22,904</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32,048</w:t>
            </w:r>
          </w:p>
        </w:tc>
      </w:tr>
      <w:tr>
        <w:tc>
          <w:tcPr>
            <w:tcW w:type="pct" w:w="25%"/>
            <w:shd w:fill="F2EFEA" w:val="clear"/>
            <w:tcMar>
              <w:top w:type="dxa" w:w="80"/>
              <w:left w:type="dxa" w:w="120"/>
              <w:bottom w:type="dxa" w:w="80"/>
              <w:right w:type="dxa" w:w="120"/>
            </w:tcMar>
            <w:vAlign w:val="center"/>
          </w:tcPr>
          <w:p>
            <w:pPr>
              <w:jc w:val="left"/>
            </w:pPr>
            <w:r>
              <w:rPr>
                <w:b/>
                <w:bCs/>
                <w:color w:val="222222"/>
                <w:sz w:val="20"/>
                <w:szCs w:val="20"/>
              </w:rPr>
              <w:t xml:space="preserve">EBITDA YoY Growth</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-16.7%</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+40.0%</w:t>
            </w:r>
          </w:p>
        </w:tc>
      </w:tr>
      <w:tr>
        <w:tc>
          <w:tcPr>
            <w:tcW w:type="pct" w:w="25%"/>
            <w:shd w:fill="FFFFFF" w:val="clear"/>
            <w:tcMar>
              <w:top w:type="dxa" w:w="80"/>
              <w:left w:type="dxa" w:w="120"/>
              <w:bottom w:type="dxa" w:w="80"/>
              <w:right w:type="dxa" w:w="120"/>
            </w:tcMar>
            <w:vAlign w:val="center"/>
          </w:tcPr>
          <w:p>
            <w:pPr>
              <w:jc w:val="left"/>
            </w:pPr>
            <w:r>
              <w:rPr>
                <w:b/>
                <w:bCs/>
                <w:color w:val="222222"/>
                <w:sz w:val="20"/>
                <w:szCs w:val="20"/>
              </w:rPr>
              <w:t xml:space="preserve">Normalised PAT (₹ Cr)</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8,973</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3,491</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8,698</w:t>
            </w:r>
          </w:p>
        </w:tc>
      </w:tr>
      <w:tr>
        <w:tc>
          <w:tcPr>
            <w:tcW w:type="pct" w:w="25%"/>
            <w:shd w:fill="F2EFEA" w:val="clear"/>
            <w:tcMar>
              <w:top w:type="dxa" w:w="80"/>
              <w:left w:type="dxa" w:w="120"/>
              <w:bottom w:type="dxa" w:w="80"/>
              <w:right w:type="dxa" w:w="120"/>
            </w:tcMar>
            <w:vAlign w:val="center"/>
          </w:tcPr>
          <w:p>
            <w:pPr>
              <w:jc w:val="left"/>
            </w:pPr>
            <w:r>
              <w:rPr>
                <w:b/>
                <w:bCs/>
                <w:color w:val="222222"/>
                <w:sz w:val="20"/>
                <w:szCs w:val="20"/>
              </w:rPr>
              <w:t xml:space="preserve">Normalised PAT YoY Growth</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-61.1%</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+149.2%</w:t>
            </w:r>
          </w:p>
        </w:tc>
      </w:tr>
    </w:tbl>
    <w:p>
      <w:pPr>
        <w:pStyle w:val="Heading2"/>
        <w:spacing w:after="120" w:before="260"/>
      </w:pPr>
      <w:r>
        <w:rPr>
          <w:b/>
          <w:bCs/>
          <w:color w:val="1F2937"/>
          <w:sz w:val="24"/>
          <w:szCs w:val="24"/>
        </w:rPr>
        <w:t xml:space="preserve">Why revenue fell in FY25, then rose in FY26</w:t>
      </w:r>
    </w:p>
    <w:p>
      <w:pPr>
        <w:spacing w:after="140" w:line="290"/>
      </w:pPr>
      <w:r>
        <w:rPr>
          <w:b/>
          <w:bCs/>
          <w:color w:val="222222"/>
          <w:sz w:val="21"/>
          <w:szCs w:val="21"/>
        </w:rPr>
        <w:t xml:space="preserve">Why: </w:t>
      </w:r>
      <w:r>
        <w:rPr>
          <w:color w:val="222222"/>
          <w:sz w:val="21"/>
          <w:szCs w:val="21"/>
        </w:rPr>
        <w:t xml:space="preserve">FY25's 3.5% revenue decline happened despite record production and sales volumes (crude steel production up 5.1% YoY to 27.79 MnT) — the culprit was price, not volume. Domestic steel realisations fell sharply through FY25 as a wave of cheap imports (from China and South-East Asia, riding weak Chinese domestic demand) undercut Indian producers, and subdued infrastructure/construction demand added to the pressure. This is exactly the 'growth paradox' pattern seen across Indian steel in FY25: JSW sold more tonnes but earned less per tonne. FY26's 9.9% rebound came from the reverse combination — a 12% safeguard duty (formalised December 2025) sharply curtailed import volumes and let domestic prices recover (up roughly ₹3,500/tonne by Jan-2026), India turned from a net importer to a net exporter of steel for the first time in two years, and healthy domestic demand growth (finished-steel consumption +7.9% YoY) supported both volumes and realisations together.</w:t>
      </w:r>
    </w:p>
    <w:p>
      <w:pPr>
        <w:pStyle w:val="Heading2"/>
        <w:spacing w:after="120" w:before="260"/>
      </w:pPr>
      <w:r>
        <w:rPr>
          <w:b/>
          <w:bCs/>
          <w:color w:val="1F2937"/>
          <w:sz w:val="24"/>
          <w:szCs w:val="24"/>
        </w:rPr>
        <w:t xml:space="preserve">Why EBITDA fell more steeply in FY25 and rebounded harder in FY26</w:t>
      </w:r>
    </w:p>
    <w:p>
      <w:pPr>
        <w:spacing w:after="140" w:line="290"/>
      </w:pPr>
      <w:r>
        <w:rPr>
          <w:b/>
          <w:bCs/>
          <w:color w:val="222222"/>
          <w:sz w:val="21"/>
          <w:szCs w:val="21"/>
        </w:rPr>
        <w:t xml:space="preserve">Why: </w:t>
      </w:r>
      <w:r>
        <w:rPr>
          <w:color w:val="222222"/>
          <w:sz w:val="21"/>
          <w:szCs w:val="21"/>
        </w:rPr>
        <w:t xml:space="preserve">EBITDA is more sensitive than revenue to price because raw-material and conversion costs are relatively sticky — so the same price fall that cut revenue 3.5% cut EBITDA nearly 17% in FY25 as margins were squeezed from both ends (weak realisations, and import competition preventing any pass-through of costs). FY26's EBITDA jump of 40% was driven by the safeguard-duty-led price recovery described above, a richer product mix (value-added and special products, a higher-margin segment, made up roughly 62% of FY25 sales and continued to grow), and moderating input costs in parts of the year — though rising coking-coal prices in H2 FY26 partly offset the gains. The result was FY26 EBITDA margin expansion to roughly 19% (from ~13.5% in FY25).</w:t>
      </w:r>
    </w:p>
    <w:p>
      <w:pPr>
        <w:pStyle w:val="Heading2"/>
        <w:spacing w:after="120" w:before="260"/>
      </w:pPr>
      <w:r>
        <w:rPr>
          <w:b/>
          <w:bCs/>
          <w:color w:val="1F2937"/>
          <w:sz w:val="24"/>
          <w:szCs w:val="24"/>
        </w:rPr>
        <w:t xml:space="preserve">Why normalised PAT swung even more sharply than EBITDA</w:t>
      </w:r>
    </w:p>
    <w:p>
      <w:pPr>
        <w:spacing w:after="140" w:line="290"/>
      </w:pPr>
      <w:r>
        <w:rPr>
          <w:b/>
          <w:bCs/>
          <w:color w:val="222222"/>
          <w:sz w:val="21"/>
          <w:szCs w:val="21"/>
        </w:rPr>
        <w:t xml:space="preserve">Why: </w:t>
      </w:r>
      <w:r>
        <w:rPr>
          <w:color w:val="222222"/>
          <w:sz w:val="21"/>
          <w:szCs w:val="21"/>
        </w:rPr>
        <w:t xml:space="preserve">Profit-after-tax is a 'residual' number sitting below interest and depreciation, which are largely fixed in the short run — so it amplifies whatever happens at the EBITDA line. A 17% EBITDA decline in FY25 turned into a 61% fall in normalised PAT because interest costs (on a larger debt base being carried to fund capacity expansion) and depreciation continued to accrue regardless of the weak topline. In FY26, the same operating leverage worked in reverse: a 40% EBITDA increase, combined with lower net interest as debt was paid down through the year, produced a 149% jump in normalised PAT. Note separately that FY26's headline reported PAT (₹25,508 Cr) also includes a large one-off ₹17,888 Cr exceptional gain from the slump sale of the BPSL undertaking into the JFE joint venture — normalised PAT of ₹8,698 Cr strips this out and is the correct number for underwriting recurring debt-servicing capacity.</w:t>
      </w:r>
    </w:p>
    <w:p>
      <w:pPr>
        <w:spacing w:after="260" w:before="60"/>
      </w:pPr>
      <w:r>
        <w:rPr>
          <w:i/>
          <w:iCs/>
          <w:color w:val="6B7280"/>
          <w:sz w:val="16"/>
          <w:szCs w:val="16"/>
        </w:rPr>
        <w:t xml:space="preserve">Source: JSW Steel Q4 FY26 press release &amp; earnings call (14-May-2026); Business Standard (FY25 results, Jul-2025); SMM Analysis (FY25 volume/margin paradox, May-2026); JSW Steel Q3/Q4 FY26 press releases (safeguard duty, import/export trends).</w:t>
      </w:r>
    </w:p>
    <w:p>
      <w:pPr>
        <w:pStyle w:val="Heading1"/>
        <w:spacing w:after="160" w:before="360"/>
      </w:pPr>
      <w:r>
        <w:rPr>
          <w:b/>
          <w:bCs/>
          <w:color w:val="1F2937"/>
          <w:sz w:val="30"/>
          <w:szCs w:val="30"/>
        </w:rPr>
        <w:t xml:space="preserve">3. Liquidity Ratios — Current, Quick &amp; Working Capital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tcW w:type="pct" w:w="25%"/>
            <w:shd w:fill="26333F"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FY24</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FY25</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FY26 (est.)</w:t>
            </w:r>
          </w:p>
        </w:tc>
      </w:tr>
      <w:tr>
        <w:tc>
          <w:tcPr>
            <w:tcW w:type="pct" w:w="25%"/>
            <w:shd w:fill="FFFFFF" w:val="clear"/>
            <w:tcMar>
              <w:top w:type="dxa" w:w="80"/>
              <w:left w:type="dxa" w:w="120"/>
              <w:bottom w:type="dxa" w:w="80"/>
              <w:right w:type="dxa" w:w="120"/>
            </w:tcMar>
            <w:vAlign w:val="center"/>
          </w:tcPr>
          <w:p>
            <w:pPr>
              <w:jc w:val="left"/>
            </w:pPr>
            <w:r>
              <w:rPr>
                <w:b/>
                <w:bCs/>
                <w:color w:val="222222"/>
                <w:sz w:val="20"/>
                <w:szCs w:val="20"/>
              </w:rPr>
              <w:t xml:space="preserve">Current Ratio (x)</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0.87</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1.06</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~1.05</w:t>
            </w:r>
          </w:p>
        </w:tc>
      </w:tr>
      <w:tr>
        <w:tc>
          <w:tcPr>
            <w:tcW w:type="pct" w:w="25%"/>
            <w:shd w:fill="F2EFEA" w:val="clear"/>
            <w:tcMar>
              <w:top w:type="dxa" w:w="80"/>
              <w:left w:type="dxa" w:w="120"/>
              <w:bottom w:type="dxa" w:w="80"/>
              <w:right w:type="dxa" w:w="120"/>
            </w:tcMar>
            <w:vAlign w:val="center"/>
          </w:tcPr>
          <w:p>
            <w:pPr>
              <w:jc w:val="left"/>
            </w:pPr>
            <w:r>
              <w:rPr>
                <w:b/>
                <w:bCs/>
                <w:color w:val="222222"/>
                <w:sz w:val="20"/>
                <w:szCs w:val="20"/>
              </w:rPr>
              <w:t xml:space="preserve">Quick Ratio (x)</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~0.40–0.55 (recent range)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~0.40–0.55</w:t>
            </w:r>
          </w:p>
        </w:tc>
      </w:tr>
    </w:tbl>
    <w:p>
      <w:pPr>
        <w:pStyle w:val="Heading2"/>
        <w:spacing w:after="120" w:before="260"/>
      </w:pPr>
      <w:r>
        <w:rPr>
          <w:b/>
          <w:bCs/>
          <w:color w:val="1F2937"/>
          <w:sz w:val="24"/>
          <w:szCs w:val="24"/>
        </w:rPr>
        <w:t xml:space="preserve">Why the current ratio improved in FY25 and held broadly steady into FY26</w:t>
      </w:r>
    </w:p>
    <w:p>
      <w:pPr>
        <w:spacing w:after="140" w:line="290"/>
      </w:pPr>
      <w:r>
        <w:rPr>
          <w:b/>
          <w:bCs/>
          <w:color w:val="222222"/>
          <w:sz w:val="21"/>
          <w:szCs w:val="21"/>
        </w:rPr>
        <w:t xml:space="preserve">Why: </w:t>
      </w:r>
      <w:r>
        <w:rPr>
          <w:color w:val="222222"/>
          <w:sz w:val="21"/>
          <w:szCs w:val="21"/>
        </w:rPr>
        <w:t xml:space="preserve">The current ratio moved from a sub-1x position in FY24 (short-term assets did not fully cover short-term liabilities) to 1.06x in FY25 mainly because cash and mutual-fund investment balances built up and trade payables were run down at year-end — a cash-conservation response to the weak FY25 earnings environment, not an increase in underlying sales-driven working capital. Into FY26, the ratio has stayed close to this level (provisional, pending full annual accounts) even as profitability recovered, suggesting working-capital discipline was maintained rather than allowed to loosen as the cycle turned favourable.</w:t>
      </w:r>
    </w:p>
    <w:p>
      <w:pPr>
        <w:spacing w:after="140" w:line="290"/>
      </w:pPr>
      <w:r>
        <w:rPr>
          <w:b/>
          <w:bCs/>
          <w:color w:val="222222"/>
          <w:sz w:val="21"/>
          <w:szCs w:val="21"/>
        </w:rPr>
        <w:t xml:space="preserve">Why: </w:t>
      </w:r>
      <w:r>
        <w:rPr>
          <w:color w:val="222222"/>
          <w:sz w:val="21"/>
          <w:szCs w:val="21"/>
        </w:rPr>
        <w:t xml:space="preserve">The quick ratio remains structurally well below 1x because JSW Steel, like any integrated steelmaker, carries large raw-material and finished-goods inventories (iron ore, coking coal, work-in-progress across a vertically integrated value chain) that cannot be stripped out without disrupting production. This is a sector characteristic, not a company-specific liquidity weakness — but it does mean the company's realisable liquidity (excluding inventory) is materially thinner than the current ratio alone suggests, which matters to a working-capital lender assessing a stress scenario where inventory cannot be quickly monetised.</w:t>
      </w:r>
    </w:p>
    <w:p>
      <w:pPr>
        <w:spacing w:after="260" w:before="60"/>
      </w:pPr>
      <w:r>
        <w:rPr>
          <w:i/>
          <w:iCs/>
          <w:color w:val="6B7280"/>
          <w:sz w:val="16"/>
          <w:szCs w:val="16"/>
        </w:rPr>
        <w:t xml:space="preserve">Source: Research &amp; Ranking / Equentis analysis of company accounts (Jul-2025); TipRanks (recent quarters, quick ratio range).</w:t>
      </w:r>
    </w:p>
    <w:p>
      <w:pPr>
        <w:pStyle w:val="Heading1"/>
        <w:spacing w:after="160" w:before="360"/>
      </w:pPr>
      <w:r>
        <w:rPr>
          <w:b/>
          <w:bCs/>
          <w:color w:val="1F2937"/>
          <w:sz w:val="30"/>
          <w:szCs w:val="30"/>
        </w:rPr>
        <w:t xml:space="preserve">4. Solvency Ratios &amp; Altman Z-Score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tcW w:type="pct" w:w="25%"/>
            <w:shd w:fill="26333F"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FY24</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FY25</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FY26</w:t>
            </w:r>
          </w:p>
        </w:tc>
      </w:tr>
      <w:tr>
        <w:tc>
          <w:tcPr>
            <w:tcW w:type="pct" w:w="25%"/>
            <w:shd w:fill="FFFFFF" w:val="clear"/>
            <w:tcMar>
              <w:top w:type="dxa" w:w="80"/>
              <w:left w:type="dxa" w:w="120"/>
              <w:bottom w:type="dxa" w:w="80"/>
              <w:right w:type="dxa" w:w="120"/>
            </w:tcMar>
            <w:vAlign w:val="center"/>
          </w:tcPr>
          <w:p>
            <w:pPr>
              <w:jc w:val="left"/>
            </w:pPr>
            <w:r>
              <w:rPr>
                <w:b/>
                <w:bCs/>
                <w:color w:val="222222"/>
                <w:sz w:val="20"/>
                <w:szCs w:val="20"/>
              </w:rPr>
              <w:t xml:space="preserve">Total Debt / Equity (x)</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0.78</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0.82</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0.96</w:t>
            </w:r>
          </w:p>
        </w:tc>
      </w:tr>
      <w:tr>
        <w:tc>
          <w:tcPr>
            <w:tcW w:type="pct" w:w="25%"/>
            <w:shd w:fill="F2EFEA" w:val="clear"/>
            <w:tcMar>
              <w:top w:type="dxa" w:w="80"/>
              <w:left w:type="dxa" w:w="120"/>
              <w:bottom w:type="dxa" w:w="80"/>
              <w:right w:type="dxa" w:w="120"/>
            </w:tcMar>
            <w:vAlign w:val="center"/>
          </w:tcPr>
          <w:p>
            <w:pPr>
              <w:jc w:val="left"/>
            </w:pPr>
            <w:r>
              <w:rPr>
                <w:b/>
                <w:bCs/>
                <w:color w:val="222222"/>
                <w:sz w:val="20"/>
                <w:szCs w:val="20"/>
              </w:rPr>
              <w:t xml:space="preserve">Net Debt / EBITDA (x)</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2.68</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3.34</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1.81</w:t>
            </w:r>
          </w:p>
        </w:tc>
      </w:tr>
      <w:tr>
        <w:tc>
          <w:tcPr>
            <w:tcW w:type="pct" w:w="25%"/>
            <w:shd w:fill="FFFFFF" w:val="clear"/>
            <w:tcMar>
              <w:top w:type="dxa" w:w="80"/>
              <w:left w:type="dxa" w:w="120"/>
              <w:bottom w:type="dxa" w:w="80"/>
              <w:right w:type="dxa" w:w="120"/>
            </w:tcMar>
            <w:vAlign w:val="center"/>
          </w:tcPr>
          <w:p>
            <w:pPr>
              <w:jc w:val="left"/>
            </w:pPr>
            <w:r>
              <w:rPr>
                <w:b/>
                <w:bCs/>
                <w:color w:val="222222"/>
                <w:sz w:val="20"/>
                <w:szCs w:val="20"/>
              </w:rPr>
              <w:t xml:space="preserve">ROCE (%)</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12.9%</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8.59%</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14.5%</w:t>
            </w:r>
          </w:p>
        </w:tc>
      </w:tr>
      <w:tr>
        <w:tc>
          <w:tcPr>
            <w:tcW w:type="pct" w:w="25%"/>
            <w:shd w:fill="F2EFEA" w:val="clear"/>
            <w:tcMar>
              <w:top w:type="dxa" w:w="80"/>
              <w:left w:type="dxa" w:w="120"/>
              <w:bottom w:type="dxa" w:w="80"/>
              <w:right w:type="dxa" w:w="120"/>
            </w:tcMar>
            <w:vAlign w:val="center"/>
          </w:tcPr>
          <w:p>
            <w:pPr>
              <w:jc w:val="left"/>
            </w:pPr>
            <w:r>
              <w:rPr>
                <w:b/>
                <w:bCs/>
                <w:color w:val="222222"/>
                <w:sz w:val="20"/>
                <w:szCs w:val="20"/>
              </w:rPr>
              <w:t xml:space="preserve">Altman Z-Score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≈2.70 (grey zone)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pending FY26 recompute</w:t>
            </w:r>
          </w:p>
        </w:tc>
      </w:tr>
    </w:tbl>
    <w:p>
      <w:pPr>
        <w:pStyle w:val="Heading2"/>
        <w:spacing w:after="120" w:before="260"/>
      </w:pPr>
      <w:r>
        <w:rPr>
          <w:b/>
          <w:bCs/>
          <w:color w:val="1F2937"/>
          <w:sz w:val="24"/>
          <w:szCs w:val="24"/>
        </w:rPr>
        <w:t xml:space="preserve">Why gross debt/equity kept rising even as the credit story improved</w:t>
      </w:r>
    </w:p>
    <w:p>
      <w:pPr>
        <w:spacing w:after="140" w:line="290"/>
      </w:pPr>
      <w:r>
        <w:rPr>
          <w:b/>
          <w:bCs/>
          <w:color w:val="222222"/>
          <w:sz w:val="21"/>
          <w:szCs w:val="21"/>
        </w:rPr>
        <w:t xml:space="preserve">Why: </w:t>
      </w:r>
      <w:r>
        <w:rPr>
          <w:color w:val="222222"/>
          <w:sz w:val="21"/>
          <w:szCs w:val="21"/>
        </w:rPr>
        <w:t xml:space="preserve">Total Debt/Equity climbed from 0.78x to 0.96x over FY24–FY26 because JSW Steel has been funding a large, multi-year capacity-expansion programme (FY26 capex alone was ~₹15,600 Cr, with FY27 guided at ₹22,000–24,000 Cr, against a total approved capex plan of ~₹1,26,000 Cr over four to five years to grow capacity from ~36 MTPA toward 62 MTPA by FY32) substantially through borrowing, alongside continued equity-base growth that has not kept fully in step. This is a deliberate, growth-funding increase in gross borrowing — a lender should read it as capex-driven leverage, not distress-driven leverage.</w:t>
      </w:r>
    </w:p>
    <w:p>
      <w:pPr>
        <w:spacing w:after="140" w:line="290"/>
      </w:pPr>
      <w:r>
        <w:rPr>
          <w:b/>
          <w:bCs/>
          <w:color w:val="222222"/>
          <w:sz w:val="21"/>
          <w:szCs w:val="21"/>
        </w:rPr>
        <w:t xml:space="preserve">Why: </w:t>
      </w:r>
      <w:r>
        <w:rPr>
          <w:color w:val="222222"/>
          <w:sz w:val="21"/>
          <w:szCs w:val="21"/>
        </w:rPr>
        <w:t xml:space="preserve">Net Debt/EBITDA tells a very different — and better — story than gross Debt/Equity, and the divergence is explained by two separate forces. First, it worsened to 3.34x in FY25 purely because EBITDA collapsed (the denominator shrank) while debt continued to be drawn for capex — the same borrowing looked far more stretched against a cyclically weak earnings base. Second, it nearly halved to 1.81x in FY26 for two reasons together: EBITDA recovered sharply (as explained above), and net debt itself fell in absolute terms because the slump sale of the BPSL undertaking into the JFE joint venture generated a one-time cash inflow that management used to delever by approximately ₹37,000 Cr (₹30,000 Cr of it completed by March-2026, with a second JFE tranche of ~₹7,900 Cr due by June-2026). So the FY26 improvement is real cash-funded deleveraging, not just an earnings-driven ratio effect — but a lender should note it is partly a one-off transaction benefit that will not repeat every year.</w:t>
      </w:r>
    </w:p>
    <w:p>
      <w:pPr>
        <w:spacing w:after="140" w:line="290"/>
      </w:pPr>
      <w:r>
        <w:rPr>
          <w:b/>
          <w:bCs/>
          <w:color w:val="222222"/>
          <w:sz w:val="21"/>
          <w:szCs w:val="21"/>
        </w:rPr>
        <w:t xml:space="preserve">Why: </w:t>
      </w:r>
      <w:r>
        <w:rPr>
          <w:color w:val="222222"/>
          <w:sz w:val="21"/>
          <w:szCs w:val="21"/>
        </w:rPr>
        <w:t xml:space="preserve">ROCE dipped to 8.59% in FY25 for the same reason EBITDA fell — weak realisations reduced operating profit even as the capital base (funding ongoing expansion) kept growing, depressing the numerator against a rising denominator. It rebounded to ~14.5% in FY26 as operating profit recovered strongly on the price/volume tailwinds described earlier, while the capital employed base grew more slowly in relative terms.</w:t>
      </w:r>
    </w:p>
    <w:p>
      <w:pPr>
        <w:spacing w:after="140" w:line="290"/>
      </w:pPr>
      <w:r>
        <w:rPr>
          <w:b/>
          <w:bCs/>
          <w:color w:val="222222"/>
          <w:sz w:val="21"/>
          <w:szCs w:val="21"/>
        </w:rPr>
        <w:t xml:space="preserve">Why: </w:t>
      </w:r>
      <w:r>
        <w:rPr>
          <w:color w:val="222222"/>
          <w:sz w:val="21"/>
          <w:szCs w:val="21"/>
        </w:rPr>
        <w:t xml:space="preserve">The Z-Score of ~2.7 (computed on FY25 balance-sheet inputs — working capital/total assets 0.02, retained earnings/total assets 0.35, EBIT/total assets 0.06, market value of equity/total liabilities 2.11, sales/total assets 0.72) sits in the 'grey zone' (1.81–2.99, neither safely healthy nor distressed) mainly because of the low EBIT/TA and working-capital/TA inputs — a direct mechanical consequence of FY25's earnings trough discussed above. Given FY26's EBITDA/ROCE recovery and debt paydown, an FY26 recompute would be expected to push the Z-Score higher, but this requires full FY26 balance-sheet data (not yet available) to confirm rather than assume.</w:t>
      </w:r>
    </w:p>
    <w:p>
      <w:pPr>
        <w:spacing w:after="260" w:before="60"/>
      </w:pPr>
      <w:r>
        <w:rPr>
          <w:i/>
          <w:iCs/>
          <w:color w:val="6B7280"/>
          <w:sz w:val="16"/>
          <w:szCs w:val="16"/>
        </w:rPr>
        <w:t xml:space="preserve">Source: D/E FY24-25 — Research &amp; Ranking (Jul-2025); D/E FY26 — Smart-Investing.in (Mar-2026); Net Debt/EBITDA &amp; ROCE FY26, BPSL-JFE deleveraging and capex figures — JSW Steel Q4 FY26 press release/earnings call (14-May-2026), ChartAlert summary; Z-Score — Simply Wall St (FY25 basis).</w:t>
      </w:r>
    </w:p>
    <w:p>
      <w:pPr>
        <w:pStyle w:val="Heading1"/>
        <w:spacing w:after="160" w:before="360"/>
      </w:pPr>
      <w:r>
        <w:rPr>
          <w:b/>
          <w:bCs/>
          <w:color w:val="1F2937"/>
          <w:sz w:val="30"/>
          <w:szCs w:val="30"/>
        </w:rPr>
        <w:t xml:space="preserve">5. Credit Ratios &amp; Market Valuation Ratios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tcW w:type="pct" w:w="25%"/>
            <w:shd w:fill="26333F"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FY24</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FY25</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FY26 (est.)</w:t>
            </w:r>
          </w:p>
        </w:tc>
      </w:tr>
      <w:tr>
        <w:tc>
          <w:tcPr>
            <w:tcW w:type="pct" w:w="25%"/>
            <w:shd w:fill="FFFFFF" w:val="clear"/>
            <w:tcMar>
              <w:top w:type="dxa" w:w="80"/>
              <w:left w:type="dxa" w:w="120"/>
              <w:bottom w:type="dxa" w:w="80"/>
              <w:right w:type="dxa" w:w="120"/>
            </w:tcMar>
            <w:vAlign w:val="center"/>
          </w:tcPr>
          <w:p>
            <w:pPr>
              <w:jc w:val="left"/>
            </w:pPr>
            <w:r>
              <w:rPr>
                <w:b/>
                <w:bCs/>
                <w:color w:val="222222"/>
                <w:sz w:val="20"/>
                <w:szCs w:val="20"/>
              </w:rPr>
              <w:t xml:space="preserve">Debt Service Coverage Ratio (x)</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3.05</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2.42</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~3.5–4.0</w:t>
            </w:r>
          </w:p>
        </w:tc>
      </w:tr>
      <w:tr>
        <w:tc>
          <w:tcPr>
            <w:tcW w:type="pct" w:w="25%"/>
            <w:shd w:fill="F2EFEA" w:val="clear"/>
            <w:tcMar>
              <w:top w:type="dxa" w:w="80"/>
              <w:left w:type="dxa" w:w="120"/>
              <w:bottom w:type="dxa" w:w="80"/>
              <w:right w:type="dxa" w:w="120"/>
            </w:tcMar>
            <w:vAlign w:val="center"/>
          </w:tcPr>
          <w:p>
            <w:pPr>
              <w:jc w:val="left"/>
            </w:pPr>
            <w:r>
              <w:rPr>
                <w:b/>
                <w:bCs/>
                <w:color w:val="222222"/>
                <w:sz w:val="20"/>
                <w:szCs w:val="20"/>
              </w:rPr>
              <w:t xml:space="preserve">P/E (TTM)</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~12.6x (industry ~23.8x)</w:t>
            </w:r>
          </w:p>
        </w:tc>
      </w:tr>
      <w:tr>
        <w:tc>
          <w:tcPr>
            <w:tcW w:type="pct" w:w="25%"/>
            <w:shd w:fill="FFFFFF" w:val="clear"/>
            <w:tcMar>
              <w:top w:type="dxa" w:w="80"/>
              <w:left w:type="dxa" w:w="120"/>
              <w:bottom w:type="dxa" w:w="80"/>
              <w:right w:type="dxa" w:w="120"/>
            </w:tcMar>
            <w:vAlign w:val="center"/>
          </w:tcPr>
          <w:p>
            <w:pPr>
              <w:jc w:val="left"/>
            </w:pPr>
            <w:r>
              <w:rPr>
                <w:b/>
                <w:bCs/>
                <w:color w:val="222222"/>
                <w:sz w:val="20"/>
                <w:szCs w:val="20"/>
              </w:rPr>
              <w:t xml:space="preserve">P/B (MRQ)</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~3.1x</w:t>
            </w:r>
          </w:p>
        </w:tc>
      </w:tr>
      <w:tr>
        <w:tc>
          <w:tcPr>
            <w:tcW w:type="pct" w:w="25%"/>
            <w:shd w:fill="F2EFEA" w:val="clear"/>
            <w:tcMar>
              <w:top w:type="dxa" w:w="80"/>
              <w:left w:type="dxa" w:w="120"/>
              <w:bottom w:type="dxa" w:w="80"/>
              <w:right w:type="dxa" w:w="120"/>
            </w:tcMar>
            <w:vAlign w:val="center"/>
          </w:tcPr>
          <w:p>
            <w:pPr>
              <w:jc w:val="left"/>
            </w:pPr>
            <w:r>
              <w:rPr>
                <w:b/>
                <w:bCs/>
                <w:color w:val="222222"/>
                <w:sz w:val="20"/>
                <w:szCs w:val="20"/>
              </w:rPr>
              <w:t xml:space="preserve">EV/EBITDA (TTM)</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~14.3x</w:t>
            </w:r>
          </w:p>
        </w:tc>
      </w:tr>
      <w:tr>
        <w:tc>
          <w:tcPr>
            <w:tcW w:type="pct" w:w="25%"/>
            <w:shd w:fill="FFFFFF" w:val="clear"/>
            <w:tcMar>
              <w:top w:type="dxa" w:w="80"/>
              <w:left w:type="dxa" w:w="120"/>
              <w:bottom w:type="dxa" w:w="80"/>
              <w:right w:type="dxa" w:w="120"/>
            </w:tcMar>
            <w:vAlign w:val="center"/>
          </w:tcPr>
          <w:p>
            <w:pPr>
              <w:jc w:val="left"/>
            </w:pPr>
            <w:r>
              <w:rPr>
                <w:b/>
                <w:bCs/>
                <w:color w:val="222222"/>
                <w:sz w:val="20"/>
                <w:szCs w:val="20"/>
              </w:rPr>
              <w:t xml:space="preserve">Market Capitalisation</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~₹3,18,000 Cr</w:t>
            </w:r>
          </w:p>
        </w:tc>
      </w:tr>
    </w:tbl>
    <w:p>
      <w:pPr>
        <w:pStyle w:val="Heading2"/>
        <w:spacing w:after="120" w:before="260"/>
      </w:pPr>
      <w:r>
        <w:rPr>
          <w:b/>
          <w:bCs/>
          <w:color w:val="1F2937"/>
          <w:sz w:val="24"/>
          <w:szCs w:val="24"/>
        </w:rPr>
        <w:t xml:space="preserve">Why DSCR fell in FY25 and is recovering in FY26</w:t>
      </w:r>
    </w:p>
    <w:p>
      <w:pPr>
        <w:spacing w:after="140" w:line="290"/>
      </w:pPr>
      <w:r>
        <w:rPr>
          <w:b/>
          <w:bCs/>
          <w:color w:val="222222"/>
          <w:sz w:val="21"/>
          <w:szCs w:val="21"/>
        </w:rPr>
        <w:t xml:space="preserve">Why: </w:t>
      </w:r>
      <w:r>
        <w:rPr>
          <w:color w:val="222222"/>
          <w:sz w:val="21"/>
          <w:szCs w:val="21"/>
        </w:rPr>
        <w:t xml:space="preserve">Debt Service Coverage Ratio tracks EBITDA/operating cash flow relative to debt obligations (interest plus scheduled principal), so it mechanically compresses whenever EBITDA falls while debt service stays roughly fixed — precisely what happened in FY25 (3.05x → 2.42x) as the earnings trough coincided with a growing debt base being serviced. The estimated FY26 recovery to ~3.5–4.0x is corroborated by the Q4 FY26 exit-rate interest cover of 3.98x, and follows directly from the same EBITDA recovery and net-debt paydown discussed in Sections 2 and 4 — stronger operating cash flow and a lower effective debt load both push DSCR up together.</w:t>
      </w:r>
    </w:p>
    <w:p>
      <w:pPr>
        <w:pStyle w:val="Heading2"/>
        <w:spacing w:after="120" w:before="260"/>
      </w:pPr>
      <w:r>
        <w:rPr>
          <w:b/>
          <w:bCs/>
          <w:color w:val="1F2937"/>
          <w:sz w:val="24"/>
          <w:szCs w:val="24"/>
        </w:rPr>
        <w:t xml:space="preserve">Why the stock trades at a valuation discount despite the FY26 recovery</w:t>
      </w:r>
    </w:p>
    <w:p>
      <w:pPr>
        <w:spacing w:after="140" w:line="290"/>
      </w:pPr>
      <w:r>
        <w:rPr>
          <w:b/>
          <w:bCs/>
          <w:color w:val="222222"/>
          <w:sz w:val="21"/>
          <w:szCs w:val="21"/>
        </w:rPr>
        <w:t xml:space="preserve">Why: </w:t>
      </w:r>
      <w:r>
        <w:rPr>
          <w:color w:val="222222"/>
          <w:sz w:val="21"/>
          <w:szCs w:val="21"/>
        </w:rPr>
        <w:t xml:space="preserve">JSW Steel's P/E (~12.6x) and EV/EBITDA (~14.3x) remain below the broader ferrous-metals industry average (~23.8x P/E) because equity markets are pricing in steel-cycle risk — FY26's strong numbers are underpinned partly by a safeguard duty that could be reviewed or eased over its multi-year tenure, and partly by the non-recurring BPSL-JFE gain, both of which investors reasonably discount when valuing sustainable, through-cycle earnings. For a lender this discount is useful context (it shows the market is not yet 'believing' the recovery is permanent) but should be weighted far less heavily than the credit ratios above, which are based on realised cash flows and balance-sheet metrics rather than forward sentiment.</w:t>
      </w:r>
    </w:p>
    <w:p>
      <w:pPr>
        <w:spacing w:after="260" w:before="60"/>
      </w:pPr>
      <w:r>
        <w:rPr>
          <w:i/>
          <w:iCs/>
          <w:color w:val="6B7280"/>
          <w:sz w:val="16"/>
          <w:szCs w:val="16"/>
        </w:rPr>
        <w:t xml:space="preserve">Source: DSCR FY24-25 — Research &amp; Ranking (Jul-2025); FY26 DSCR estimate — MarketsMojo (Jun-2026, Q4 FY26 interest-coverage exit rate); Price ratios — Investing.com / valueinvesting.io (May-2026).</w:t>
      </w:r>
    </w:p>
    <w:p>
      <w:pPr>
        <w:pStyle w:val="Heading1"/>
        <w:spacing w:after="160" w:before="360"/>
      </w:pPr>
      <w:r>
        <w:rPr>
          <w:b/>
          <w:bCs/>
          <w:color w:val="1F2937"/>
          <w:sz w:val="30"/>
          <w:szCs w:val="30"/>
        </w:rPr>
        <w:t xml:space="preserve">6. Credit Rating — Detailed Review</w:t>
      </w:r>
    </w:p>
    <w:p>
      <w:pPr>
        <w:spacing w:after="140" w:line="300"/>
      </w:pPr>
      <w:r>
        <w:rPr>
          <w:color w:val="222222"/>
          <w:sz w:val="21"/>
          <w:szCs w:val="21"/>
        </w:rPr>
        <w:t xml:space="preserve">JSW Steel carries the following domestic ratings, all reviewed within the FY25–FY26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tcW w:type="pct" w:w="25%"/>
            <w:shd w:fill="26333F" w:val="clear"/>
            <w:tcMar>
              <w:top w:type="dxa" w:w="80"/>
              <w:left w:type="dxa" w:w="120"/>
              <w:bottom w:type="dxa" w:w="80"/>
              <w:right w:type="dxa" w:w="120"/>
            </w:tcMar>
            <w:vAlign w:val="center"/>
          </w:tcPr>
          <w:p>
            <w:pPr>
              <w:jc w:val="left"/>
            </w:pPr>
            <w:r>
              <w:rPr>
                <w:b/>
                <w:bCs/>
                <w:color w:val="FFFFFF"/>
                <w:sz w:val="20"/>
                <w:szCs w:val="20"/>
              </w:rPr>
              <w:t xml:space="preserve">Agency</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Long-term Rating</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Short-term Rating</w:t>
            </w:r>
          </w:p>
        </w:tc>
        <w:tc>
          <w:tcPr>
            <w:tcW w:type="pct" w:w="25%"/>
            <w:shd w:fill="26333F" w:val="clear"/>
            <w:tcMar>
              <w:top w:type="dxa" w:w="80"/>
              <w:left w:type="dxa" w:w="120"/>
              <w:bottom w:type="dxa" w:w="80"/>
              <w:right w:type="dxa" w:w="120"/>
            </w:tcMar>
            <w:vAlign w:val="center"/>
          </w:tcPr>
          <w:p>
            <w:pPr>
              <w:jc w:val="center"/>
            </w:pPr>
            <w:r>
              <w:rPr>
                <w:b/>
                <w:bCs/>
                <w:color w:val="FFFFFF"/>
                <w:sz w:val="20"/>
                <w:szCs w:val="20"/>
              </w:rPr>
              <w:t xml:space="preserve">Outlook</w:t>
            </w:r>
          </w:p>
        </w:tc>
      </w:tr>
      <w:tr>
        <w:tc>
          <w:tcPr>
            <w:tcW w:type="pct" w:w="25%"/>
            <w:shd w:fill="FFFFFF" w:val="clear"/>
            <w:tcMar>
              <w:top w:type="dxa" w:w="80"/>
              <w:left w:type="dxa" w:w="120"/>
              <w:bottom w:type="dxa" w:w="80"/>
              <w:right w:type="dxa" w:w="120"/>
            </w:tcMar>
            <w:vAlign w:val="center"/>
          </w:tcPr>
          <w:p>
            <w:pPr>
              <w:jc w:val="left"/>
            </w:pPr>
            <w:r>
              <w:rPr>
                <w:b/>
                <w:bCs/>
                <w:color w:val="222222"/>
                <w:sz w:val="20"/>
                <w:szCs w:val="20"/>
              </w:rPr>
              <w:t xml:space="preserve">CARE Ratings</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AA</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A1+</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Stable</w:t>
            </w:r>
          </w:p>
        </w:tc>
      </w:tr>
      <w:tr>
        <w:tc>
          <w:tcPr>
            <w:tcW w:type="pct" w:w="25%"/>
            <w:shd w:fill="F2EFEA" w:val="clear"/>
            <w:tcMar>
              <w:top w:type="dxa" w:w="80"/>
              <w:left w:type="dxa" w:w="120"/>
              <w:bottom w:type="dxa" w:w="80"/>
              <w:right w:type="dxa" w:w="120"/>
            </w:tcMar>
            <w:vAlign w:val="center"/>
          </w:tcPr>
          <w:p>
            <w:pPr>
              <w:jc w:val="left"/>
            </w:pPr>
            <w:r>
              <w:rPr>
                <w:b/>
                <w:bCs/>
                <w:color w:val="222222"/>
                <w:sz w:val="20"/>
                <w:szCs w:val="20"/>
              </w:rPr>
              <w:t xml:space="preserve">ICRA</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AA</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A1+</w:t>
            </w:r>
          </w:p>
        </w:tc>
        <w:tc>
          <w:tcPr>
            <w:tcW w:type="pct" w:w="25%"/>
            <w:shd w:fill="F2EFEA" w:val="clear"/>
            <w:tcMar>
              <w:top w:type="dxa" w:w="80"/>
              <w:left w:type="dxa" w:w="120"/>
              <w:bottom w:type="dxa" w:w="80"/>
              <w:right w:type="dxa" w:w="120"/>
            </w:tcMar>
            <w:vAlign w:val="center"/>
          </w:tcPr>
          <w:p>
            <w:pPr>
              <w:jc w:val="center"/>
            </w:pPr>
            <w:r>
              <w:rPr>
                <w:b w:val="false"/>
                <w:bCs w:val="false"/>
                <w:color w:val="222222"/>
                <w:sz w:val="20"/>
                <w:szCs w:val="20"/>
              </w:rPr>
              <w:t xml:space="preserve">Positive watch (Apr-2026)</w:t>
            </w:r>
          </w:p>
        </w:tc>
      </w:tr>
      <w:tr>
        <w:tc>
          <w:tcPr>
            <w:tcW w:type="pct" w:w="25%"/>
            <w:shd w:fill="FFFFFF" w:val="clear"/>
            <w:tcMar>
              <w:top w:type="dxa" w:w="80"/>
              <w:left w:type="dxa" w:w="120"/>
              <w:bottom w:type="dxa" w:w="80"/>
              <w:right w:type="dxa" w:w="120"/>
            </w:tcMar>
            <w:vAlign w:val="center"/>
          </w:tcPr>
          <w:p>
            <w:pPr>
              <w:jc w:val="left"/>
            </w:pPr>
            <w:r>
              <w:rPr>
                <w:b/>
                <w:bCs/>
                <w:color w:val="222222"/>
                <w:sz w:val="20"/>
                <w:szCs w:val="20"/>
              </w:rPr>
              <w:t xml:space="preserve">India Ratings</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AA</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A1+</w:t>
            </w:r>
          </w:p>
        </w:tc>
        <w:tc>
          <w:tcPr>
            <w:tcW w:type="pct" w:w="25%"/>
            <w:shd w:fill="FFFFFF" w:val="clear"/>
            <w:tcMar>
              <w:top w:type="dxa" w:w="80"/>
              <w:left w:type="dxa" w:w="120"/>
              <w:bottom w:type="dxa" w:w="80"/>
              <w:right w:type="dxa" w:w="120"/>
            </w:tcMar>
            <w:vAlign w:val="center"/>
          </w:tcPr>
          <w:p>
            <w:pPr>
              <w:jc w:val="center"/>
            </w:pPr>
            <w:r>
              <w:rPr>
                <w:b w:val="false"/>
                <w:bCs w:val="false"/>
                <w:color w:val="222222"/>
                <w:sz w:val="20"/>
                <w:szCs w:val="20"/>
              </w:rPr>
              <w:t xml:space="preserve">Stable</w:t>
            </w:r>
          </w:p>
        </w:tc>
      </w:tr>
    </w:tbl>
    <w:p>
      <w:pPr>
        <w:pStyle w:val="Heading2"/>
        <w:spacing w:after="120" w:before="260"/>
      </w:pPr>
      <w:r>
        <w:rPr>
          <w:b/>
          <w:bCs/>
          <w:color w:val="1F2937"/>
          <w:sz w:val="24"/>
          <w:szCs w:val="24"/>
        </w:rPr>
        <w:t xml:space="preserve">Why the ratings sit at 'AA' and why ICRA moved to a positive watch</w:t>
      </w:r>
    </w:p>
    <w:p>
      <w:pPr>
        <w:spacing w:after="140" w:line="290"/>
      </w:pPr>
      <w:r>
        <w:rPr>
          <w:b/>
          <w:bCs/>
          <w:color w:val="222222"/>
          <w:sz w:val="21"/>
          <w:szCs w:val="21"/>
        </w:rPr>
        <w:t xml:space="preserve">Why: </w:t>
      </w:r>
      <w:r>
        <w:rPr>
          <w:color w:val="222222"/>
          <w:sz w:val="21"/>
          <w:szCs w:val="21"/>
        </w:rPr>
        <w:t xml:space="preserve">The AA-category long-term rating reflects JSW Steel's dominant scale (India's largest steel producer, ~35 MTPA installed capacity), diversified and increasingly value-added product mix, integrated raw-material access (captive iron-ore and coking-coal mines), and demonstrated funding support from the JSW Group and capital markets. It has not moved higher, despite the FY26 recovery, because gross leverage is still rising (Section 4) to fund an aggressive multi-year capex programme, and because a meaningful part of FY26's improvement rests on a one-off transaction (BPSL-JFE) and a safeguard duty that is a policy support measure rather than a structural cost advantage. ICRA's move to a positive rating watch in April 2026 is explained directly by the net-debt paydown from the BPSL-JFE transaction and the FY26 earnings recovery — agencies react to net leverage and cash-flow trends, which is exactly what improved sharply, even though gross Debt/Equity has not.</w:t>
      </w:r>
    </w:p>
    <w:p>
      <w:pPr>
        <w:spacing w:after="140" w:line="290"/>
      </w:pPr>
      <w:r>
        <w:rPr>
          <w:b/>
          <w:bCs/>
          <w:color w:val="222222"/>
          <w:sz w:val="21"/>
          <w:szCs w:val="21"/>
        </w:rPr>
        <w:t xml:space="preserve">Why: </w:t>
      </w:r>
      <w:r>
        <w:rPr>
          <w:color w:val="222222"/>
          <w:sz w:val="21"/>
          <w:szCs w:val="21"/>
        </w:rPr>
        <w:t xml:space="preserve">An upgrade would require the FY26 deleveraging and coverage improvement to be sustained through a full cycle (not just one strong year aided by a one-off transaction and a temporary safeguard duty), typically evidenced by Net Debt/EBITDA holding below ~2x and DSCR above ~3.5x on a normalised basis. A downgrade could follow a renewed rise in leverage — plausible given the ~₹1,26,000 Cr approved capex plan being funded partly by debt — or a reversal of the price recovery if the safeguard duty is diluted/expires or global steel/coking-coal prices move adversely.</w:t>
      </w:r>
    </w:p>
    <w:p>
      <w:pPr>
        <w:spacing w:after="260" w:before="60"/>
      </w:pPr>
      <w:r>
        <w:rPr>
          <w:i/>
          <w:iCs/>
          <w:color w:val="6B7280"/>
          <w:sz w:val="16"/>
          <w:szCs w:val="16"/>
        </w:rPr>
        <w:t xml:space="preserve">Source: CARE Ratings, ICRA and India Ratings rationale documents (Jan-2026 review cycle); JSW Steel investor-relations rating page; ICRA positive-watch action, Apr-2026.</w:t>
      </w:r>
    </w:p>
    <w:p>
      <w:pPr>
        <w:pStyle w:val="Heading1"/>
        <w:spacing w:after="160" w:before="360"/>
      </w:pPr>
      <w:r>
        <w:rPr>
          <w:b/>
          <w:bCs/>
          <w:color w:val="1F2937"/>
          <w:sz w:val="30"/>
          <w:szCs w:val="30"/>
        </w:rPr>
        <w:t xml:space="preserve">7. Credit Recommendation Note</w:t>
      </w:r>
    </w:p>
    <w:p>
      <w:pPr>
        <w:spacing w:after="140" w:line="300"/>
      </w:pPr>
      <w:r>
        <w:rPr>
          <w:color w:val="222222"/>
          <w:sz w:val="21"/>
          <w:szCs w:val="21"/>
        </w:rPr>
        <w:t xml:space="preserve">(Prepared in the format of a short bank credit analyst's note.)</w:t>
      </w:r>
    </w:p>
    <w:p>
      <w:pPr>
        <w:pStyle w:val="Heading2"/>
        <w:spacing w:after="120" w:before="260"/>
      </w:pPr>
      <w:r>
        <w:rPr>
          <w:b/>
          <w:bCs/>
          <w:color w:val="1F2937"/>
          <w:sz w:val="24"/>
          <w:szCs w:val="24"/>
        </w:rPr>
        <w:t xml:space="preserve">Overall Assessment</w:t>
      </w:r>
    </w:p>
    <w:p>
      <w:pPr>
        <w:spacing w:after="140" w:line="300"/>
      </w:pPr>
      <w:r>
        <w:rPr>
          <w:color w:val="222222"/>
          <w:sz w:val="21"/>
          <w:szCs w:val="21"/>
        </w:rPr>
        <w:t xml:space="preserve">Credit quality improved materially over FY24–FY26. A cyclical FY25 trough — driven by weak steel realisations and import competition, which dragged down liquidity, coverage and net leverage in tandem — gave way to a strong FY26 recovery on the back of a safeguard duty, price recovery, and a large cash-funded deleveraging via the BPSL-JFE transaction. The underlying support for the credit remains JSW Steel's scale, market leadership, and AA-category domestic ratings.</w:t>
      </w:r>
    </w:p>
    <w:p>
      <w:pPr>
        <w:pStyle w:val="Heading2"/>
        <w:spacing w:after="120" w:before="260"/>
      </w:pPr>
      <w:r>
        <w:rPr>
          <w:b/>
          <w:bCs/>
          <w:color w:val="1F2937"/>
          <w:sz w:val="24"/>
          <w:szCs w:val="24"/>
        </w:rPr>
        <w:t xml:space="preserve">Credit Strengths</w:t>
      </w:r>
    </w:p>
    <w:p>
      <w:pPr>
        <w:pStyle w:val="ListParagraph"/>
        <w:numPr>
          <w:ilvl w:val="0"/>
          <w:numId w:val="1"/>
        </w:numPr>
        <w:spacing w:after="90" w:line="290"/>
      </w:pPr>
      <w:r>
        <w:rPr>
          <w:color w:val="222222"/>
          <w:sz w:val="21"/>
          <w:szCs w:val="21"/>
        </w:rPr>
        <w:t xml:space="preserve">Largest domestic steel producer with a diversified, increasingly value-added product mix and integrated raw-material access.</w:t>
      </w:r>
    </w:p>
    <w:p>
      <w:pPr>
        <w:pStyle w:val="ListParagraph"/>
        <w:numPr>
          <w:ilvl w:val="0"/>
          <w:numId w:val="1"/>
        </w:numPr>
        <w:spacing w:after="90" w:line="290"/>
      </w:pPr>
      <w:r>
        <w:rPr>
          <w:color w:val="222222"/>
          <w:sz w:val="21"/>
          <w:szCs w:val="21"/>
        </w:rPr>
        <w:t xml:space="preserve">FY26 operating recovery is broad-based: revenue +9.9%, EBITDA +40%, normalised PAT +149%, driven by real price/volume tailwinds (safeguard duty, import decline) rather than accounting effects alone.</w:t>
      </w:r>
    </w:p>
    <w:p>
      <w:pPr>
        <w:pStyle w:val="ListParagraph"/>
        <w:numPr>
          <w:ilvl w:val="0"/>
          <w:numId w:val="1"/>
        </w:numPr>
        <w:spacing w:after="90" w:line="290"/>
      </w:pPr>
      <w:r>
        <w:rPr>
          <w:color w:val="222222"/>
          <w:sz w:val="21"/>
          <w:szCs w:val="21"/>
        </w:rPr>
        <w:t xml:space="preserve">Net Debt/EBITDA nearly halved (3.34x → 1.81x) on genuine cash-funded deleveraging (BPSL-JFE proceeds), not merely an earnings-driven ratio effect.</w:t>
      </w:r>
    </w:p>
    <w:p>
      <w:pPr>
        <w:pStyle w:val="ListParagraph"/>
        <w:numPr>
          <w:ilvl w:val="0"/>
          <w:numId w:val="1"/>
        </w:numPr>
        <w:spacing w:after="90" w:line="290"/>
      </w:pPr>
      <w:r>
        <w:rPr>
          <w:color w:val="222222"/>
          <w:sz w:val="21"/>
          <w:szCs w:val="21"/>
        </w:rPr>
        <w:t xml:space="preserve">DSCR trending back to ~3.5–4x and ROCE recovered to ~14.5%, both corroborated by Q4 FY26 exit-rate data.</w:t>
      </w:r>
    </w:p>
    <w:p>
      <w:pPr>
        <w:pStyle w:val="ListParagraph"/>
        <w:numPr>
          <w:ilvl w:val="0"/>
          <w:numId w:val="1"/>
        </w:numPr>
        <w:spacing w:after="90" w:line="290"/>
      </w:pPr>
      <w:r>
        <w:rPr>
          <w:color w:val="222222"/>
          <w:sz w:val="21"/>
          <w:szCs w:val="21"/>
        </w:rPr>
        <w:t xml:space="preserve">AA/Stable-to-Positive ratings across all three domestic agencies, with ICRA on positive watch — independent third-party confirmation of the improving trend.</w:t>
      </w:r>
    </w:p>
    <w:p>
      <w:pPr>
        <w:pStyle w:val="Heading2"/>
        <w:spacing w:after="120" w:before="260"/>
      </w:pPr>
      <w:r>
        <w:rPr>
          <w:b/>
          <w:bCs/>
          <w:color w:val="1F2937"/>
          <w:sz w:val="24"/>
          <w:szCs w:val="24"/>
        </w:rPr>
        <w:t xml:space="preserve">Watch-outs</w:t>
      </w:r>
    </w:p>
    <w:p>
      <w:pPr>
        <w:pStyle w:val="ListParagraph"/>
        <w:numPr>
          <w:ilvl w:val="0"/>
          <w:numId w:val="1"/>
        </w:numPr>
        <w:spacing w:after="90" w:line="290"/>
      </w:pPr>
      <w:r>
        <w:rPr>
          <w:color w:val="222222"/>
          <w:sz w:val="21"/>
          <w:szCs w:val="21"/>
        </w:rPr>
        <w:t xml:space="preserve">Gross Total Debt/Equity has actually risen (0.78x → 0.96x) because a large, multi-year capex programme (~₹1,26,000 Cr approved) is being funded substantially through borrowing — the improvement so far is a net-debt/cash-flow story, not a reduction in gross borrowing.</w:t>
      </w:r>
    </w:p>
    <w:p>
      <w:pPr>
        <w:pStyle w:val="ListParagraph"/>
        <w:numPr>
          <w:ilvl w:val="0"/>
          <w:numId w:val="1"/>
        </w:numPr>
        <w:spacing w:after="90" w:line="290"/>
      </w:pPr>
      <w:r>
        <w:rPr>
          <w:color w:val="222222"/>
          <w:sz w:val="21"/>
          <w:szCs w:val="21"/>
        </w:rPr>
        <w:t xml:space="preserve">FY26 reported PAT (₹25,508 Cr) is inflated by a ₹17,888 Cr one-off BPSL-JFE gain; underwrite on normalised PAT (₹8,698 Cr), and treat the associated debt paydown as a one-time benefit that will not recur annually.</w:t>
      </w:r>
    </w:p>
    <w:p>
      <w:pPr>
        <w:pStyle w:val="ListParagraph"/>
        <w:numPr>
          <w:ilvl w:val="0"/>
          <w:numId w:val="1"/>
        </w:numPr>
        <w:spacing w:after="90" w:line="290"/>
      </w:pPr>
      <w:r>
        <w:rPr>
          <w:color w:val="222222"/>
          <w:sz w:val="21"/>
          <w:szCs w:val="21"/>
        </w:rPr>
        <w:t xml:space="preserve">Altman Z (~2.7, FY25 basis) still sits in the 'grey zone'; needs an FY26 recompute — not yet available — to confirm the improvement implied by the ratio recovery.</w:t>
      </w:r>
    </w:p>
    <w:p>
      <w:pPr>
        <w:pStyle w:val="ListParagraph"/>
        <w:numPr>
          <w:ilvl w:val="0"/>
          <w:numId w:val="1"/>
        </w:numPr>
        <w:spacing w:after="90" w:line="290"/>
      </w:pPr>
      <w:r>
        <w:rPr>
          <w:color w:val="222222"/>
          <w:sz w:val="21"/>
          <w:szCs w:val="21"/>
        </w:rPr>
        <w:t xml:space="preserve">Liquidity is structurally tight (current ratio ~1x, quick ratio well below 1x) given the inventory-heavy integrated steelmaking model — realisable liquidity excluding inventory is thin.</w:t>
      </w:r>
    </w:p>
    <w:p>
      <w:pPr>
        <w:pStyle w:val="ListParagraph"/>
        <w:numPr>
          <w:ilvl w:val="0"/>
          <w:numId w:val="1"/>
        </w:numPr>
        <w:spacing w:after="90" w:line="290"/>
      </w:pPr>
      <w:r>
        <w:rPr>
          <w:color w:val="222222"/>
          <w:sz w:val="21"/>
          <w:szCs w:val="21"/>
        </w:rPr>
        <w:t xml:space="preserve">Earnings remain cyclical and partly policy-dependent: FY25 showed how quickly ratios swing on steel prices and import competition, and FY26's recovery leans on a safeguard duty that could be reviewed, plus rising coking-coal costs that are already offsetting some price gains.</w:t>
      </w:r>
    </w:p>
    <w:p>
      <w:pPr>
        <w:pStyle w:val="Heading2"/>
        <w:spacing w:after="120" w:before="260"/>
      </w:pPr>
      <w:r>
        <w:rPr>
          <w:b/>
          <w:bCs/>
          <w:color w:val="1F2937"/>
          <w:sz w:val="24"/>
          <w:szCs w:val="24"/>
        </w:rPr>
        <w:t xml:space="preserve">Recommendation</w:t>
      </w:r>
    </w:p>
    <w:p>
      <w:pPr>
        <w:spacing w:after="140" w:line="300"/>
      </w:pPr>
      <w:r>
        <w:rPr>
          <w:color w:val="222222"/>
          <w:sz w:val="21"/>
          <w:szCs w:val="21"/>
        </w:rPr>
        <w:t xml:space="preserve">Continue / extend credit exposure, underwritten on normalised earnings and net (not gross) leverage trends, with standard covenants (Net Debt/EBITDA and DSCR floors, tested off normalised — not one-off-inflated — PAT). Reassess as FY26's deleveraging, the safeguard-duty-supported price recovery, and the ~₹1,26,000 Cr capex programme play out through FY27, since a large part of the improvement is either policy-linked (safeguard duty) or transaction-linked (BPSL-JFE) rather than yet proven to be structural.</w:t>
      </w:r>
    </w:p>
    <w:p>
      <w:pPr>
        <w:pStyle w:val="Heading1"/>
        <w:spacing w:after="160" w:before="360"/>
      </w:pPr>
      <w:r>
        <w:rPr>
          <w:b/>
          <w:bCs/>
          <w:color w:val="1F2937"/>
          <w:sz w:val="30"/>
          <w:szCs w:val="30"/>
        </w:rPr>
        <w:t xml:space="preserve">8. Sources</w:t>
      </w:r>
    </w:p>
    <w:p>
      <w:pPr>
        <w:pStyle w:val="ListParagraph"/>
        <w:numPr>
          <w:ilvl w:val="0"/>
          <w:numId w:val="1"/>
        </w:numPr>
        <w:spacing w:after="90" w:line="290"/>
      </w:pPr>
      <w:r>
        <w:rPr>
          <w:color w:val="222222"/>
          <w:sz w:val="21"/>
          <w:szCs w:val="21"/>
        </w:rPr>
        <w:t xml:space="preserve">JSW Steel quarterly/annual press releases and Q4 FY26 earnings call transcript (14-May-2026).</w:t>
      </w:r>
    </w:p>
    <w:p>
      <w:pPr>
        <w:pStyle w:val="ListParagraph"/>
        <w:numPr>
          <w:ilvl w:val="0"/>
          <w:numId w:val="1"/>
        </w:numPr>
        <w:spacing w:after="90" w:line="290"/>
      </w:pPr>
      <w:r>
        <w:rPr>
          <w:color w:val="222222"/>
          <w:sz w:val="21"/>
          <w:szCs w:val="21"/>
        </w:rPr>
        <w:t xml:space="preserve">Business Standard — JSW Steel quarterly results coverage (FY25 and FY26 quarters).</w:t>
      </w:r>
    </w:p>
    <w:p>
      <w:pPr>
        <w:pStyle w:val="ListParagraph"/>
        <w:numPr>
          <w:ilvl w:val="0"/>
          <w:numId w:val="1"/>
        </w:numPr>
        <w:spacing w:after="90" w:line="290"/>
      </w:pPr>
      <w:r>
        <w:rPr>
          <w:color w:val="222222"/>
          <w:sz w:val="21"/>
          <w:szCs w:val="21"/>
        </w:rPr>
        <w:t xml:space="preserve">Shanghai Metals Market (SMM) Analysis — 'JSW Steel's Growth Paradox' (May-2026).</w:t>
      </w:r>
    </w:p>
    <w:p>
      <w:pPr>
        <w:pStyle w:val="ListParagraph"/>
        <w:numPr>
          <w:ilvl w:val="0"/>
          <w:numId w:val="1"/>
        </w:numPr>
        <w:spacing w:after="90" w:line="290"/>
      </w:pPr>
      <w:r>
        <w:rPr>
          <w:color w:val="222222"/>
          <w:sz w:val="21"/>
          <w:szCs w:val="21"/>
        </w:rPr>
        <w:t xml:space="preserve">Research &amp; Ranking / Equentis company-accounts analysis (Jul-2025); Smart-Investing.in (Mar-2026); TipRanks; MarketsMojo (Jun-2026); Simply Wall St; Investing.com; valueinvesting.io.</w:t>
      </w:r>
    </w:p>
    <w:p>
      <w:pPr>
        <w:pStyle w:val="ListParagraph"/>
        <w:numPr>
          <w:ilvl w:val="0"/>
          <w:numId w:val="1"/>
        </w:numPr>
        <w:spacing w:after="90" w:line="290"/>
      </w:pPr>
      <w:r>
        <w:rPr>
          <w:color w:val="222222"/>
          <w:sz w:val="21"/>
          <w:szCs w:val="21"/>
        </w:rPr>
        <w:t xml:space="preserve">CARE Ratings, ICRA and India Ratings rationale documents; JSW Steel investor-relations rating page.</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JSW Steel — Credit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2026-09-07T06:25:18.577Z</dcterms:created>
  <dcterms:modified xsi:type="dcterms:W3CDTF">2026-09-07T06:25:18.585Z</dcterms:modified>
</cp:coreProperties>
</file>

<file path=docProps/custom.xml><?xml version="1.0" encoding="utf-8"?>
<Properties xmlns="http://schemas.openxmlformats.org/officeDocument/2006/custom-properties" xmlns:vt="http://schemas.openxmlformats.org/officeDocument/2006/docPropsVTypes"/>
</file>