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3EEEE">
      <w:pPr>
        <w:spacing w:after="240"/>
        <w:jc w:val="center"/>
      </w:pPr>
      <w:r>
        <w:rPr>
          <w:rFonts w:ascii="Times New Roman" w:hAnsi="Times New Roman" w:eastAsia="黑体"/>
          <w:b/>
          <w:sz w:val="32"/>
        </w:rPr>
        <w:t>UAVPlatform无人机作业平台</w:t>
      </w:r>
      <w:r>
        <w:rPr>
          <w:rFonts w:ascii="Times New Roman" w:hAnsi="Times New Roman" w:eastAsia="黑体"/>
          <w:b/>
          <w:sz w:val="32"/>
        </w:rPr>
        <w:br w:type="textWrapping"/>
      </w:r>
      <w:r>
        <w:rPr>
          <w:rFonts w:ascii="Times New Roman" w:hAnsi="Times New Roman" w:eastAsia="黑体"/>
          <w:b/>
          <w:sz w:val="32"/>
        </w:rPr>
        <w:t>AI 人机协同开发实施过程总结</w:t>
      </w:r>
    </w:p>
    <w:p w14:paraId="1BB13BCD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一、项目概述</w:t>
      </w:r>
    </w:p>
    <w:p w14:paraId="29B08D53">
      <w:pPr>
        <w:spacing w:line="312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UAVPlatform是一套面向固定场地、单一作业主体的无人机云端作业平台，与私有化部署的 DJI </w:t>
      </w: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上云</w:t>
      </w:r>
      <w:r>
        <w:rPr>
          <w:rFonts w:ascii="Times New Roman" w:hAnsi="Times New Roman" w:eastAsia="宋体"/>
          <w:b w:val="0"/>
          <w:sz w:val="24"/>
        </w:rPr>
        <w:t xml:space="preserve"> 2（FlightHub 2 PaaS，192.168.76.141）深度集成：航线编辑、设备管理、驾驶舱直播与飞行回放复用司空前端组件 paas.js；任务下发、设备/航线镜像同步、限飞区推送与三维重建则通过 FlightHub Java SDK 与 REST 网关完成。平台功能覆盖数据看板、地图标注、空域安全、航线库、任务计划、媒体库与三维重建、人员权限与设备管理等模块。项目由 1 名研发协同 AI 实施约 4 周，完成后端 231 个 Java 文件（约 1.63 万行）、前端 60 个文件（约 1.33 万行）及 44 份设计与排障文档。</w:t>
      </w:r>
    </w:p>
    <w:p w14:paraId="6F4FC6E2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二、实施</w:t>
      </w:r>
      <w:r>
        <w:rPr>
          <w:rFonts w:hint="eastAsia" w:ascii="Times New Roman" w:hAnsi="Times New Roman" w:eastAsia="黑体"/>
          <w:b/>
          <w:sz w:val="28"/>
          <w:lang w:val="en-US" w:eastAsia="zh-CN"/>
        </w:rPr>
        <w:t>流程</w:t>
      </w:r>
      <w:r>
        <w:rPr>
          <w:rFonts w:ascii="Times New Roman" w:hAnsi="Times New Roman" w:eastAsia="黑体"/>
          <w:b/>
          <w:sz w:val="28"/>
        </w:rPr>
        <w:t>：以 tkxm-sop 驱动全流程流转</w:t>
      </w:r>
    </w:p>
    <w:p w14:paraId="0AE51565">
      <w:pPr>
        <w:spacing w:line="312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项目以自研的 tkxm-sop 研发 SOP 技能套件为总编排，实现从需求到测试的全流程流转：需求 → 产品（PRD/原型/用户计划）→ 设计（概要/数据库/详细/开发计划）→ 开发（编码/评审）→ 测试，共 5 个阶段、11 个流程节点，另配初始化与变更处理两个横切流程。整套 SOP 坚持三条原则：产物驱动而非记忆驱动——扫描 docs/ 目录已有产物即可推断当前所处阶段；门控推进——上游产物未经确认不进入下游；可跳步但须声明缺失与风险。人负责架构决策与验收拍板，AI 负责各环节文档起草与代码生成，产出统一落盘 docs/ 形成可回溯基线。</w:t>
      </w:r>
    </w:p>
    <w:p w14:paraId="3D2C43E6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三、所用工具与模型</w:t>
      </w:r>
    </w:p>
    <w:p w14:paraId="5A134039">
      <w:pPr>
        <w:spacing w:line="312" w:lineRule="auto"/>
      </w:pPr>
      <w:r>
        <w:rPr>
          <w:rFonts w:ascii="Times New Roman" w:hAnsi="Times New Roman" w:eastAsia="宋体"/>
          <w:b w:val="0"/>
          <w:sz w:val="24"/>
        </w:rPr>
        <w:t>（1）AI IDE：Qoder 作为研发主界面，提供仓库级语义检索、代码智能（跳转/引用分析）、Agent 自主执行与规则记忆机制；复杂任务先经计划模式产出实施方案、由代码评审子代理复核改动质量，使产出自动对齐团队规范。</w:t>
      </w:r>
    </w:p>
    <w:p w14:paraId="288639B8">
      <w:pPr>
        <w:spacing w:line="312" w:lineRule="auto"/>
      </w:pPr>
      <w:r>
        <w:rPr>
          <w:rFonts w:ascii="Times New Roman" w:hAnsi="Times New Roman" w:eastAsia="宋体"/>
          <w:b w:val="0"/>
          <w:sz w:val="24"/>
        </w:rPr>
        <w:t>（2）模型层：采用 GLM-5.2（智谱）国产合规组合，中文理解与代码生成能力强，国内网络直连稳定；涉密场景可退回 Ollama 承载的私有化开源模型，保证数据不出境。</w:t>
      </w:r>
    </w:p>
    <w:p w14:paraId="4CEF2D9C">
      <w:pPr>
        <w:spacing w:line="312" w:lineRule="auto"/>
      </w:pPr>
      <w:r>
        <w:rPr>
          <w:rFonts w:ascii="Times New Roman" w:hAnsi="Times New Roman" w:eastAsia="宋体"/>
          <w:b w:val="0"/>
          <w:sz w:val="24"/>
        </w:rPr>
        <w:t>（3）MCP 工具：部署 FlightHub MCP Server（fh_* 工具集），Agent 可直接查询设备列表、上传并执行航线、下发飞控指令、获取遥测数据，实现“对话即运维”。</w:t>
      </w:r>
    </w:p>
    <w:p w14:paraId="2B30B4DB">
      <w:pPr>
        <w:spacing w:line="312" w:lineRule="auto"/>
      </w:pPr>
      <w:r>
        <w:rPr>
          <w:rFonts w:ascii="Times New Roman" w:hAnsi="Times New Roman" w:eastAsia="宋体"/>
          <w:b w:val="0"/>
          <w:sz w:val="24"/>
        </w:rPr>
        <w:t>（4）工程工具链：后端 JDK 21 + Maven + Spring Boot 3.3 + MyBatis Plus + MySQL 8；前端 Node 18 + Vite + Vue3 + Element Plus；WSL 承载后端运行环境，配套 87 个诊断排障脚本。</w:t>
      </w:r>
    </w:p>
    <w:p w14:paraId="234929F3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四、两层 Agent Skill 体系</w:t>
      </w:r>
    </w:p>
    <w:p w14:paraId="0624A0A7">
      <w:pPr>
        <w:spacing w:line="312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全流程层——tkxm-sop 套件（13 个 skill）：tkxm-init 一键安装套件并搭建 docs/ 产物目录骨架；01～08 号流程依次产出需求说明书、PRD、原型图、用户计划、概要设计（DDD 方法论）、数据库设计、详细设计（TDD/SDD）与开发计划；09 编码并同步单测、10 代码审查、11 生成测试计划/用例/冒烟方案。</w:t>
      </w:r>
    </w:p>
    <w:p w14:paraId="13536C68">
      <w:pPr>
        <w:spacing w:line="312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领域层——cloudapi2 系列：sdk-core（FlightHub Java SDK 集成规范：初始化、飞控权限、HMS、任务下发）、frontend-component（paas.js 七大前端组件接入指南）、mcp-guide（fh_* 工具选择与编排）、troubleshooting（四阶段 RCA 与错误码字典）等，为司空集成提供专业领域知识。</w:t>
      </w:r>
    </w:p>
    <w:p w14:paraId="4141F048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五、实施步骤：从需求到编码</w:t>
      </w:r>
    </w:p>
    <w:p w14:paraId="1D929A26">
      <w:pPr>
        <w:spacing w:line="312" w:lineRule="auto"/>
      </w:pPr>
      <w:r>
        <w:rPr>
          <w:rFonts w:ascii="Times New Roman" w:hAnsi="Times New Roman" w:eastAsia="宋体"/>
          <w:b w:val="0"/>
          <w:sz w:val="24"/>
        </w:rPr>
        <w:t>1. 套件初始化：tkxm-init 将 13 个 skill 安装到工作区并校验完整性，创建 docs/01-requirements～05-test 产物目录骨架，输出五阶段流程总览与起步入口。</w:t>
      </w:r>
    </w:p>
    <w:p w14:paraId="796E550A">
      <w:pPr>
        <w:spacing w:line="312" w:lineRule="auto"/>
      </w:pPr>
      <w:r>
        <w:rPr>
          <w:rFonts w:ascii="Times New Roman" w:hAnsi="Times New Roman" w:eastAsia="宋体"/>
          <w:b w:val="0"/>
          <w:sz w:val="24"/>
        </w:rPr>
        <w:t>2. 需求阶段：以司空 2 界面截图与业务对话为输入，tkxm-requirement 通过头脑风暴梳理并聚焦核心功能点，产出需求说明书（如三维重建专项需求）落盘 docs/01-requirements/。</w:t>
      </w:r>
    </w:p>
    <w:p w14:paraId="0EE2FA46">
      <w:pPr>
        <w:spacing w:line="312" w:lineRule="auto"/>
      </w:pPr>
      <w:r>
        <w:rPr>
          <w:rFonts w:ascii="Times New Roman" w:hAnsi="Times New Roman" w:eastAsia="宋体"/>
          <w:b w:val="0"/>
          <w:sz w:val="24"/>
        </w:rPr>
        <w:t>3. 产品阶段：tkxm-prd 生成 PRD 并经确认门控迭代至 V1.0 定稿，确立“单作业空间、不做多项目”的裁剪原则与 P0/P1/P2 优先级；tkxm-prototype 按约定的 Element Plus 深色主题产出高保真可点选原型；tkxm-userplan 与需求方沟通确定功能点迭代顺序。</w:t>
      </w:r>
    </w:p>
    <w:p w14:paraId="714E9BDB">
      <w:pPr>
        <w:spacing w:line="312" w:lineRule="auto"/>
      </w:pPr>
      <w:r>
        <w:rPr>
          <w:rFonts w:ascii="Times New Roman" w:hAnsi="Times New Roman" w:eastAsia="宋体"/>
          <w:b w:val="0"/>
          <w:sz w:val="24"/>
        </w:rPr>
        <w:t>4. 设计阶段：tkxm-preliminary 以 DDD 方法产出概要设计（模块化单体、11 个限界上下文分包）与全套 ER 图；tkxm-database 产出数据库设计与建表语句（ddl-v1.0.sql 及司空增量 ddl-fh2-v1.1.sql）；tkxm-detail 分模块产出详细设计；tkxm-devplan 制定开发计划，将功能点统一编号为 U-001～U-091 并按依赖关系划分波次。关键架构决策由人拍板。</w:t>
      </w:r>
    </w:p>
    <w:p w14:paraId="55D44B7E">
      <w:pPr>
        <w:spacing w:line="312" w:lineRule="auto"/>
      </w:pPr>
      <w:r>
        <w:rPr>
          <w:rFonts w:ascii="Times New Roman" w:hAnsi="Times New Roman" w:eastAsia="宋体"/>
          <w:b w:val="0"/>
          <w:sz w:val="24"/>
        </w:rPr>
        <w:t>5. 开发阶段：先经骨架部署打通司空鉴权（user_id/JWT）、EMQX、Webhook 等环境配置；随后 tkxm-coding 按开发计划波次推进——后端遵循阿里巴巴 Java 开发手册，按 iam/device/map/safety/wayline/mission/media/fh2 分层分包，以反射方式适配 FlightHub SDK 完成设备、航线同步与任务下发，SQL 遵循腾讯开发规范；前端接入 WaylineEditor 航线编辑器、设备管理、驾驶舱等 paas.js 组件，由 cloudapi2 系列 skill 提供接入规范。每个功能点完成即编写单元测试，核心逻辑覆盖率不低于 80%。</w:t>
      </w:r>
      <w:bookmarkStart w:id="0" w:name="_GoBack"/>
      <w:bookmarkEnd w:id="0"/>
    </w:p>
    <w:p w14:paraId="60F09EA6">
      <w:pPr>
        <w:spacing w:before="200" w:after="120"/>
      </w:pPr>
      <w:r>
        <w:rPr>
          <w:rFonts w:ascii="Times New Roman" w:hAnsi="Times New Roman" w:eastAsia="黑体"/>
          <w:b/>
          <w:sz w:val="28"/>
        </w:rPr>
        <w:t>六、成效与小结</w:t>
      </w:r>
    </w:p>
    <w:p w14:paraId="782EAC9A">
      <w:pPr>
        <w:spacing w:line="312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4 周内 1 人完成全平台</w:t>
      </w: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开发</w:t>
      </w:r>
      <w:r>
        <w:rPr>
          <w:rFonts w:ascii="Times New Roman" w:hAnsi="Times New Roman" w:eastAsia="宋体"/>
          <w:b w:val="0"/>
          <w:sz w:val="24"/>
        </w:rPr>
        <w:t>，样板代码工时趋近于零；文档随代码同步演进，从负担变为资产；踩坑经验沉淀为知识库与 Skill。自研 tkxm-sop 把研发流程固化为 Agent 可执行的技能，实现“流程即代码”，</w:t>
      </w: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个别问题</w:t>
      </w:r>
      <w:r>
        <w:rPr>
          <w:rFonts w:ascii="Times New Roman" w:hAnsi="Times New Roman" w:eastAsia="宋体"/>
          <w:b w:val="0"/>
          <w:sz w:val="24"/>
        </w:rPr>
        <w:t>依赖个人经验</w:t>
      </w: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解决</w:t>
      </w:r>
      <w:r>
        <w:rPr>
          <w:rFonts w:ascii="Times New Roman" w:hAnsi="Times New Roman" w:eastAsia="宋体"/>
          <w:b w:val="0"/>
          <w:sz w:val="24"/>
        </w:rPr>
        <w:t>。实践心得：输入决定输出，需求与边界描述越清晰、产出越准；架构与安全决策必须由人拍板；编译、测试、人工评审三道关是控制 AI 幻觉、保障质量的关键。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F12517"/>
    <w:rsid w:val="1C085ACC"/>
    <w:rsid w:val="1D8D1157"/>
    <w:rsid w:val="36CB259C"/>
    <w:rsid w:val="51B8146F"/>
    <w:rsid w:val="55E91072"/>
    <w:rsid w:val="5F164754"/>
    <w:rsid w:val="61EA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1928</Words>
  <Characters>2688</Characters>
  <Lines>0</Lines>
  <Paragraphs>0</Paragraphs>
  <TotalTime>33</TotalTime>
  <ScaleCrop>false</ScaleCrop>
  <LinksUpToDate>false</LinksUpToDate>
  <CharactersWithSpaces>2887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孟</cp:lastModifiedBy>
  <dcterms:modified xsi:type="dcterms:W3CDTF">2026-09-17T06:53:50Z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eyJoZGlkIjoiNTk3ZGIxZmVlOGYwNDE3NjgzMWI1Mzc3N2M0YTY3YjciLCJ1c2VySWQiOiI0NjcwMjU2NDYifQ==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A43E34830B5B4A5FA16576AAB2862E91_12</vt:lpwstr>
  </property>
</Properties>
</file>