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E7DE8">
      <w:pPr>
        <w:spacing w:after="200"/>
        <w:jc w:val="center"/>
      </w:pPr>
      <w:r>
        <w:rPr>
          <w:rFonts w:ascii="黑体" w:hAnsi="黑体" w:eastAsia="黑体"/>
          <w:b/>
          <w:sz w:val="36"/>
        </w:rPr>
        <w:t>关于推行“AI人机协同”开发流程的建议</w:t>
      </w:r>
    </w:p>
    <w:p w14:paraId="2D37FA74">
      <w:pPr>
        <w:spacing w:after="320"/>
        <w:jc w:val="center"/>
      </w:pPr>
      <w:r>
        <w:rPr>
          <w:rFonts w:ascii="楷体" w:hAnsi="楷体" w:eastAsia="楷体"/>
          <w:b w:val="0"/>
          <w:sz w:val="26"/>
        </w:rPr>
        <w:t>——基于无人机管控平台传统开发与AI驱动开发的实证对比</w:t>
      </w:r>
    </w:p>
    <w:p w14:paraId="0184381E">
      <w:pPr>
        <w:spacing w:before="240" w:after="120"/>
      </w:pPr>
      <w:r>
        <w:rPr>
          <w:rFonts w:ascii="黑体" w:hAnsi="黑体" w:eastAsia="黑体"/>
          <w:b/>
          <w:sz w:val="30"/>
        </w:rPr>
        <w:t>一、现状描述</w:t>
      </w:r>
    </w:p>
    <w:p w14:paraId="4FFEE837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部门无人机管控平台（universal 0.5）采用传统编码模式建设。git提交记录显示：项目自2025年2月启动，至2026年7月方基本成型，历时17个月、9名研发人员接力投入、累计代码提交1904次，最终交付约1200个代码文件、9.5万行代码。复盘整个过程，存在四类突出问题：</w:t>
      </w:r>
    </w:p>
    <w:p w14:paraId="39B69B22"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1．人力投入大、建设周期长。</w:t>
      </w:r>
    </w:p>
    <w:p w14:paraId="3804ADF9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9.5万行代码折合人均月产出仅约600行，9人×17个月的人力投入使项目成本高企，需求变更响应迟缓，多个功能排期以季度计。</w:t>
      </w:r>
    </w:p>
    <w:p w14:paraId="396A55E8"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2．样板代码挤占设计时间。</w:t>
      </w:r>
    </w:p>
    <w:p w14:paraId="586EF5DE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表单页面、接口对接、状态管理等重复性编码约占工作量六成，研发精力被“搬运代码”大量消耗，架构打磨与自测时间被压缩。</w:t>
      </w:r>
    </w:p>
    <w:p w14:paraId="2DD930AB"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3．排障依赖人工试错。</w:t>
      </w:r>
    </w:p>
    <w:p w14:paraId="50BDCA59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设备联调期间同类问题需多轮盲改验证，单个问题平均1～3天才能闭环，且高度依赖个别“熟手”。</w:t>
      </w:r>
    </w:p>
    <w:p w14:paraId="152A5B85"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4．知识沉淀在个人头脑。</w:t>
      </w:r>
    </w:p>
    <w:p w14:paraId="0502C354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踩坑经验以口口相传为主，人员一旦流动即面临断档，同类问题反复重踩。</w:t>
      </w:r>
    </w:p>
    <w:p w14:paraId="399A9B10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作为对照，2026年7月底起我们以“AI编程助手为主、人工审核为辅”的新模式启动新一代无人机航测平台（UAVPlatform）：1名研发协同AI历时约4周，即完成后端231个Java文件（1.63万行）、前端60个文件（1.33万行）及44份设计与排障文档，覆盖架构设计、前后端编码、联调、排障全流程。git记录与代码统计表明，两种模式的研发效率差距达一个数量级，流程转型条件已经成熟。</w:t>
      </w:r>
    </w:p>
    <w:p w14:paraId="291C2E65">
      <w:pPr>
        <w:spacing w:before="240" w:after="120"/>
      </w:pPr>
      <w:r>
        <w:rPr>
          <w:rFonts w:ascii="黑体" w:hAnsi="黑体" w:eastAsia="黑体"/>
          <w:b/>
          <w:sz w:val="30"/>
        </w:rPr>
        <w:t>二、建议内容</w:t>
      </w:r>
    </w:p>
    <w:p w14:paraId="33B77D17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建议将“AI人机协同”升级为部门标准开发流程，分三步实施：</w:t>
      </w:r>
    </w:p>
    <w:p w14:paraId="7B0A3998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步（第1～2周）工具落地。为研发人员统一配备具备语义检索、跨文件重构、Agent自主执行与验证能力的AI编程助手；每个在建项目建立AI工作区，导入代码仓库与接口文档；发布操作规程，明确三条红线——AI代码必须经编译、测试与人工评审后方可合入，AI产出的任务结论必须落库到本地工程文档，涉密代码严禁提交公有云模型。</w:t>
      </w:r>
    </w:p>
    <w:p w14:paraId="5C241C74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二步（第3～6周）知识赋能。将SDK文档、错误码字典、87个历史诊断脚本与44份技术文档结构化导入AI知识库；固化项目级“AI记忆”，使编码规范、架构分层、UI规范自动对齐团队标准；将排障固化为“复现→定位→修复→验证”四阶段技能，由AI自动生成验证脚本，取代人工逐版试错。</w:t>
      </w:r>
    </w:p>
    <w:p w14:paraId="1FA1F046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三步（第7周起）流程再造与度量。设计环节由AI产出架构图、接口与库表草案供评审修订；样板代码100%交由AI生成，人员聚焦业务逻辑与边界条件；测试用例随代码变更自动生成；文档随代码同步起草。建立需求交付周期、人均产出、缺陷密度、问题平均修复时长等指标看板，双周复盘迭代提示词与知识库，先在1～2个项目组试点一个月，形成量化对比案例后全面推广。</w:t>
      </w:r>
    </w:p>
    <w:p w14:paraId="21162040">
      <w:pPr>
        <w:spacing w:before="240" w:after="120"/>
      </w:pPr>
      <w:r>
        <w:rPr>
          <w:rFonts w:ascii="黑体" w:hAnsi="黑体" w:eastAsia="黑体"/>
          <w:b/>
          <w:sz w:val="30"/>
        </w:rPr>
        <w:t>三、可行性分析</w:t>
      </w:r>
    </w:p>
    <w:p w14:paraId="6C5D5AFE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技术上已充分实证：新一代平台的全流程均由AI协同完成，涵盖Spring Boot 3.3后端、Vue3前端、DJI SDK深度集成与三维重建任务链路等复杂场景；涉密场景可选用私有化开源模型完全离线运行，技术路线无障碍。</w:t>
      </w:r>
    </w:p>
    <w:p w14:paraId="2FF06AAE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投入成本很轻：按10人团队测算，AI助手订阅约1.8万元/年，培训与知识库整理约60人时由内部消化，首年合计直接投入约2～4万元，无需新增编制与硬件。主要风险及应对如下：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0EA0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2502C8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风险点</w:t>
            </w:r>
          </w:p>
        </w:tc>
        <w:tc>
          <w:tcPr>
            <w:tcW w:w="6520" w:type="dxa"/>
          </w:tcPr>
          <w:p w14:paraId="23F45B3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应对思路</w:t>
            </w:r>
          </w:p>
        </w:tc>
      </w:tr>
      <w:tr w14:paraId="3A52F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30756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代码泄密</w:t>
            </w:r>
          </w:p>
        </w:tc>
        <w:tc>
          <w:tcPr>
            <w:tcW w:w="6520" w:type="dxa"/>
          </w:tcPr>
          <w:p w14:paraId="5F6345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涉密项目强制使用私有化模型；外发内容先行脱敏；定期审计</w:t>
            </w:r>
          </w:p>
        </w:tc>
      </w:tr>
      <w:tr w14:paraId="7F32E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C89B8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AI幻觉引入缺陷</w:t>
            </w:r>
          </w:p>
        </w:tc>
        <w:tc>
          <w:tcPr>
            <w:tcW w:w="6520" w:type="dxa"/>
          </w:tcPr>
          <w:p w14:paraId="727F06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编译、测试、人工评审三重</w:t>
            </w:r>
            <w:r>
              <w:rPr>
                <w:rFonts w:hint="eastAsia" w:ascii="Times New Roman" w:hAnsi="Times New Roman" w:eastAsia="宋体"/>
                <w:b w:val="0"/>
                <w:sz w:val="22"/>
                <w:lang w:val="en-US" w:eastAsia="zh-CN"/>
              </w:rPr>
              <w:t>审核</w:t>
            </w:r>
            <w:r>
              <w:rPr>
                <w:rFonts w:ascii="Times New Roman" w:hAnsi="Times New Roman" w:eastAsia="宋体"/>
                <w:b w:val="0"/>
                <w:sz w:val="22"/>
              </w:rPr>
              <w:t>；关键模块以人工为主</w:t>
            </w:r>
          </w:p>
        </w:tc>
      </w:tr>
      <w:tr w14:paraId="00D0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20265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过度依赖</w:t>
            </w:r>
          </w:p>
        </w:tc>
        <w:tc>
          <w:tcPr>
            <w:tcW w:w="6520" w:type="dxa"/>
          </w:tcPr>
          <w:p w14:paraId="1276CF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保留编码基本功训练；核心算法坚持人工主导设计</w:t>
            </w:r>
          </w:p>
        </w:tc>
      </w:tr>
    </w:tbl>
    <w:p w14:paraId="626D4E5D"/>
    <w:p w14:paraId="7654C15D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组织上不改变现有项目管理与交付流程，属工具与作业方式升级，实施阻力小、整体风险可控。</w:t>
      </w:r>
    </w:p>
    <w:p w14:paraId="1CE42FAA">
      <w:pPr>
        <w:spacing w:before="240" w:after="120"/>
      </w:pPr>
      <w:r>
        <w:rPr>
          <w:rFonts w:ascii="黑体" w:hAnsi="黑体" w:eastAsia="黑体"/>
          <w:b/>
          <w:sz w:val="30"/>
        </w:rPr>
        <w:t>四、预期效益</w:t>
      </w:r>
    </w:p>
    <w:p w14:paraId="5F624468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两个平台的实测关键指标对比如下：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231"/>
        <w:gridCol w:w="3231"/>
      </w:tblGrid>
      <w:tr w14:paraId="0EEB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ECDC6E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对比维度</w:t>
            </w:r>
          </w:p>
        </w:tc>
        <w:tc>
          <w:tcPr>
            <w:tcW w:w="3231" w:type="dxa"/>
          </w:tcPr>
          <w:p w14:paraId="7647325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传统模式（管控平台实测）</w:t>
            </w:r>
          </w:p>
        </w:tc>
        <w:tc>
          <w:tcPr>
            <w:tcW w:w="3231" w:type="dxa"/>
          </w:tcPr>
          <w:p w14:paraId="12F38D1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AI协同模式（新平台实测）</w:t>
            </w:r>
          </w:p>
        </w:tc>
      </w:tr>
      <w:tr w14:paraId="64D7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E8D0A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投入人力</w:t>
            </w:r>
          </w:p>
        </w:tc>
        <w:tc>
          <w:tcPr>
            <w:tcW w:w="3231" w:type="dxa"/>
          </w:tcPr>
          <w:p w14:paraId="0FA5AD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9名研发接力</w:t>
            </w:r>
          </w:p>
        </w:tc>
        <w:tc>
          <w:tcPr>
            <w:tcW w:w="3231" w:type="dxa"/>
          </w:tcPr>
          <w:p w14:paraId="21E674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1名研发＋AI</w:t>
            </w:r>
          </w:p>
        </w:tc>
      </w:tr>
      <w:tr w14:paraId="49818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289E7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建设周期</w:t>
            </w:r>
          </w:p>
        </w:tc>
        <w:tc>
          <w:tcPr>
            <w:tcW w:w="3231" w:type="dxa"/>
          </w:tcPr>
          <w:p w14:paraId="2FCD8C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17个月（1904次提交）</w:t>
            </w:r>
          </w:p>
        </w:tc>
        <w:tc>
          <w:tcPr>
            <w:tcW w:w="3231" w:type="dxa"/>
          </w:tcPr>
          <w:p w14:paraId="196351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约4周</w:t>
            </w:r>
          </w:p>
        </w:tc>
      </w:tr>
      <w:tr w14:paraId="7F3B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EC3C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人均月代码产出</w:t>
            </w:r>
          </w:p>
        </w:tc>
        <w:tc>
          <w:tcPr>
            <w:tcW w:w="3231" w:type="dxa"/>
          </w:tcPr>
          <w:p w14:paraId="4F5712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约600行</w:t>
            </w:r>
          </w:p>
        </w:tc>
        <w:tc>
          <w:tcPr>
            <w:tcW w:w="3231" w:type="dxa"/>
          </w:tcPr>
          <w:p w14:paraId="35BAC3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约3万行（并同步44份文档）</w:t>
            </w:r>
          </w:p>
        </w:tc>
      </w:tr>
      <w:tr w14:paraId="7A768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C8E81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文档沉淀</w:t>
            </w:r>
          </w:p>
        </w:tc>
        <w:tc>
          <w:tcPr>
            <w:tcW w:w="3231" w:type="dxa"/>
          </w:tcPr>
          <w:p w14:paraId="1E7178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零散、滞后</w:t>
            </w:r>
          </w:p>
        </w:tc>
        <w:tc>
          <w:tcPr>
            <w:tcW w:w="3231" w:type="dxa"/>
          </w:tcPr>
          <w:p w14:paraId="4A375D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随代码同步生成</w:t>
            </w:r>
          </w:p>
        </w:tc>
      </w:tr>
    </w:tbl>
    <w:p w14:paraId="3270F14B"/>
    <w:p w14:paraId="1A36B858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经济效益：按10人团队、年人力成本约200万元测算，整体研发效率提升40%即相当于每年释放约80万元人力价值，扣除首年投入后投入产出比超过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4</w:t>
      </w:r>
      <w:r>
        <w:rPr>
          <w:rFonts w:ascii="Times New Roman" w:hAnsi="Times New Roman" w:eastAsia="宋体"/>
          <w:b w:val="0"/>
          <w:sz w:val="24"/>
        </w:rPr>
        <w:t>:1；交付周期大幅缩短还可提升并行承接项目的能力，直接增加合同营收。</w:t>
      </w:r>
    </w:p>
    <w:p w14:paraId="1E5EB87F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效率与质量：样板代码工时趋近于零，测试覆盖左移至编码阶段，线上问题闭环由1～3天缩短至0.5天以内，交付物完整度与规范性同步提高。</w:t>
      </w:r>
    </w:p>
    <w:p w14:paraId="45E74D61"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组织能力：历史踩坑经验沉淀为组织级知识库，新人上手周期由1～2个月缩短至1～2周，有效对冲人员流动风险；同时形成可对外展示的“AI驱动开发”方法论与实证案例，提升部门技术影响力，为承接更高复杂度项目奠定基础。</w:t>
      </w:r>
    </w:p>
    <w:p w14:paraId="6A238828">
      <w:pPr>
        <w:spacing w:before="400"/>
        <w:ind w:left="5760" w:leftChars="0" w:firstLine="720" w:firstLineChars="0"/>
        <w:rPr>
          <w:rFonts w:ascii="Times New Roman" w:hAnsi="Times New Roman" w:eastAsia="宋体"/>
          <w:b w:val="0"/>
          <w:sz w:val="24"/>
        </w:rPr>
      </w:pPr>
      <w:bookmarkStart w:id="0" w:name="_GoBack"/>
      <w:bookmarkEnd w:id="0"/>
    </w:p>
    <w:p w14:paraId="0931841D">
      <w:pPr>
        <w:spacing w:before="400"/>
        <w:ind w:left="5760" w:leftChars="0" w:firstLine="720" w:firstLineChars="0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建议人：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孟子文</w:t>
      </w:r>
    </w:p>
    <w:p w14:paraId="6BCE0039">
      <w:pPr>
        <w:ind w:left="5760" w:leftChars="0" w:firstLine="720" w:firstLineChars="0"/>
      </w:pPr>
      <w:r>
        <w:rPr>
          <w:rFonts w:ascii="Times New Roman" w:hAnsi="Times New Roman" w:eastAsia="宋体"/>
          <w:b w:val="0"/>
          <w:sz w:val="24"/>
        </w:rPr>
        <w:t>2026年8月27日</w:t>
      </w:r>
    </w:p>
    <w:sectPr>
      <w:pgSz w:w="12240" w:h="15840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9D7B02"/>
    <w:rsid w:val="1D950A24"/>
    <w:rsid w:val="1FF72672"/>
    <w:rsid w:val="278107AC"/>
    <w:rsid w:val="325425A3"/>
    <w:rsid w:val="42C02DCF"/>
    <w:rsid w:val="4E2B4904"/>
    <w:rsid w:val="638E68C6"/>
    <w:rsid w:val="7158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1770</Words>
  <Characters>1914</Characters>
  <Lines>0</Lines>
  <Paragraphs>0</Paragraphs>
  <TotalTime>76</TotalTime>
  <ScaleCrop>false</ScaleCrop>
  <LinksUpToDate>false</LinksUpToDate>
  <CharactersWithSpaces>1918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孟</cp:lastModifiedBy>
  <dcterms:modified xsi:type="dcterms:W3CDTF">2026-08-27T03:43:01Z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eyJoZGlkIjoiNTk3ZGIxZmVlOGYwNDE3NjgzMWI1Mzc3N2M0YTY3YjciLCJ1c2VySWQiOiI0NjcwMjU2NDYifQ==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9A2693EAD1B64049A5AC59A3FF02685E_12</vt:lpwstr>
  </property>
</Properties>
</file>