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0E4DB">
      <w:pPr>
        <w:pStyle w:val="20"/>
        <w:jc w:val="center"/>
        <w:rPr>
          <w:rFonts w:ascii="Times New Roman" w:hAnsi="Times New Roman" w:eastAsia="宋体" w:cs="Times New Roman"/>
          <w:sz w:val="44"/>
          <w:szCs w:val="44"/>
        </w:rPr>
      </w:pPr>
      <w:r>
        <w:rPr>
          <w:rFonts w:hint="eastAsia" w:ascii="Times New Roman" w:hAnsi="Times New Roman" w:eastAsia="宋体" w:cs="Times New Roman"/>
          <w:b/>
          <w:bCs/>
          <w:sz w:val="44"/>
          <w:szCs w:val="44"/>
          <w:lang w:val="en-US" w:eastAsia="zh-CN"/>
        </w:rPr>
        <w:t>上市公司</w:t>
      </w:r>
      <w:r>
        <w:rPr>
          <w:rFonts w:hint="eastAsia" w:ascii="Times New Roman" w:hAnsi="Times New Roman" w:eastAsia="宋体" w:cs="Times New Roman"/>
          <w:b/>
          <w:bCs/>
          <w:sz w:val="44"/>
          <w:szCs w:val="44"/>
        </w:rPr>
        <w:t>低空经济专利数据19</w:t>
      </w:r>
      <w:r>
        <w:rPr>
          <w:rFonts w:ascii="Times New Roman" w:hAnsi="Times New Roman" w:eastAsia="宋体" w:cs="Times New Roman"/>
          <w:b/>
          <w:bCs/>
          <w:sz w:val="44"/>
          <w:szCs w:val="44"/>
        </w:rPr>
        <w:t>85</w:t>
      </w:r>
      <w:r>
        <w:rPr>
          <w:rFonts w:hint="eastAsia" w:ascii="Times New Roman" w:hAnsi="Times New Roman" w:eastAsia="宋体" w:cs="Times New Roman"/>
          <w:b/>
          <w:bCs/>
          <w:sz w:val="44"/>
          <w:szCs w:val="44"/>
        </w:rPr>
        <w:t>—202</w:t>
      </w:r>
      <w:r>
        <w:rPr>
          <w:rFonts w:ascii="Times New Roman" w:hAnsi="Times New Roman" w:eastAsia="宋体" w:cs="Times New Roman"/>
          <w:b/>
          <w:bCs/>
          <w:sz w:val="44"/>
          <w:szCs w:val="44"/>
        </w:rPr>
        <w:t>5</w:t>
      </w:r>
    </w:p>
    <w:p w14:paraId="7968871D">
      <w:pPr>
        <w:pStyle w:val="3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一、数据简介</w:t>
      </w:r>
    </w:p>
    <w:p w14:paraId="5394223C">
      <w:pPr>
        <w:pStyle w:val="20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低空经济作为新质生产力的典型代表，是培育产业竞争新优势、打造经济增长新引擎的战略选择，其核心技术创新水平直接决定产业发展高度，而专利数据正是衡量技术创新活力与方向的核心载体。专利布局的密度与质量不仅反映企业核心竞争力，更折射出区域低空经济产业生态的完善程度，为政策制定、产业规划及企业战略决策提供关键依据。</w:t>
      </w:r>
    </w:p>
    <w:p w14:paraId="7750C056">
      <w:pPr>
        <w:pStyle w:val="20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本数据指标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为上市公司</w:t>
      </w:r>
      <w:r>
        <w:rPr>
          <w:rFonts w:hint="eastAsia" w:ascii="Times New Roman" w:hAnsi="Times New Roman" w:eastAsia="宋体" w:cs="Times New Roman"/>
          <w:sz w:val="24"/>
          <w:szCs w:val="24"/>
        </w:rPr>
        <w:t>级，数据来源于国家知识产权专利网，数据时间跨度为19</w:t>
      </w:r>
      <w:r>
        <w:rPr>
          <w:rFonts w:ascii="Times New Roman" w:hAnsi="Times New Roman" w:eastAsia="宋体" w:cs="Times New Roman"/>
          <w:sz w:val="24"/>
          <w:szCs w:val="24"/>
        </w:rPr>
        <w:t>85</w:t>
      </w:r>
      <w:r>
        <w:rPr>
          <w:rFonts w:hint="eastAsia" w:ascii="Times New Roman" w:hAnsi="Times New Roman" w:eastAsia="宋体" w:cs="Times New Roman"/>
          <w:sz w:val="24"/>
          <w:szCs w:val="24"/>
        </w:rPr>
        <w:t>—2025年，经过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低空经济关键词与专利的</w:t>
      </w:r>
      <w:r>
        <w:rPr>
          <w:rFonts w:hint="eastAsia" w:ascii="Times New Roman" w:hAnsi="Times New Roman" w:eastAsia="宋体" w:cs="Times New Roman"/>
          <w:sz w:val="24"/>
          <w:szCs w:val="24"/>
        </w:rPr>
        <w:t>标题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+</w:t>
      </w:r>
      <w:r>
        <w:rPr>
          <w:rFonts w:hint="eastAsia" w:ascii="Times New Roman" w:hAnsi="Times New Roman" w:eastAsia="宋体" w:cs="Times New Roman"/>
          <w:sz w:val="24"/>
          <w:szCs w:val="24"/>
        </w:rPr>
        <w:t>摘要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进行</w:t>
      </w:r>
      <w:r>
        <w:rPr>
          <w:rFonts w:hint="eastAsia" w:ascii="Times New Roman" w:hAnsi="Times New Roman" w:eastAsia="宋体" w:cs="Times New Roman"/>
          <w:sz w:val="24"/>
          <w:szCs w:val="24"/>
        </w:rPr>
        <w:t>匹配、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保留包含关键词的专利</w:t>
      </w:r>
      <w:r>
        <w:rPr>
          <w:rFonts w:hint="eastAsia" w:ascii="Times New Roman" w:hAnsi="Times New Roman" w:eastAsia="宋体" w:cs="Times New Roman"/>
          <w:sz w:val="24"/>
          <w:szCs w:val="24"/>
        </w:rPr>
        <w:t>，最终形成包含</w:t>
      </w:r>
      <w:r>
        <w:rPr>
          <w:rFonts w:ascii="Times New Roman" w:hAnsi="Times New Roman" w:eastAsia="宋体" w:cs="Times New Roman"/>
          <w:sz w:val="24"/>
          <w:szCs w:val="24"/>
        </w:rPr>
        <w:t>14375</w:t>
      </w:r>
      <w:r>
        <w:rPr>
          <w:rFonts w:hint="eastAsia" w:ascii="Times New Roman" w:hAnsi="Times New Roman" w:eastAsia="宋体" w:cs="Times New Roman"/>
          <w:sz w:val="24"/>
          <w:szCs w:val="24"/>
        </w:rPr>
        <w:t>条专利信息的综合数据集。</w:t>
      </w:r>
      <w:bookmarkStart w:id="0" w:name="_GoBack"/>
      <w:bookmarkEnd w:id="0"/>
    </w:p>
    <w:p w14:paraId="00C467B6">
      <w:pPr>
        <w:pStyle w:val="20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低空经济专利关键词 = [</w:t>
      </w:r>
    </w:p>
    <w:p w14:paraId="4C7CC433">
      <w:pPr>
        <w:pStyle w:val="20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"螺旋桨", "精准定位", "发射装置", "陀螺仪", "航空发动机", "直升机", </w:t>
      </w:r>
    </w:p>
    <w:p w14:paraId="16060656">
      <w:pPr>
        <w:pStyle w:val="20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"自动控制系统", "起落架", "雷达系统", "传感器系统", "无人飞行器", "智能调度", </w:t>
      </w:r>
    </w:p>
    <w:p w14:paraId="7255771B">
      <w:pPr>
        <w:pStyle w:val="20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"遥感技术", "固定翼无人机", "惯性导航系统", "飞艇", "喷洒系统", "飞行汽车", </w:t>
      </w:r>
    </w:p>
    <w:p w14:paraId="17434738">
      <w:pPr>
        <w:pStyle w:val="20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"自主避障", "通用航空", "无人潜航器", "无人机设计", "民用航空器", "eVTOL", </w:t>
      </w:r>
    </w:p>
    <w:p w14:paraId="5EFFF7E9">
      <w:pPr>
        <w:pStyle w:val="20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"图像处理与识别", "无人机管控", "空管系统", "电动垂直起降飞行器", "飞行摩托", </w:t>
      </w:r>
    </w:p>
    <w:p w14:paraId="701734FE">
      <w:pPr>
        <w:pStyle w:val="20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"移动机场", "维修基地", "通用机场", "无人机拦截系统", "飞行服务站", </w:t>
      </w:r>
    </w:p>
    <w:p w14:paraId="45BC9FD0">
      <w:pPr>
        <w:pStyle w:val="20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"旋翼货运无人机", "地面保障设施", "无人动力伞", "低空感知", "空域管控系统"</w:t>
      </w:r>
    </w:p>
    <w:p w14:paraId="449884A9">
      <w:pPr>
        <w:pStyle w:val="20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]</w:t>
      </w:r>
    </w:p>
    <w:p w14:paraId="75888D58">
      <w:pPr>
        <w:pStyle w:val="3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二、数据格式</w:t>
      </w:r>
    </w:p>
    <w:p w14:paraId="12A36BDF">
      <w:pPr>
        <w:pStyle w:val="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excel</w:t>
      </w:r>
    </w:p>
    <w:p w14:paraId="743E52CC">
      <w:pPr>
        <w:pStyle w:val="3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三、数据指标</w:t>
      </w:r>
    </w:p>
    <w:tbl>
      <w:tblPr>
        <w:tblW w:w="923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0"/>
        <w:gridCol w:w="1744"/>
        <w:gridCol w:w="2328"/>
        <w:gridCol w:w="2328"/>
        <w:gridCol w:w="1675"/>
      </w:tblGrid>
      <w:tr w14:paraId="4A596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0" w:type="dxa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2F75B5" w:fill="2F75B5"/>
            <w:noWrap/>
            <w:vAlign w:val="center"/>
          </w:tcPr>
          <w:p w14:paraId="48B2A3E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申请人</w:t>
            </w:r>
          </w:p>
        </w:tc>
        <w:tc>
          <w:tcPr>
            <w:tcW w:w="1744" w:type="dxa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2F75B5" w:fill="2F75B5"/>
            <w:noWrap/>
            <w:vAlign w:val="center"/>
          </w:tcPr>
          <w:p w14:paraId="064ED95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申请日</w:t>
            </w:r>
          </w:p>
        </w:tc>
        <w:tc>
          <w:tcPr>
            <w:tcW w:w="2328" w:type="dxa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2F75B5" w:fill="2F75B5"/>
            <w:noWrap/>
            <w:vAlign w:val="center"/>
          </w:tcPr>
          <w:p w14:paraId="47CCE35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公开（公告）号</w:t>
            </w:r>
          </w:p>
        </w:tc>
        <w:tc>
          <w:tcPr>
            <w:tcW w:w="2328" w:type="dxa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2F75B5" w:fill="2F75B5"/>
            <w:noWrap/>
            <w:vAlign w:val="center"/>
          </w:tcPr>
          <w:p w14:paraId="2234647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公开（公告）日</w:t>
            </w:r>
          </w:p>
        </w:tc>
        <w:tc>
          <w:tcPr>
            <w:tcW w:w="1675" w:type="dxa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2F75B5" w:fill="2F75B5"/>
            <w:noWrap/>
            <w:vAlign w:val="center"/>
          </w:tcPr>
          <w:p w14:paraId="59009AB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IPC主分类</w:t>
            </w:r>
          </w:p>
        </w:tc>
      </w:tr>
      <w:tr w14:paraId="785B8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0" w:type="dxa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2F75B5" w:fill="2F75B5"/>
            <w:noWrap/>
            <w:vAlign w:val="center"/>
          </w:tcPr>
          <w:p w14:paraId="47E8738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IPC</w:t>
            </w:r>
          </w:p>
        </w:tc>
        <w:tc>
          <w:tcPr>
            <w:tcW w:w="1744" w:type="dxa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2F75B5" w:fill="2F75B5"/>
            <w:noWrap/>
            <w:vAlign w:val="center"/>
          </w:tcPr>
          <w:p w14:paraId="539677E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标题与摘要</w:t>
            </w:r>
          </w:p>
        </w:tc>
        <w:tc>
          <w:tcPr>
            <w:tcW w:w="2328" w:type="dxa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2F75B5" w:fill="2F75B5"/>
            <w:noWrap/>
            <w:vAlign w:val="center"/>
          </w:tcPr>
          <w:p w14:paraId="4ADFE92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低空经济</w:t>
            </w:r>
          </w:p>
        </w:tc>
        <w:tc>
          <w:tcPr>
            <w:tcW w:w="2328" w:type="dxa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2F75B5" w:fill="2F75B5"/>
            <w:noWrap/>
            <w:vAlign w:val="center"/>
          </w:tcPr>
          <w:p w14:paraId="63077E3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年份</w:t>
            </w:r>
          </w:p>
        </w:tc>
        <w:tc>
          <w:tcPr>
            <w:tcW w:w="1675" w:type="dxa"/>
            <w:tcBorders>
              <w:top w:val="single" w:color="D4D4D4" w:sz="4" w:space="0"/>
              <w:left w:val="single" w:color="D4D4D4" w:sz="4" w:space="0"/>
              <w:bottom w:val="single" w:color="D4D4D4" w:sz="4" w:space="0"/>
              <w:right w:val="single" w:color="D4D4D4" w:sz="4" w:space="0"/>
            </w:tcBorders>
            <w:shd w:val="clear" w:color="2F75B5" w:fill="2F75B5"/>
            <w:noWrap/>
            <w:vAlign w:val="bottom"/>
          </w:tcPr>
          <w:p w14:paraId="58ECFC9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更多数据</w:t>
            </w:r>
          </w:p>
        </w:tc>
      </w:tr>
    </w:tbl>
    <w:p w14:paraId="20D6ADF8"/>
    <w:p w14:paraId="01CE5AA7">
      <w:pPr>
        <w:pStyle w:val="3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四、数据展示</w:t>
      </w:r>
    </w:p>
    <w:p w14:paraId="6A749061">
      <w:pPr>
        <w:pStyle w:val="20"/>
        <w:rPr>
          <w:rFonts w:ascii="Times New Roman" w:hAnsi="Times New Roman" w:eastAsia="宋体" w:cs="Times New Roman"/>
        </w:rPr>
      </w:pPr>
      <w:r>
        <w:drawing>
          <wp:inline distT="0" distB="0" distL="114300" distR="114300">
            <wp:extent cx="5728335" cy="3165475"/>
            <wp:effectExtent l="0" t="0" r="571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DC29C">
      <w:pPr>
        <w:pStyle w:val="3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六、选题方向</w:t>
      </w:r>
    </w:p>
    <w:p w14:paraId="1674E70B">
      <w:pPr>
        <w:pStyle w:val="20"/>
        <w:ind w:firstLine="42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选题1：多时点DID视角下低空开放试点政策的技术创新效应研究</w:t>
      </w:r>
    </w:p>
    <w:p w14:paraId="1DD03FD4">
      <w:pPr>
        <w:pStyle w:val="20"/>
        <w:ind w:firstLine="42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基于全国多批次低空开放试点城市的政策实施时间差，构建多时点双重差分模型，以专利申请量、授权量及高价值专利占比为核心指标，分析政策对低空经济技术创新的净效应。重点探究政策在不同区域（东部沿海与中西部）、不同企业规模下的异质性效果，识别政策激励的边际递减规律，为优化低空开放政策供给提供实证支撑。</w:t>
      </w:r>
    </w:p>
    <w:p w14:paraId="3F20FFA8">
      <w:pPr>
        <w:pStyle w:val="20"/>
        <w:ind w:firstLine="42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选题2：企业规模与创新质量的倒U型关系研究——以低空经济专利数据为证</w:t>
      </w:r>
    </w:p>
    <w:p w14:paraId="4B94BB9B">
      <w:pPr>
        <w:pStyle w:val="20"/>
        <w:ind w:firstLine="42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借鉴异质创新理论框架，以专利引用率、技术复杂度衡量创新质量，构建面板门槛模型，检验低空经济企业规模与创新质量的非线性关系。结合企业专利的内部创新（自我引用占比）与外部创新（跨企业引用占比）特征，揭示大中小企业在技术突破中的差异化优势，为完善“链主+链员”创新协同机制提供依据。</w:t>
      </w:r>
    </w:p>
    <w:p w14:paraId="7CA55E5A">
      <w:pPr>
        <w:pStyle w:val="20"/>
        <w:ind w:firstLine="42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选题3：空间溢出效应视角下低空经济专利的区域协同发展研究</w:t>
      </w:r>
    </w:p>
    <w:p w14:paraId="79A99555">
      <w:pPr>
        <w:pStyle w:val="20"/>
        <w:ind w:firstLine="42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基于1999—2025年省级低空经济专利数据，运用空间杜宾模型，测算专利技术的空间自相关性及溢出效应强度。重点分析京津冀、粤港澳大湾区等重点区域的技术辐射作用，识别制约区域协同创新的行政壁垒与要素瓶颈，为构建跨区域低空经济技术创新联盟提供空间布局建议。</w:t>
      </w:r>
    </w:p>
    <w:p w14:paraId="272639D4">
      <w:pPr>
        <w:pStyle w:val="20"/>
        <w:ind w:firstLine="42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选题4：政企协同对低空经济专利转化效率的影响机制分析</w:t>
      </w:r>
    </w:p>
    <w:p w14:paraId="14CF572A">
      <w:pPr>
        <w:pStyle w:val="20"/>
        <w:ind w:firstLine="42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聚焦“政策支持—资源集聚—协同创新—专利转化”传导链条，以政府补贴、产学研合作协议为调节变量，运用中介效应模型量化各环节作用强度。结合宿州等城市政企合作案例，揭示政府在搭建创新平台、完善基础设施中如何破解企业专利转化难题，为构建“政产学研金服用”融合生态提供机制性解释。</w:t>
      </w:r>
    </w:p>
    <w:p w14:paraId="19FCAE1B">
      <w:pPr>
        <w:pStyle w:val="20"/>
        <w:ind w:firstLine="42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选题5：专利与标准融合视角下低空经济核心技术攻关方向识别</w:t>
      </w:r>
    </w:p>
    <w:p w14:paraId="3DFA33EE">
      <w:pPr>
        <w:pStyle w:val="20"/>
        <w:ind w:firstLine="42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参考专利标准双导航方法，将低空经济专利数据与行业标准文本进行融合分析，通过关键词共现与聚类分析，识别eVTOL、低空感知、空域管控等领域的专利布局热点与标准空白区。构建技术攻关优先级评价体系，为企业高价值专利布局及政府产业扶持政策精准落地提供方向指引</w:t>
      </w:r>
      <w:r>
        <w:rPr>
          <w:rFonts w:ascii="Times New Roman" w:hAnsi="Times New Roman" w:eastAsia="宋体" w:cs="Times New Roman"/>
        </w:rPr>
        <w:t>。</w:t>
      </w:r>
    </w:p>
    <w:p w14:paraId="42A703CF">
      <w:pPr>
        <w:pStyle w:val="20"/>
        <w:rPr>
          <w:rFonts w:ascii="Times New Roman" w:hAnsi="Times New Roman" w:eastAsia="宋体" w:cs="Times New Roman"/>
        </w:rPr>
      </w:pPr>
    </w:p>
    <w:p w14:paraId="1C49E794">
      <w:pPr>
        <w:pStyle w:val="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数据引用格式</w:t>
      </w:r>
    </w:p>
    <w:p w14:paraId="5A45E843">
      <w:pPr>
        <w:pStyle w:val="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请您在任何基于“数据皮皮侠”数据库所产生的研究成果(含学术论文、公开发表的研究报告等)均包括以下表述或类似表述声明:</w:t>
      </w:r>
    </w:p>
    <w:p w14:paraId="46EC47D4">
      <w:pPr>
        <w:pStyle w:val="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本研究使用的数据来自CNPD数据库。</w:t>
      </w:r>
    </w:p>
    <w:p w14:paraId="718C62A9">
      <w:pPr>
        <w:pStyle w:val="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例如：文中使用的超级明星CEO相关数据来自CNPD数据库。</w:t>
      </w:r>
    </w:p>
    <w:p w14:paraId="0E37A379">
      <w:pPr>
        <w:pStyle w:val="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声明：本数据由数据皮皮侠团队整理，仅用于学术研究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713"/>
    <w:rsid w:val="00005CAE"/>
    <w:rsid w:val="0000712B"/>
    <w:rsid w:val="00046F82"/>
    <w:rsid w:val="000945C8"/>
    <w:rsid w:val="000A5F95"/>
    <w:rsid w:val="001048D8"/>
    <w:rsid w:val="0018681D"/>
    <w:rsid w:val="001B71C6"/>
    <w:rsid w:val="001D4115"/>
    <w:rsid w:val="002316B0"/>
    <w:rsid w:val="0028162B"/>
    <w:rsid w:val="0029580A"/>
    <w:rsid w:val="002A1639"/>
    <w:rsid w:val="002B3B1B"/>
    <w:rsid w:val="002E7C92"/>
    <w:rsid w:val="002F1CA7"/>
    <w:rsid w:val="004B4D51"/>
    <w:rsid w:val="004C5795"/>
    <w:rsid w:val="004D66B0"/>
    <w:rsid w:val="004E46C4"/>
    <w:rsid w:val="00572631"/>
    <w:rsid w:val="00575BF6"/>
    <w:rsid w:val="005C14EE"/>
    <w:rsid w:val="006121CF"/>
    <w:rsid w:val="00642147"/>
    <w:rsid w:val="006B3F43"/>
    <w:rsid w:val="007131D6"/>
    <w:rsid w:val="00784EA7"/>
    <w:rsid w:val="007D3713"/>
    <w:rsid w:val="007E276B"/>
    <w:rsid w:val="00841BA8"/>
    <w:rsid w:val="008C2FC8"/>
    <w:rsid w:val="00901A08"/>
    <w:rsid w:val="00940DA9"/>
    <w:rsid w:val="009A3DB8"/>
    <w:rsid w:val="009A494F"/>
    <w:rsid w:val="009E3F73"/>
    <w:rsid w:val="00AD0401"/>
    <w:rsid w:val="00AF0B0E"/>
    <w:rsid w:val="00B0577A"/>
    <w:rsid w:val="00B240BF"/>
    <w:rsid w:val="00B4664C"/>
    <w:rsid w:val="00BC207C"/>
    <w:rsid w:val="00BC7B9D"/>
    <w:rsid w:val="00C86012"/>
    <w:rsid w:val="00D82581"/>
    <w:rsid w:val="00DA56AC"/>
    <w:rsid w:val="00DD78BA"/>
    <w:rsid w:val="00E45AC1"/>
    <w:rsid w:val="00EB47A0"/>
    <w:rsid w:val="00EC5B7D"/>
    <w:rsid w:val="00F73D35"/>
    <w:rsid w:val="00FA2BC7"/>
    <w:rsid w:val="00FE0889"/>
    <w:rsid w:val="38E950C5"/>
    <w:rsid w:val="3ECA6D2C"/>
    <w:rsid w:val="707D3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Times New Roman" w:eastAsiaTheme="minorEastAsia"/>
      <w:lang w:val="en-US" w:eastAsia="zh-CN" w:bidi="ar-SA"/>
    </w:rPr>
  </w:style>
  <w:style w:type="paragraph" w:styleId="2">
    <w:name w:val="heading 1"/>
    <w:qFormat/>
    <w:uiPriority w:val="9"/>
    <w:pPr>
      <w:spacing w:before="380" w:after="140" w:line="288" w:lineRule="auto"/>
      <w:outlineLvl w:val="0"/>
    </w:pPr>
    <w:rPr>
      <w:rFonts w:ascii="Arial" w:hAnsi="Arial" w:eastAsia="等线" w:cs="Arial"/>
      <w:b/>
      <w:bCs/>
      <w:sz w:val="36"/>
      <w:szCs w:val="36"/>
      <w:lang w:val="en-US" w:eastAsia="zh-CN" w:bidi="ar-SA"/>
    </w:rPr>
  </w:style>
  <w:style w:type="paragraph" w:styleId="3">
    <w:name w:val="heading 2"/>
    <w:link w:val="24"/>
    <w:unhideWhenUsed/>
    <w:qFormat/>
    <w:uiPriority w:val="9"/>
    <w:pPr>
      <w:spacing w:before="320" w:after="120" w:line="288" w:lineRule="auto"/>
      <w:outlineLvl w:val="1"/>
    </w:pPr>
    <w:rPr>
      <w:rFonts w:ascii="Arial" w:hAnsi="Arial" w:eastAsia="等线" w:cs="Arial"/>
      <w:b/>
      <w:bCs/>
      <w:sz w:val="32"/>
      <w:szCs w:val="32"/>
      <w:lang w:val="en-US" w:eastAsia="zh-CN" w:bidi="ar-SA"/>
    </w:rPr>
  </w:style>
  <w:style w:type="paragraph" w:styleId="4">
    <w:name w:val="heading 3"/>
    <w:unhideWhenUsed/>
    <w:qFormat/>
    <w:uiPriority w:val="9"/>
    <w:pPr>
      <w:spacing w:before="300" w:after="120" w:line="288" w:lineRule="auto"/>
      <w:outlineLvl w:val="2"/>
    </w:pPr>
    <w:rPr>
      <w:rFonts w:ascii="Arial" w:hAnsi="Arial" w:eastAsia="等线" w:cs="Arial"/>
      <w:b/>
      <w:bCs/>
      <w:sz w:val="30"/>
      <w:szCs w:val="30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spacing w:before="260" w:after="120" w:line="288" w:lineRule="auto"/>
      <w:outlineLvl w:val="3"/>
    </w:pPr>
    <w:rPr>
      <w:rFonts w:ascii="Arial" w:hAnsi="Arial" w:eastAsia="等线" w:cs="Arial"/>
      <w:b/>
      <w:bCs/>
      <w:sz w:val="28"/>
      <w:szCs w:val="28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spacing w:before="240" w:after="120" w:line="288" w:lineRule="auto"/>
      <w:outlineLvl w:val="4"/>
    </w:pPr>
    <w:rPr>
      <w:rFonts w:ascii="Arial" w:hAnsi="Arial" w:eastAsia="等线" w:cs="Arial"/>
      <w:b/>
      <w:bCs/>
      <w:sz w:val="24"/>
      <w:szCs w:val="24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spacing w:before="240" w:after="120" w:line="288" w:lineRule="auto"/>
      <w:outlineLvl w:val="5"/>
    </w:pPr>
    <w:rPr>
      <w:rFonts w:ascii="Arial" w:hAnsi="Arial" w:eastAsia="等线" w:cs="Arial"/>
      <w:b/>
      <w:bCs/>
      <w:sz w:val="24"/>
      <w:szCs w:val="24"/>
      <w:lang w:val="en-US" w:eastAsia="zh-CN" w:bidi="ar-SA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2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link w:val="19"/>
    <w:semiHidden/>
    <w:unhideWhenUsed/>
    <w:uiPriority w:val="99"/>
    <w:rPr>
      <w:rFonts w:ascii="Times New Roman" w:hAnsi="Times New Roman" w:cs="Times New Roman" w:eastAsiaTheme="minorEastAsia"/>
      <w:lang w:val="en-US" w:eastAsia="zh-CN" w:bidi="ar-SA"/>
    </w:rPr>
  </w:style>
  <w:style w:type="paragraph" w:styleId="11">
    <w:name w:val="Title"/>
    <w:qFormat/>
    <w:uiPriority w:val="10"/>
    <w:pPr>
      <w:spacing w:before="480" w:after="480" w:line="288" w:lineRule="auto"/>
    </w:pPr>
    <w:rPr>
      <w:rFonts w:ascii="Arial" w:hAnsi="Arial" w:eastAsia="等线" w:cs="Arial"/>
      <w:b/>
      <w:bCs/>
      <w:sz w:val="52"/>
      <w:szCs w:val="52"/>
      <w:lang w:val="en-US" w:eastAsia="zh-CN" w:bidi="ar-SA"/>
    </w:rPr>
  </w:style>
  <w:style w:type="table" w:styleId="13">
    <w:name w:val="Table Grid"/>
    <w:basedOn w:val="1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customStyle="1" w:styleId="17">
    <w:name w:val="要点1"/>
    <w:qFormat/>
    <w:uiPriority w:val="0"/>
    <w:rPr>
      <w:rFonts w:ascii="Times New Roman" w:hAnsi="Times New Roman" w:cs="Times New Roman" w:eastAsiaTheme="minorEastAsia"/>
      <w:b/>
      <w:bCs/>
      <w:lang w:val="en-US" w:eastAsia="zh-CN" w:bidi="ar-SA"/>
    </w:rPr>
  </w:style>
  <w:style w:type="paragraph" w:styleId="18">
    <w:name w:val="List Paragraph"/>
    <w:qFormat/>
    <w:uiPriority w:val="0"/>
    <w:rPr>
      <w:rFonts w:ascii="Times New Roman" w:hAnsi="Times New Roman" w:cs="Times New Roman" w:eastAsiaTheme="minorEastAsia"/>
      <w:lang w:val="en-US" w:eastAsia="zh-CN" w:bidi="ar-SA"/>
    </w:rPr>
  </w:style>
  <w:style w:type="character" w:customStyle="1" w:styleId="19">
    <w:name w:val="脚注文本 字符"/>
    <w:link w:val="10"/>
    <w:semiHidden/>
    <w:unhideWhenUsed/>
    <w:uiPriority w:val="99"/>
    <w:rPr>
      <w:sz w:val="20"/>
      <w:szCs w:val="20"/>
    </w:rPr>
  </w:style>
  <w:style w:type="paragraph" w:customStyle="1" w:styleId="20">
    <w:name w:val="2"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paragraph" w:customStyle="1" w:styleId="21">
    <w:name w:val="1"/>
    <w:uiPriority w:val="0"/>
    <w:pPr>
      <w:spacing w:before="120" w:after="120" w:line="288" w:lineRule="auto"/>
    </w:pPr>
    <w:rPr>
      <w:rFonts w:ascii="Arial" w:hAnsi="Arial" w:eastAsia="等线" w:cs="Arial"/>
      <w:color w:val="8F959E"/>
      <w:sz w:val="22"/>
      <w:szCs w:val="22"/>
      <w:lang w:val="en-US" w:eastAsia="zh-CN" w:bidi="ar-SA"/>
    </w:rPr>
  </w:style>
  <w:style w:type="character" w:customStyle="1" w:styleId="22">
    <w:name w:val="页眉 字符"/>
    <w:basedOn w:val="14"/>
    <w:link w:val="9"/>
    <w:uiPriority w:val="99"/>
    <w:rPr>
      <w:sz w:val="18"/>
      <w:szCs w:val="18"/>
    </w:rPr>
  </w:style>
  <w:style w:type="character" w:customStyle="1" w:styleId="23">
    <w:name w:val="页脚 字符"/>
    <w:basedOn w:val="14"/>
    <w:link w:val="8"/>
    <w:uiPriority w:val="99"/>
    <w:rPr>
      <w:sz w:val="18"/>
      <w:szCs w:val="18"/>
    </w:rPr>
  </w:style>
  <w:style w:type="character" w:customStyle="1" w:styleId="24">
    <w:name w:val="标题 2 字符"/>
    <w:basedOn w:val="14"/>
    <w:link w:val="3"/>
    <w:uiPriority w:val="9"/>
    <w:rPr>
      <w:rFonts w:ascii="Arial" w:hAnsi="Arial" w:eastAsia="等线" w:cs="Arial"/>
      <w:b/>
      <w:bCs/>
      <w:sz w:val="32"/>
      <w:szCs w:val="32"/>
    </w:rPr>
  </w:style>
  <w:style w:type="character" w:customStyle="1" w:styleId="25">
    <w:name w:val="Unresolved Mention"/>
    <w:basedOn w:val="1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1293</Words>
  <Characters>1333</Characters>
  <Lines>9</Lines>
  <Paragraphs>2</Paragraphs>
  <TotalTime>3</TotalTime>
  <ScaleCrop>false</ScaleCrop>
  <LinksUpToDate>false</LinksUpToDate>
  <CharactersWithSpaces>1333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2025-11-12T02:59:00Z</dcterms:created>
  <dc:creator>Un-named</dc:creator>
  <cp:lastModifiedBy>皮皮侠004  领数据联系011</cp:lastModifiedBy>
  <dcterms:modified xsi:type="dcterms:W3CDTF">2025-12-18T06:53:21Z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eyJoZGlkIjoiMWVlNmEwNTliY2I3ZTM5MmQ1ZjQ5MTFlMjA2ODA0OTUiLCJ1c2VySWQiOiIxNDcwMTg4MzMwIn0=</vt:lpwstr>
  </property>
  <property fmtid="{D5CDD505-2E9C-101B-9397-08002B2CF9AE}" pid="3" name="KSOProductBuildVer">
    <vt:lpwstr>2052-12.1.0.24034</vt:lpwstr>
  </property>
  <property fmtid="{D5CDD505-2E9C-101B-9397-08002B2CF9AE}" pid="4" name="ICV">
    <vt:lpwstr>AD00C379ACF54D28905CC72305EEEE17_12</vt:lpwstr>
  </property>
</Properties>
</file>