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3191A" w14:textId="77777777" w:rsidR="00735A9E" w:rsidRDefault="00000000">
      <w:pPr>
        <w:spacing w:before="320" w:after="80"/>
        <w:ind w:firstLine="0"/>
        <w:rPr>
          <w:lang w:eastAsia="zh-CN"/>
        </w:rPr>
      </w:pPr>
      <w:r>
        <w:rPr>
          <w:b/>
          <w:color w:val="9B6A2F"/>
          <w:sz w:val="20"/>
          <w:lang w:eastAsia="zh-CN"/>
        </w:rPr>
        <w:t>章节导读</w:t>
      </w:r>
    </w:p>
    <w:p w14:paraId="6666F121" w14:textId="77777777" w:rsidR="00735A9E" w:rsidRDefault="00000000">
      <w:pPr>
        <w:pStyle w:val="1"/>
        <w:rPr>
          <w:lang w:eastAsia="zh-CN"/>
        </w:rPr>
      </w:pPr>
      <w:r>
        <w:rPr>
          <w:rFonts w:ascii="Times New Roman" w:eastAsia="仿宋" w:hAnsi="Times New Roman" w:cs="仿宋"/>
          <w:sz w:val="36"/>
          <w:lang w:eastAsia="zh-CN"/>
        </w:rPr>
        <w:t>第九章</w:t>
      </w:r>
      <w:r>
        <w:rPr>
          <w:rFonts w:ascii="Times New Roman" w:eastAsia="仿宋" w:hAnsi="Times New Roman" w:cs="仿宋"/>
          <w:sz w:val="36"/>
          <w:lang w:eastAsia="zh-CN"/>
        </w:rPr>
        <w:t xml:space="preserve"> </w:t>
      </w:r>
      <w:r>
        <w:rPr>
          <w:rFonts w:ascii="Times New Roman" w:eastAsia="仿宋" w:hAnsi="Times New Roman" w:cs="仿宋"/>
          <w:sz w:val="36"/>
          <w:lang w:eastAsia="zh-CN"/>
        </w:rPr>
        <w:t>财务预测</w:t>
      </w:r>
    </w:p>
    <w:p w14:paraId="163D7467" w14:textId="77777777" w:rsidR="00735A9E" w:rsidRDefault="00000000">
      <w:pPr>
        <w:pBdr>
          <w:bottom w:val="single" w:sz="8" w:space="6" w:color="D7DEE8"/>
        </w:pBdr>
        <w:spacing w:after="200"/>
        <w:ind w:firstLine="0"/>
        <w:rPr>
          <w:lang w:eastAsia="zh-CN"/>
        </w:rPr>
      </w:pPr>
      <w:r>
        <w:rPr>
          <w:b/>
          <w:color w:val="124E6B"/>
          <w:sz w:val="24"/>
          <w:lang w:eastAsia="zh-CN"/>
        </w:rPr>
        <w:t>用现金流约束扩张速度，用单位经济解释续费价值。</w:t>
      </w:r>
    </w:p>
    <w:p w14:paraId="0ABD9E58" w14:textId="06AC6208" w:rsidR="00D72645" w:rsidRPr="00D72645" w:rsidRDefault="00D72645" w:rsidP="00D72645">
      <w:pPr>
        <w:pStyle w:val="af7"/>
        <w:keepLines/>
        <w:spacing w:before="80" w:after="160"/>
        <w:jc w:val="both"/>
        <w:rPr>
          <w:rFonts w:hint="eastAsia"/>
          <w:b w:val="0"/>
          <w:bCs w:val="0"/>
          <w:color w:val="1F2937"/>
          <w:sz w:val="22"/>
          <w:szCs w:val="22"/>
          <w:lang w:eastAsia="zh-CN"/>
        </w:rPr>
      </w:pPr>
      <w:r w:rsidRPr="00D72645">
        <w:rPr>
          <w:rFonts w:hint="eastAsia"/>
          <w:b w:val="0"/>
          <w:bCs w:val="0"/>
          <w:color w:val="1F2937"/>
          <w:sz w:val="22"/>
          <w:szCs w:val="22"/>
          <w:lang w:eastAsia="zh-CN"/>
        </w:rPr>
        <w:t>财务预测不能只看收入曲线，更不能将收入数字简单外推，然后反过来倒推融资需求。</w:t>
      </w:r>
      <w:proofErr w:type="spellStart"/>
      <w:r w:rsidRPr="00D72645">
        <w:rPr>
          <w:rFonts w:hint="eastAsia"/>
          <w:b w:val="0"/>
          <w:bCs w:val="0"/>
          <w:color w:val="1F2937"/>
          <w:sz w:val="22"/>
          <w:szCs w:val="22"/>
          <w:lang w:eastAsia="zh-CN"/>
        </w:rPr>
        <w:t>SkyGuard</w:t>
      </w:r>
      <w:proofErr w:type="spellEnd"/>
      <w:r w:rsidRPr="00D72645">
        <w:rPr>
          <w:rFonts w:hint="eastAsia"/>
          <w:b w:val="0"/>
          <w:bCs w:val="0"/>
          <w:color w:val="1F2937"/>
          <w:sz w:val="22"/>
          <w:szCs w:val="22"/>
          <w:lang w:eastAsia="zh-CN"/>
        </w:rPr>
        <w:t>的经营质量，取决于客户数量、客单价、部署成本、续费率、回款周期和研发投入之间能否形成自洽的支撑关系。收入增长是结果，不是目标；真正需要管理的，是支撑收入增长的那一组经营杠杆——每一单赚不赚钱、客户愿不愿意续约、回款能不能跟上交付节奏、研发投入是否在正确的地方产生了杠杆效应。若这些杠杆之间出现背离，比如客户增长快但续费率低，或收入高但回款周期长，账面数字便不可持续。</w:t>
      </w:r>
    </w:p>
    <w:p w14:paraId="1BE37363" w14:textId="2BA5918F" w:rsidR="00D72645" w:rsidRPr="00D72645" w:rsidRDefault="00D72645" w:rsidP="00D72645">
      <w:pPr>
        <w:pStyle w:val="af7"/>
        <w:keepLines/>
        <w:spacing w:before="80" w:after="160"/>
        <w:jc w:val="both"/>
        <w:rPr>
          <w:rFonts w:hint="eastAsia"/>
          <w:b w:val="0"/>
          <w:bCs w:val="0"/>
          <w:color w:val="1F2937"/>
          <w:sz w:val="22"/>
          <w:szCs w:val="22"/>
          <w:lang w:eastAsia="zh-CN"/>
        </w:rPr>
      </w:pPr>
      <w:r w:rsidRPr="00D72645">
        <w:rPr>
          <w:rFonts w:hint="eastAsia"/>
          <w:b w:val="0"/>
          <w:bCs w:val="0"/>
          <w:color w:val="1F2937"/>
          <w:sz w:val="22"/>
          <w:szCs w:val="22"/>
          <w:lang w:eastAsia="zh-CN"/>
        </w:rPr>
        <w:t>因此，本套模型统一保留保守、基准、乐观三套情景，其首要用途是检查现金流何时承压、融资资金何时耗尽，而不是美化增长曲线来迎合投资人预期。三套情景的核心差异落在客户获取速度、部署成本和续费率三个变量上：乐观情景检验增长潜力，保守情景检验生存底线，基准情景则是日常经营管理的参考坐标。财务预测的真正价值，不是向外部证明“我们能做多大”，而是向内部说清楚“怎样做才能活下去”，并在扩张过程中始终保留足够的安全边界。</w:t>
      </w:r>
    </w:p>
    <w:p w14:paraId="05F80718" w14:textId="7FCE627F" w:rsidR="00735A9E" w:rsidRDefault="00D72645" w:rsidP="00D72645">
      <w:pPr>
        <w:pStyle w:val="af7"/>
        <w:keepLines/>
        <w:spacing w:before="80" w:after="160"/>
        <w:rPr>
          <w:lang w:eastAsia="zh-CN"/>
        </w:rPr>
      </w:pPr>
      <w:r w:rsidRPr="00D72645">
        <w:rPr>
          <w:rFonts w:hint="eastAsia"/>
          <w:b w:val="0"/>
          <w:bCs w:val="0"/>
          <w:color w:val="1F2937"/>
          <w:sz w:val="22"/>
          <w:szCs w:val="22"/>
          <w:lang w:eastAsia="zh-CN"/>
        </w:rPr>
        <w:t>从结构上看，财务预测从融资方案出发，确定资金的来源、体量和用途，然后依次展开收入预测、成本结构、毛利路径、现金流约束、回款周期压力、融资用途安排和敏感性检验，最后用单位经济检验单笔订单的健康程度。这九个环节依次递进：没有融资方案，后续现金流便缺乏起点；没有收入结构，成本便无从分摊；没有回款周期管理，账面利润也无法转化为可用资金。每一节既独立回答一个财务问题，又共同构成一个完整的财务论证链条，前后承接关系清晰。建议读者先整体把握融资方案的框架，再逐节追踪收入、成本、现金流之间的传导路径，最后落脚到单位经济是否能独立跑通。</w:t>
      </w:r>
      <w:r w:rsidR="00000000">
        <w:rPr>
          <w:noProof/>
        </w:rPr>
        <w:drawing>
          <wp:inline distT="0" distB="0" distL="0" distR="0" wp14:anchorId="7D4BC897" wp14:editId="62302344">
            <wp:extent cx="5642690" cy="3174521"/>
            <wp:effectExtent l="0" t="0" r="0" b="698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现金流瀑布.png"/>
                    <pic:cNvPicPr/>
                  </pic:nvPicPr>
                  <pic:blipFill>
                    <a:blip r:embed="rId8"/>
                    <a:stretch>
                      <a:fillRect/>
                    </a:stretch>
                  </pic:blipFill>
                  <pic:spPr>
                    <a:xfrm>
                      <a:off x="0" y="0"/>
                      <a:ext cx="5683457" cy="3197456"/>
                    </a:xfrm>
                    <a:prstGeom prst="rect">
                      <a:avLst/>
                    </a:prstGeom>
                  </pic:spPr>
                </pic:pic>
              </a:graphicData>
            </a:graphic>
          </wp:inline>
        </w:drawing>
      </w:r>
      <w:r w:rsidR="00000000">
        <w:rPr>
          <w:lang w:eastAsia="zh-CN"/>
        </w:rPr>
        <w:br/>
      </w:r>
      <w:r w:rsidR="00000000">
        <w:rPr>
          <w:lang w:eastAsia="zh-CN"/>
        </w:rPr>
        <w:t>图</w:t>
      </w:r>
      <w:r w:rsidR="00000000">
        <w:rPr>
          <w:lang w:eastAsia="zh-CN"/>
        </w:rPr>
        <w:t xml:space="preserve"> 115 </w:t>
      </w:r>
      <w:r w:rsidR="00000000">
        <w:rPr>
          <w:lang w:eastAsia="zh-CN"/>
        </w:rPr>
        <w:t>现金流瀑布</w:t>
      </w:r>
      <w:r w:rsidR="00000000">
        <w:rPr>
          <w:lang w:eastAsia="zh-CN"/>
        </w:rPr>
        <w:t xml:space="preserve"> </w:t>
      </w:r>
      <w:r w:rsidR="00000000">
        <w:rPr>
          <w:lang w:eastAsia="zh-CN"/>
        </w:rPr>
        <w:t>资料来源：经营模型假设，详见</w:t>
      </w:r>
      <w:proofErr w:type="spellStart"/>
      <w:r w:rsidR="00000000">
        <w:rPr>
          <w:lang w:eastAsia="zh-CN"/>
        </w:rPr>
        <w:t>SkyGuard</w:t>
      </w:r>
      <w:proofErr w:type="spellEnd"/>
      <w:r w:rsidR="00000000">
        <w:rPr>
          <w:lang w:eastAsia="zh-CN"/>
        </w:rPr>
        <w:t>_</w:t>
      </w:r>
      <w:r w:rsidR="00000000">
        <w:rPr>
          <w:lang w:eastAsia="zh-CN"/>
        </w:rPr>
        <w:t>财务测算表</w:t>
      </w:r>
      <w:r w:rsidR="00000000">
        <w:rPr>
          <w:lang w:eastAsia="zh-CN"/>
        </w:rPr>
        <w:t>.xlsx</w:t>
      </w:r>
      <w:r w:rsidR="00000000">
        <w:rPr>
          <w:lang w:eastAsia="zh-CN"/>
        </w:rPr>
        <w:t>。要点：现金流瀑布能说明融资资金如何覆盖经营现金缺口和必要投入。</w:t>
      </w:r>
    </w:p>
    <w:p w14:paraId="1734E25D" w14:textId="77777777" w:rsidR="00735A9E" w:rsidRDefault="00000000">
      <w:pPr>
        <w:pStyle w:val="a0"/>
        <w:rPr>
          <w:lang w:eastAsia="zh-CN"/>
        </w:rPr>
      </w:pPr>
      <w:r>
        <w:rPr>
          <w:color w:val="2D3748"/>
          <w:lang w:eastAsia="zh-CN"/>
        </w:rPr>
        <w:t>本章回答：用现金流约束扩张速度，用单位经济解释续费价值。</w:t>
      </w:r>
    </w:p>
    <w:p w14:paraId="62DCB791" w14:textId="77777777" w:rsidR="00735A9E" w:rsidRDefault="00000000">
      <w:pPr>
        <w:pStyle w:val="a0"/>
        <w:rPr>
          <w:lang w:eastAsia="zh-CN"/>
        </w:rPr>
      </w:pPr>
      <w:r>
        <w:rPr>
          <w:color w:val="2D3748"/>
          <w:lang w:eastAsia="zh-CN"/>
        </w:rPr>
        <w:lastRenderedPageBreak/>
        <w:t>重点内容：收入预测</w:t>
      </w:r>
      <w:r>
        <w:rPr>
          <w:color w:val="2D3748"/>
          <w:lang w:eastAsia="zh-CN"/>
        </w:rPr>
        <w:t xml:space="preserve">, </w:t>
      </w:r>
      <w:r>
        <w:rPr>
          <w:color w:val="2D3748"/>
          <w:lang w:eastAsia="zh-CN"/>
        </w:rPr>
        <w:t>成本结构</w:t>
      </w:r>
      <w:r>
        <w:rPr>
          <w:color w:val="2D3748"/>
          <w:lang w:eastAsia="zh-CN"/>
        </w:rPr>
        <w:t xml:space="preserve">, </w:t>
      </w:r>
      <w:r>
        <w:rPr>
          <w:color w:val="2D3748"/>
          <w:lang w:eastAsia="zh-CN"/>
        </w:rPr>
        <w:t>毛利路径</w:t>
      </w:r>
      <w:r>
        <w:rPr>
          <w:color w:val="2D3748"/>
          <w:lang w:eastAsia="zh-CN"/>
        </w:rPr>
        <w:t xml:space="preserve">, </w:t>
      </w:r>
      <w:r>
        <w:rPr>
          <w:color w:val="2D3748"/>
          <w:lang w:eastAsia="zh-CN"/>
        </w:rPr>
        <w:t>现金流</w:t>
      </w:r>
      <w:r>
        <w:rPr>
          <w:color w:val="2D3748"/>
          <w:lang w:eastAsia="zh-CN"/>
        </w:rPr>
        <w:t xml:space="preserve">, </w:t>
      </w:r>
      <w:r>
        <w:rPr>
          <w:color w:val="2D3748"/>
          <w:lang w:eastAsia="zh-CN"/>
        </w:rPr>
        <w:t>回款周期</w:t>
      </w:r>
    </w:p>
    <w:p w14:paraId="487B0ED7" w14:textId="0B5683AA" w:rsidR="00735A9E" w:rsidRDefault="00000000">
      <w:pPr>
        <w:pStyle w:val="a0"/>
        <w:rPr>
          <w:lang w:eastAsia="zh-CN"/>
        </w:rPr>
      </w:pPr>
      <w:r>
        <w:rPr>
          <w:color w:val="2D3748"/>
          <w:lang w:eastAsia="zh-CN"/>
        </w:rPr>
        <w:t>关联图表：</w:t>
      </w:r>
      <w:r>
        <w:rPr>
          <w:color w:val="2D3748"/>
          <w:lang w:eastAsia="zh-CN"/>
        </w:rPr>
        <w:t xml:space="preserve">15 </w:t>
      </w:r>
      <w:r>
        <w:rPr>
          <w:color w:val="2D3748"/>
          <w:lang w:eastAsia="zh-CN"/>
        </w:rPr>
        <w:t>张</w:t>
      </w:r>
      <w:r w:rsidR="00D72645" w:rsidRPr="00D72645">
        <w:rPr>
          <w:rFonts w:hint="eastAsia"/>
          <w:color w:val="2D3748"/>
          <w:lang w:eastAsia="zh-CN"/>
        </w:rPr>
        <w:t>，所有图表均基于经营模型假设和平台演示样本数据整理得出，具体计算口径详见</w:t>
      </w:r>
      <w:proofErr w:type="spellStart"/>
      <w:r w:rsidR="00D72645" w:rsidRPr="00D72645">
        <w:rPr>
          <w:rFonts w:hint="eastAsia"/>
          <w:color w:val="2D3748"/>
          <w:lang w:eastAsia="zh-CN"/>
        </w:rPr>
        <w:t>SkyGuard</w:t>
      </w:r>
      <w:proofErr w:type="spellEnd"/>
      <w:r w:rsidR="00D72645" w:rsidRPr="00D72645">
        <w:rPr>
          <w:rFonts w:hint="eastAsia"/>
          <w:color w:val="2D3748"/>
          <w:lang w:eastAsia="zh-CN"/>
        </w:rPr>
        <w:t>_</w:t>
      </w:r>
      <w:r w:rsidR="00D72645" w:rsidRPr="00D72645">
        <w:rPr>
          <w:rFonts w:hint="eastAsia"/>
          <w:color w:val="2D3748"/>
          <w:lang w:eastAsia="zh-CN"/>
        </w:rPr>
        <w:t>财务测算表</w:t>
      </w:r>
      <w:r w:rsidR="00D72645" w:rsidRPr="00D72645">
        <w:rPr>
          <w:rFonts w:hint="eastAsia"/>
          <w:color w:val="2D3748"/>
          <w:lang w:eastAsia="zh-CN"/>
        </w:rPr>
        <w:t>.xlsx</w:t>
      </w:r>
      <w:r w:rsidR="00D72645" w:rsidRPr="00D72645">
        <w:rPr>
          <w:rFonts w:hint="eastAsia"/>
          <w:color w:val="2D3748"/>
          <w:lang w:eastAsia="zh-CN"/>
        </w:rPr>
        <w:t>。</w:t>
      </w:r>
    </w:p>
    <w:p w14:paraId="5FEA767F" w14:textId="5020E7E5" w:rsidR="00735A9E" w:rsidRDefault="00000000" w:rsidP="00C2717B">
      <w:pPr>
        <w:ind w:firstLine="0"/>
        <w:rPr>
          <w:lang w:eastAsia="zh-CN"/>
        </w:rPr>
      </w:pPr>
      <w:r>
        <w:rPr>
          <w:lang w:eastAsia="zh-CN"/>
        </w:rPr>
        <w:br w:type="page"/>
      </w:r>
      <w:r>
        <w:rPr>
          <w:b/>
          <w:color w:val="64748B"/>
          <w:sz w:val="17"/>
          <w:lang w:eastAsia="zh-CN"/>
        </w:rPr>
        <w:lastRenderedPageBreak/>
        <w:t>第九章</w:t>
      </w:r>
      <w:r>
        <w:rPr>
          <w:b/>
          <w:color w:val="64748B"/>
          <w:sz w:val="17"/>
          <w:lang w:eastAsia="zh-CN"/>
        </w:rPr>
        <w:t xml:space="preserve"> </w:t>
      </w:r>
      <w:r>
        <w:rPr>
          <w:b/>
          <w:color w:val="64748B"/>
          <w:sz w:val="17"/>
          <w:lang w:eastAsia="zh-CN"/>
        </w:rPr>
        <w:t>财务预测</w:t>
      </w:r>
    </w:p>
    <w:p w14:paraId="40D0D75B" w14:textId="77777777" w:rsidR="00735A9E" w:rsidRDefault="00000000">
      <w:pPr>
        <w:pStyle w:val="21"/>
        <w:rPr>
          <w:lang w:eastAsia="zh-CN"/>
        </w:rPr>
      </w:pPr>
      <w:r>
        <w:rPr>
          <w:rFonts w:ascii="Times New Roman" w:eastAsia="仿宋" w:hAnsi="Times New Roman" w:cs="仿宋"/>
          <w:lang w:eastAsia="zh-CN"/>
        </w:rPr>
        <w:t>融资方案</w:t>
      </w:r>
    </w:p>
    <w:p w14:paraId="4966FF38" w14:textId="054343B5" w:rsidR="00D72645" w:rsidRDefault="00D72645" w:rsidP="00D72645">
      <w:pPr>
        <w:rPr>
          <w:rFonts w:hint="eastAsia"/>
          <w:lang w:eastAsia="zh-CN"/>
        </w:rPr>
      </w:pPr>
      <w:r>
        <w:rPr>
          <w:rFonts w:hint="eastAsia"/>
          <w:lang w:eastAsia="zh-CN"/>
        </w:rPr>
        <w:t>融资方案回答四个问题：为什么融资、融多少、用多久、用到哪里。这四者缺一不可——若只回答“融多少”而不说明“用到哪里”，资金用途便缺乏约束；若只说明“用多久”而不回答“为什么融资”，融资目标便与经营节奏脱节。</w:t>
      </w:r>
      <w:proofErr w:type="spellStart"/>
      <w:r>
        <w:rPr>
          <w:rFonts w:hint="eastAsia"/>
          <w:lang w:eastAsia="zh-CN"/>
        </w:rPr>
        <w:t>SkyGuard</w:t>
      </w:r>
      <w:proofErr w:type="spellEnd"/>
      <w:r>
        <w:rPr>
          <w:rFonts w:hint="eastAsia"/>
          <w:lang w:eastAsia="zh-CN"/>
        </w:rPr>
        <w:t>的融资目标不是盲目扩张，而是在可控的资金消耗速度下，完成产品可用性、首批试点、数据治理和客户成功体系的关键验证。融资只是手段，验证才是目的。若产品未通过市场验证便过早扩大团队和项目规模，资金效率将大幅下降，风险也随之上升。</w:t>
      </w:r>
    </w:p>
    <w:p w14:paraId="5ACDE80C" w14:textId="0F59DB6B" w:rsidR="00735A9E" w:rsidRDefault="00D72645" w:rsidP="00D72645">
      <w:pPr>
        <w:rPr>
          <w:lang w:eastAsia="zh-CN"/>
        </w:rPr>
      </w:pPr>
      <w:r>
        <w:rPr>
          <w:rFonts w:hint="eastAsia"/>
          <w:lang w:eastAsia="zh-CN"/>
        </w:rPr>
        <w:t>资金使用遵循阶段性原则：优先保证</w:t>
      </w:r>
      <w:r>
        <w:rPr>
          <w:rFonts w:hint="eastAsia"/>
          <w:lang w:eastAsia="zh-CN"/>
        </w:rPr>
        <w:t>18</w:t>
      </w:r>
      <w:r>
        <w:rPr>
          <w:rFonts w:hint="eastAsia"/>
          <w:lang w:eastAsia="zh-CN"/>
        </w:rPr>
        <w:t>个月现金安全边界，即在没有任何新增收入的情况下，账面资金仍能支撑团队运营和必要开支</w:t>
      </w:r>
      <w:r>
        <w:rPr>
          <w:rFonts w:hint="eastAsia"/>
          <w:lang w:eastAsia="zh-CN"/>
        </w:rPr>
        <w:t>18</w:t>
      </w:r>
      <w:r>
        <w:rPr>
          <w:rFonts w:hint="eastAsia"/>
          <w:lang w:eastAsia="zh-CN"/>
        </w:rPr>
        <w:t>个月；同时控制并行试点数量，避免因同时推进过多项目而导致交付质量下降和回款压力集中爆发；把钱花在能提升客户签收率、续费率和产品复用率的事项上。具体而言，研发投入集中在核心模块的功能完善和数据处理能力提升，试点交付聚焦于打磨标准化实施流程以降低单项目部署成本，客户成功团队则负责建立续约和增购的运营体系。这三类投入均直接服务于验证目标，而非泛化的“市场拓展”或“品牌建设”。</w:t>
      </w:r>
    </w:p>
    <w:p w14:paraId="284C0ABF" w14:textId="77777777" w:rsidR="00735A9E" w:rsidRDefault="00000000">
      <w:pPr>
        <w:pStyle w:val="a0"/>
        <w:rPr>
          <w:lang w:eastAsia="zh-CN"/>
        </w:rPr>
      </w:pPr>
      <w:r>
        <w:rPr>
          <w:color w:val="2D3748"/>
          <w:lang w:eastAsia="zh-CN"/>
        </w:rPr>
        <w:t>融资用途：产品研发、试点交付、数据治理、客户成功</w:t>
      </w:r>
    </w:p>
    <w:p w14:paraId="08451AEE" w14:textId="51A6F473" w:rsidR="00735A9E" w:rsidRDefault="00000000">
      <w:pPr>
        <w:pStyle w:val="a0"/>
        <w:rPr>
          <w:lang w:eastAsia="zh-CN"/>
        </w:rPr>
      </w:pPr>
      <w:r>
        <w:rPr>
          <w:color w:val="2D3748"/>
          <w:lang w:eastAsia="zh-CN"/>
        </w:rPr>
        <w:t>退出方式：股权转让、并购、分红、回购或后续融资</w:t>
      </w:r>
      <w:r w:rsidR="00D72645" w:rsidRPr="00D72645">
        <w:rPr>
          <w:rFonts w:hint="eastAsia"/>
          <w:color w:val="2D3748"/>
          <w:lang w:eastAsia="zh-CN"/>
        </w:rPr>
        <w:t>，需在早期即与投资者达成清晰预期</w:t>
      </w:r>
    </w:p>
    <w:p w14:paraId="45B87D2D" w14:textId="0CFCB619" w:rsidR="00D72645" w:rsidRPr="00D72645" w:rsidRDefault="00000000" w:rsidP="00D72645">
      <w:pPr>
        <w:pStyle w:val="a0"/>
        <w:keepLines/>
        <w:spacing w:before="20"/>
        <w:rPr>
          <w:lang w:eastAsia="zh-CN"/>
        </w:rPr>
      </w:pPr>
      <w:r w:rsidRPr="00D72645">
        <w:rPr>
          <w:color w:val="2D3748"/>
          <w:lang w:eastAsia="zh-CN"/>
        </w:rPr>
        <w:t>验证目标：</w:t>
      </w:r>
      <w:r w:rsidR="00D72645" w:rsidRPr="00D72645">
        <w:rPr>
          <w:rFonts w:hint="eastAsia"/>
          <w:color w:val="2D3748"/>
          <w:lang w:eastAsia="zh-CN"/>
        </w:rPr>
        <w:t>产品被市场接受（客户愿意签约并实际使用）、成本收益比可控（单客户获取成本低于客户终身价值）、团队稳定成长（人员流失率可控且核心能力逐步积累）。三重目标相互关联——若产品未被市场接受，成本收益比便无从谈起；若团队不稳定，产品迭代和客户服务也将中断</w:t>
      </w:r>
    </w:p>
    <w:p w14:paraId="125D17DA" w14:textId="6EB2356D" w:rsidR="00735A9E" w:rsidRDefault="00000000" w:rsidP="00D72645">
      <w:pPr>
        <w:pStyle w:val="a0"/>
        <w:keepLines/>
        <w:spacing w:before="20"/>
        <w:rPr>
          <w:lang w:eastAsia="zh-CN"/>
        </w:rPr>
      </w:pPr>
      <w:r>
        <w:rPr>
          <w:lang w:eastAsia="zh-CN"/>
        </w:rPr>
        <w:t>表</w:t>
      </w:r>
      <w:r>
        <w:rPr>
          <w:lang w:eastAsia="zh-CN"/>
        </w:rPr>
        <w:t xml:space="preserve"> 23 </w:t>
      </w:r>
      <w:r>
        <w:rPr>
          <w:lang w:eastAsia="zh-CN"/>
        </w:rPr>
        <w:t>第九章</w:t>
      </w:r>
      <w:r>
        <w:rPr>
          <w:lang w:eastAsia="zh-CN"/>
        </w:rPr>
        <w:t xml:space="preserve"> </w:t>
      </w:r>
      <w:r>
        <w:rPr>
          <w:lang w:eastAsia="zh-CN"/>
        </w:rPr>
        <w:t>财务预测：融资方案</w:t>
      </w:r>
    </w:p>
    <w:tbl>
      <w:tblPr>
        <w:tblStyle w:val="aff1"/>
        <w:tblW w:w="0" w:type="auto"/>
        <w:tblLayout w:type="fixed"/>
        <w:tblLook w:val="04A0" w:firstRow="1" w:lastRow="0" w:firstColumn="1" w:lastColumn="0" w:noHBand="0" w:noVBand="1"/>
      </w:tblPr>
      <w:tblGrid>
        <w:gridCol w:w="1944"/>
        <w:gridCol w:w="3672"/>
        <w:gridCol w:w="3744"/>
      </w:tblGrid>
      <w:tr w:rsidR="00735A9E" w14:paraId="1180D04C" w14:textId="77777777" w:rsidTr="00C2717B">
        <w:trPr>
          <w:tblHeader/>
        </w:trPr>
        <w:tc>
          <w:tcPr>
            <w:tcW w:w="1944" w:type="dxa"/>
            <w:shd w:val="clear" w:color="auto" w:fill="E5F0ED"/>
            <w:tcMar>
              <w:top w:w="95" w:type="dxa"/>
              <w:left w:w="125" w:type="dxa"/>
              <w:bottom w:w="95" w:type="dxa"/>
              <w:right w:w="125" w:type="dxa"/>
            </w:tcMar>
            <w:vAlign w:val="center"/>
          </w:tcPr>
          <w:p w14:paraId="1868D2ED" w14:textId="77777777" w:rsidR="00735A9E" w:rsidRDefault="00000000">
            <w:pPr>
              <w:spacing w:after="0" w:line="269" w:lineRule="auto"/>
              <w:ind w:firstLine="0"/>
              <w:jc w:val="center"/>
            </w:pPr>
            <w:proofErr w:type="spellStart"/>
            <w:r>
              <w:rPr>
                <w:b/>
                <w:color w:val="151F2B"/>
                <w:sz w:val="17"/>
              </w:rPr>
              <w:t>融资要素</w:t>
            </w:r>
            <w:proofErr w:type="spellEnd"/>
          </w:p>
        </w:tc>
        <w:tc>
          <w:tcPr>
            <w:tcW w:w="3672" w:type="dxa"/>
            <w:shd w:val="clear" w:color="auto" w:fill="E5F0ED"/>
            <w:tcMar>
              <w:top w:w="95" w:type="dxa"/>
              <w:left w:w="125" w:type="dxa"/>
              <w:bottom w:w="95" w:type="dxa"/>
              <w:right w:w="125" w:type="dxa"/>
            </w:tcMar>
            <w:vAlign w:val="center"/>
          </w:tcPr>
          <w:p w14:paraId="08708194" w14:textId="77777777" w:rsidR="00735A9E" w:rsidRDefault="00000000">
            <w:pPr>
              <w:spacing w:after="0" w:line="269" w:lineRule="auto"/>
              <w:ind w:firstLine="0"/>
              <w:jc w:val="center"/>
            </w:pPr>
            <w:proofErr w:type="spellStart"/>
            <w:r>
              <w:rPr>
                <w:b/>
                <w:color w:val="151F2B"/>
                <w:sz w:val="17"/>
              </w:rPr>
              <w:t>建议口径</w:t>
            </w:r>
            <w:proofErr w:type="spellEnd"/>
          </w:p>
        </w:tc>
        <w:tc>
          <w:tcPr>
            <w:tcW w:w="3744" w:type="dxa"/>
            <w:shd w:val="clear" w:color="auto" w:fill="E5F0ED"/>
            <w:tcMar>
              <w:top w:w="95" w:type="dxa"/>
              <w:left w:w="125" w:type="dxa"/>
              <w:bottom w:w="95" w:type="dxa"/>
              <w:right w:w="125" w:type="dxa"/>
            </w:tcMar>
            <w:vAlign w:val="center"/>
          </w:tcPr>
          <w:p w14:paraId="5F27B613" w14:textId="77777777" w:rsidR="00735A9E" w:rsidRDefault="00000000">
            <w:pPr>
              <w:spacing w:after="0" w:line="269" w:lineRule="auto"/>
              <w:ind w:firstLine="0"/>
              <w:jc w:val="center"/>
            </w:pPr>
            <w:proofErr w:type="spellStart"/>
            <w:r>
              <w:rPr>
                <w:b/>
                <w:color w:val="151F2B"/>
                <w:sz w:val="17"/>
              </w:rPr>
              <w:t>资金使用方向</w:t>
            </w:r>
            <w:proofErr w:type="spellEnd"/>
          </w:p>
        </w:tc>
      </w:tr>
      <w:tr w:rsidR="00735A9E" w14:paraId="5D761F99" w14:textId="77777777" w:rsidTr="00C2717B">
        <w:tc>
          <w:tcPr>
            <w:tcW w:w="1944" w:type="dxa"/>
            <w:tcMar>
              <w:top w:w="90" w:type="dxa"/>
              <w:left w:w="125" w:type="dxa"/>
              <w:bottom w:w="90" w:type="dxa"/>
              <w:right w:w="125" w:type="dxa"/>
            </w:tcMar>
            <w:vAlign w:val="center"/>
          </w:tcPr>
          <w:p w14:paraId="15C39B79" w14:textId="77777777" w:rsidR="00735A9E" w:rsidRDefault="00000000">
            <w:pPr>
              <w:spacing w:after="0" w:line="278" w:lineRule="auto"/>
              <w:ind w:firstLine="0"/>
              <w:jc w:val="left"/>
            </w:pPr>
            <w:proofErr w:type="spellStart"/>
            <w:r>
              <w:rPr>
                <w:color w:val="2D3748"/>
                <w:sz w:val="16"/>
              </w:rPr>
              <w:t>融资总额</w:t>
            </w:r>
            <w:proofErr w:type="spellEnd"/>
          </w:p>
        </w:tc>
        <w:tc>
          <w:tcPr>
            <w:tcW w:w="3672" w:type="dxa"/>
            <w:tcMar>
              <w:top w:w="90" w:type="dxa"/>
              <w:left w:w="125" w:type="dxa"/>
              <w:bottom w:w="90" w:type="dxa"/>
              <w:right w:w="125" w:type="dxa"/>
            </w:tcMar>
            <w:vAlign w:val="center"/>
          </w:tcPr>
          <w:p w14:paraId="0C303CB7" w14:textId="77777777" w:rsidR="00735A9E" w:rsidRDefault="00000000">
            <w:pPr>
              <w:spacing w:after="0" w:line="278" w:lineRule="auto"/>
              <w:ind w:firstLine="0"/>
              <w:jc w:val="left"/>
              <w:rPr>
                <w:lang w:eastAsia="zh-CN"/>
              </w:rPr>
            </w:pPr>
            <w:r>
              <w:rPr>
                <w:color w:val="2D3748"/>
                <w:sz w:val="16"/>
                <w:lang w:eastAsia="zh-CN"/>
              </w:rPr>
              <w:t>种子轮</w:t>
            </w:r>
            <w:r>
              <w:rPr>
                <w:color w:val="2D3748"/>
                <w:sz w:val="16"/>
                <w:lang w:eastAsia="zh-CN"/>
              </w:rPr>
              <w:t>/</w:t>
            </w:r>
            <w:r>
              <w:rPr>
                <w:color w:val="2D3748"/>
                <w:sz w:val="16"/>
                <w:lang w:eastAsia="zh-CN"/>
              </w:rPr>
              <w:t>课程模拟口径：</w:t>
            </w:r>
            <w:r>
              <w:rPr>
                <w:color w:val="2D3748"/>
                <w:sz w:val="16"/>
                <w:lang w:eastAsia="zh-CN"/>
              </w:rPr>
              <w:t>300</w:t>
            </w:r>
            <w:r>
              <w:rPr>
                <w:color w:val="2D3748"/>
                <w:sz w:val="16"/>
                <w:lang w:eastAsia="zh-CN"/>
              </w:rPr>
              <w:t>万</w:t>
            </w:r>
            <w:r>
              <w:rPr>
                <w:color w:val="2D3748"/>
                <w:sz w:val="16"/>
                <w:lang w:eastAsia="zh-CN"/>
              </w:rPr>
              <w:t>-500</w:t>
            </w:r>
            <w:r>
              <w:rPr>
                <w:color w:val="2D3748"/>
                <w:sz w:val="16"/>
                <w:lang w:eastAsia="zh-CN"/>
              </w:rPr>
              <w:t>万元</w:t>
            </w:r>
          </w:p>
        </w:tc>
        <w:tc>
          <w:tcPr>
            <w:tcW w:w="3744" w:type="dxa"/>
            <w:tcMar>
              <w:top w:w="90" w:type="dxa"/>
              <w:left w:w="125" w:type="dxa"/>
              <w:bottom w:w="90" w:type="dxa"/>
              <w:right w:w="125" w:type="dxa"/>
            </w:tcMar>
            <w:vAlign w:val="center"/>
          </w:tcPr>
          <w:p w14:paraId="3195DE18" w14:textId="77777777" w:rsidR="00735A9E" w:rsidRDefault="00000000">
            <w:pPr>
              <w:spacing w:after="0" w:line="278" w:lineRule="auto"/>
              <w:ind w:firstLine="0"/>
              <w:jc w:val="left"/>
              <w:rPr>
                <w:lang w:eastAsia="zh-CN"/>
              </w:rPr>
            </w:pPr>
            <w:r>
              <w:rPr>
                <w:color w:val="2D3748"/>
                <w:sz w:val="16"/>
                <w:lang w:eastAsia="zh-CN"/>
              </w:rPr>
              <w:t>覆盖</w:t>
            </w:r>
            <w:r>
              <w:rPr>
                <w:color w:val="2D3748"/>
                <w:sz w:val="16"/>
                <w:lang w:eastAsia="zh-CN"/>
              </w:rPr>
              <w:t>18</w:t>
            </w:r>
            <w:r>
              <w:rPr>
                <w:color w:val="2D3748"/>
                <w:sz w:val="16"/>
                <w:lang w:eastAsia="zh-CN"/>
              </w:rPr>
              <w:t>个月产品打磨、试点交付和客户验证。</w:t>
            </w:r>
          </w:p>
        </w:tc>
      </w:tr>
      <w:tr w:rsidR="00735A9E" w14:paraId="220EF922" w14:textId="77777777" w:rsidTr="00C2717B">
        <w:tc>
          <w:tcPr>
            <w:tcW w:w="1944" w:type="dxa"/>
            <w:shd w:val="clear" w:color="auto" w:fill="F7F9FB"/>
            <w:tcMar>
              <w:top w:w="90" w:type="dxa"/>
              <w:left w:w="125" w:type="dxa"/>
              <w:bottom w:w="90" w:type="dxa"/>
              <w:right w:w="125" w:type="dxa"/>
            </w:tcMar>
            <w:vAlign w:val="center"/>
          </w:tcPr>
          <w:p w14:paraId="17A72B78" w14:textId="77777777" w:rsidR="00735A9E" w:rsidRDefault="00000000">
            <w:pPr>
              <w:spacing w:after="0" w:line="278" w:lineRule="auto"/>
              <w:ind w:firstLine="0"/>
              <w:jc w:val="left"/>
            </w:pPr>
            <w:proofErr w:type="spellStart"/>
            <w:r>
              <w:rPr>
                <w:color w:val="2D3748"/>
                <w:sz w:val="16"/>
              </w:rPr>
              <w:t>注册资本</w:t>
            </w:r>
            <w:proofErr w:type="spellEnd"/>
          </w:p>
        </w:tc>
        <w:tc>
          <w:tcPr>
            <w:tcW w:w="3672" w:type="dxa"/>
            <w:shd w:val="clear" w:color="auto" w:fill="F7F9FB"/>
            <w:tcMar>
              <w:top w:w="90" w:type="dxa"/>
              <w:left w:w="125" w:type="dxa"/>
              <w:bottom w:w="90" w:type="dxa"/>
              <w:right w:w="125" w:type="dxa"/>
            </w:tcMar>
            <w:vAlign w:val="center"/>
          </w:tcPr>
          <w:p w14:paraId="033B49E1" w14:textId="77777777" w:rsidR="00735A9E" w:rsidRDefault="00000000">
            <w:pPr>
              <w:spacing w:after="0" w:line="278" w:lineRule="auto"/>
              <w:ind w:firstLine="0"/>
              <w:jc w:val="left"/>
              <w:rPr>
                <w:lang w:eastAsia="zh-CN"/>
              </w:rPr>
            </w:pPr>
            <w:r>
              <w:rPr>
                <w:color w:val="2D3748"/>
                <w:sz w:val="16"/>
                <w:lang w:eastAsia="zh-CN"/>
              </w:rPr>
              <w:t>按创业团队实际登记或课程模拟公司口径设置</w:t>
            </w:r>
          </w:p>
        </w:tc>
        <w:tc>
          <w:tcPr>
            <w:tcW w:w="3744" w:type="dxa"/>
            <w:shd w:val="clear" w:color="auto" w:fill="F7F9FB"/>
            <w:tcMar>
              <w:top w:w="90" w:type="dxa"/>
              <w:left w:w="125" w:type="dxa"/>
              <w:bottom w:w="90" w:type="dxa"/>
              <w:right w:w="125" w:type="dxa"/>
            </w:tcMar>
            <w:vAlign w:val="center"/>
          </w:tcPr>
          <w:p w14:paraId="148DE175" w14:textId="77777777" w:rsidR="00735A9E" w:rsidRDefault="00000000">
            <w:pPr>
              <w:spacing w:after="0" w:line="278" w:lineRule="auto"/>
              <w:ind w:firstLine="0"/>
              <w:jc w:val="left"/>
              <w:rPr>
                <w:lang w:eastAsia="zh-CN"/>
              </w:rPr>
            </w:pPr>
            <w:r>
              <w:rPr>
                <w:color w:val="2D3748"/>
                <w:sz w:val="16"/>
                <w:lang w:eastAsia="zh-CN"/>
              </w:rPr>
              <w:t>保持股权结构清晰，方便后续引入投资人。</w:t>
            </w:r>
          </w:p>
        </w:tc>
      </w:tr>
      <w:tr w:rsidR="00735A9E" w14:paraId="1B606D9B" w14:textId="77777777" w:rsidTr="00C2717B">
        <w:tc>
          <w:tcPr>
            <w:tcW w:w="1944" w:type="dxa"/>
            <w:tcMar>
              <w:top w:w="90" w:type="dxa"/>
              <w:left w:w="125" w:type="dxa"/>
              <w:bottom w:w="90" w:type="dxa"/>
              <w:right w:w="125" w:type="dxa"/>
            </w:tcMar>
            <w:vAlign w:val="center"/>
          </w:tcPr>
          <w:p w14:paraId="33785D9A" w14:textId="77777777" w:rsidR="00735A9E" w:rsidRDefault="00000000">
            <w:pPr>
              <w:spacing w:after="0" w:line="278" w:lineRule="auto"/>
              <w:ind w:firstLine="0"/>
              <w:jc w:val="left"/>
            </w:pPr>
            <w:proofErr w:type="spellStart"/>
            <w:r>
              <w:rPr>
                <w:color w:val="2D3748"/>
                <w:sz w:val="16"/>
              </w:rPr>
              <w:t>股权结构</w:t>
            </w:r>
            <w:proofErr w:type="spellEnd"/>
          </w:p>
        </w:tc>
        <w:tc>
          <w:tcPr>
            <w:tcW w:w="3672" w:type="dxa"/>
            <w:tcMar>
              <w:top w:w="90" w:type="dxa"/>
              <w:left w:w="125" w:type="dxa"/>
              <w:bottom w:w="90" w:type="dxa"/>
              <w:right w:w="125" w:type="dxa"/>
            </w:tcMar>
            <w:vAlign w:val="center"/>
          </w:tcPr>
          <w:p w14:paraId="2BABA507" w14:textId="77777777" w:rsidR="00735A9E" w:rsidRDefault="00000000">
            <w:pPr>
              <w:spacing w:after="0" w:line="278" w:lineRule="auto"/>
              <w:ind w:firstLine="0"/>
              <w:jc w:val="left"/>
              <w:rPr>
                <w:lang w:eastAsia="zh-CN"/>
              </w:rPr>
            </w:pPr>
            <w:r>
              <w:rPr>
                <w:color w:val="2D3748"/>
                <w:sz w:val="16"/>
                <w:lang w:eastAsia="zh-CN"/>
              </w:rPr>
              <w:t>创始团队控股，预留员工激励和未来融资池</w:t>
            </w:r>
          </w:p>
        </w:tc>
        <w:tc>
          <w:tcPr>
            <w:tcW w:w="3744" w:type="dxa"/>
            <w:tcMar>
              <w:top w:w="90" w:type="dxa"/>
              <w:left w:w="125" w:type="dxa"/>
              <w:bottom w:w="90" w:type="dxa"/>
              <w:right w:w="125" w:type="dxa"/>
            </w:tcMar>
            <w:vAlign w:val="center"/>
          </w:tcPr>
          <w:p w14:paraId="72E6CD57" w14:textId="77777777" w:rsidR="00735A9E" w:rsidRDefault="00000000">
            <w:pPr>
              <w:spacing w:after="0" w:line="278" w:lineRule="auto"/>
              <w:ind w:firstLine="0"/>
              <w:jc w:val="left"/>
              <w:rPr>
                <w:lang w:eastAsia="zh-CN"/>
              </w:rPr>
            </w:pPr>
            <w:r>
              <w:rPr>
                <w:color w:val="2D3748"/>
                <w:sz w:val="16"/>
                <w:lang w:eastAsia="zh-CN"/>
              </w:rPr>
              <w:t>保护早期决策效率，同时保留人才激励空间。</w:t>
            </w:r>
          </w:p>
        </w:tc>
      </w:tr>
      <w:tr w:rsidR="00735A9E" w14:paraId="24524D45" w14:textId="77777777" w:rsidTr="00C2717B">
        <w:tc>
          <w:tcPr>
            <w:tcW w:w="1944" w:type="dxa"/>
            <w:shd w:val="clear" w:color="auto" w:fill="F7F9FB"/>
            <w:tcMar>
              <w:top w:w="90" w:type="dxa"/>
              <w:left w:w="125" w:type="dxa"/>
              <w:bottom w:w="90" w:type="dxa"/>
              <w:right w:w="125" w:type="dxa"/>
            </w:tcMar>
            <w:vAlign w:val="center"/>
          </w:tcPr>
          <w:p w14:paraId="5D599578" w14:textId="77777777" w:rsidR="00735A9E" w:rsidRDefault="00000000">
            <w:pPr>
              <w:spacing w:after="0" w:line="278" w:lineRule="auto"/>
              <w:ind w:firstLine="0"/>
              <w:jc w:val="left"/>
            </w:pPr>
            <w:proofErr w:type="spellStart"/>
            <w:r>
              <w:rPr>
                <w:color w:val="2D3748"/>
                <w:sz w:val="16"/>
              </w:rPr>
              <w:t>资金来源</w:t>
            </w:r>
            <w:proofErr w:type="spellEnd"/>
          </w:p>
        </w:tc>
        <w:tc>
          <w:tcPr>
            <w:tcW w:w="3672" w:type="dxa"/>
            <w:shd w:val="clear" w:color="auto" w:fill="F7F9FB"/>
            <w:tcMar>
              <w:top w:w="90" w:type="dxa"/>
              <w:left w:w="125" w:type="dxa"/>
              <w:bottom w:w="90" w:type="dxa"/>
              <w:right w:w="125" w:type="dxa"/>
            </w:tcMar>
            <w:vAlign w:val="center"/>
          </w:tcPr>
          <w:p w14:paraId="50C80558" w14:textId="77777777" w:rsidR="00735A9E" w:rsidRDefault="00000000">
            <w:pPr>
              <w:spacing w:after="0" w:line="278" w:lineRule="auto"/>
              <w:ind w:firstLine="0"/>
              <w:jc w:val="left"/>
              <w:rPr>
                <w:lang w:eastAsia="zh-CN"/>
              </w:rPr>
            </w:pPr>
            <w:r>
              <w:rPr>
                <w:color w:val="2D3748"/>
                <w:sz w:val="16"/>
                <w:lang w:eastAsia="zh-CN"/>
              </w:rPr>
              <w:t>创始人出资、学校</w:t>
            </w:r>
            <w:r>
              <w:rPr>
                <w:color w:val="2D3748"/>
                <w:sz w:val="16"/>
                <w:lang w:eastAsia="zh-CN"/>
              </w:rPr>
              <w:t>/</w:t>
            </w:r>
            <w:r>
              <w:rPr>
                <w:color w:val="2D3748"/>
                <w:sz w:val="16"/>
                <w:lang w:eastAsia="zh-CN"/>
              </w:rPr>
              <w:t>园区创业基金、天使投资、政府创新补贴和项目回款。</w:t>
            </w:r>
          </w:p>
        </w:tc>
        <w:tc>
          <w:tcPr>
            <w:tcW w:w="3744" w:type="dxa"/>
            <w:shd w:val="clear" w:color="auto" w:fill="F7F9FB"/>
            <w:tcMar>
              <w:top w:w="90" w:type="dxa"/>
              <w:left w:w="125" w:type="dxa"/>
              <w:bottom w:w="90" w:type="dxa"/>
              <w:right w:w="125" w:type="dxa"/>
            </w:tcMar>
            <w:vAlign w:val="center"/>
          </w:tcPr>
          <w:p w14:paraId="2481D843" w14:textId="77777777" w:rsidR="00735A9E" w:rsidRDefault="00000000">
            <w:pPr>
              <w:spacing w:after="0" w:line="278" w:lineRule="auto"/>
              <w:ind w:firstLine="0"/>
              <w:jc w:val="center"/>
              <w:rPr>
                <w:lang w:eastAsia="zh-CN"/>
              </w:rPr>
            </w:pPr>
            <w:r>
              <w:rPr>
                <w:color w:val="2D3748"/>
                <w:sz w:val="16"/>
                <w:lang w:eastAsia="zh-CN"/>
              </w:rPr>
              <w:t>避免单一资金来源导致现金压力。</w:t>
            </w:r>
          </w:p>
        </w:tc>
      </w:tr>
      <w:tr w:rsidR="00735A9E" w14:paraId="3060A7D3" w14:textId="77777777" w:rsidTr="00C2717B">
        <w:tc>
          <w:tcPr>
            <w:tcW w:w="1944" w:type="dxa"/>
            <w:tcMar>
              <w:top w:w="90" w:type="dxa"/>
              <w:left w:w="125" w:type="dxa"/>
              <w:bottom w:w="90" w:type="dxa"/>
              <w:right w:w="125" w:type="dxa"/>
            </w:tcMar>
            <w:vAlign w:val="center"/>
          </w:tcPr>
          <w:p w14:paraId="046B1C1F" w14:textId="77777777" w:rsidR="00735A9E" w:rsidRDefault="00000000">
            <w:pPr>
              <w:spacing w:after="0" w:line="278" w:lineRule="auto"/>
              <w:ind w:firstLine="0"/>
              <w:jc w:val="left"/>
            </w:pPr>
            <w:proofErr w:type="spellStart"/>
            <w:r>
              <w:rPr>
                <w:color w:val="2D3748"/>
                <w:sz w:val="16"/>
              </w:rPr>
              <w:t>资金用途</w:t>
            </w:r>
            <w:proofErr w:type="spellEnd"/>
          </w:p>
        </w:tc>
        <w:tc>
          <w:tcPr>
            <w:tcW w:w="3672" w:type="dxa"/>
            <w:tcMar>
              <w:top w:w="90" w:type="dxa"/>
              <w:left w:w="125" w:type="dxa"/>
              <w:bottom w:w="90" w:type="dxa"/>
              <w:right w:w="125" w:type="dxa"/>
            </w:tcMar>
            <w:vAlign w:val="center"/>
          </w:tcPr>
          <w:p w14:paraId="1C2292C0" w14:textId="77777777" w:rsidR="00735A9E" w:rsidRDefault="00000000">
            <w:pPr>
              <w:spacing w:after="0" w:line="278" w:lineRule="auto"/>
              <w:ind w:firstLine="0"/>
              <w:jc w:val="left"/>
              <w:rPr>
                <w:lang w:eastAsia="zh-CN"/>
              </w:rPr>
            </w:pPr>
            <w:r>
              <w:rPr>
                <w:color w:val="2D3748"/>
                <w:sz w:val="16"/>
                <w:lang w:eastAsia="zh-CN"/>
              </w:rPr>
              <w:t>产品研发、数据治理、试点交付、客户成功、必要设备伙伴接入和市场拓展。</w:t>
            </w:r>
          </w:p>
        </w:tc>
        <w:tc>
          <w:tcPr>
            <w:tcW w:w="3744" w:type="dxa"/>
            <w:tcMar>
              <w:top w:w="90" w:type="dxa"/>
              <w:left w:w="125" w:type="dxa"/>
              <w:bottom w:w="90" w:type="dxa"/>
              <w:right w:w="125" w:type="dxa"/>
            </w:tcMar>
            <w:vAlign w:val="center"/>
          </w:tcPr>
          <w:p w14:paraId="7564A025" w14:textId="77777777" w:rsidR="00735A9E" w:rsidRDefault="00000000">
            <w:pPr>
              <w:spacing w:after="0" w:line="278" w:lineRule="auto"/>
              <w:ind w:firstLine="0"/>
              <w:jc w:val="left"/>
              <w:rPr>
                <w:lang w:eastAsia="zh-CN"/>
              </w:rPr>
            </w:pPr>
            <w:r>
              <w:rPr>
                <w:color w:val="2D3748"/>
                <w:sz w:val="16"/>
                <w:lang w:eastAsia="zh-CN"/>
              </w:rPr>
              <w:t>资金围绕验证产品是否被市场接受使用。</w:t>
            </w:r>
          </w:p>
        </w:tc>
      </w:tr>
      <w:tr w:rsidR="00735A9E" w14:paraId="7164EB96" w14:textId="77777777" w:rsidTr="00C2717B">
        <w:tc>
          <w:tcPr>
            <w:tcW w:w="1944" w:type="dxa"/>
            <w:shd w:val="clear" w:color="auto" w:fill="F7F9FB"/>
            <w:tcMar>
              <w:top w:w="90" w:type="dxa"/>
              <w:left w:w="125" w:type="dxa"/>
              <w:bottom w:w="90" w:type="dxa"/>
              <w:right w:w="125" w:type="dxa"/>
            </w:tcMar>
            <w:vAlign w:val="center"/>
          </w:tcPr>
          <w:p w14:paraId="07131136" w14:textId="77777777" w:rsidR="00735A9E" w:rsidRDefault="00000000">
            <w:pPr>
              <w:spacing w:after="0" w:line="278" w:lineRule="auto"/>
              <w:ind w:firstLine="0"/>
              <w:jc w:val="left"/>
            </w:pPr>
            <w:proofErr w:type="spellStart"/>
            <w:r>
              <w:rPr>
                <w:color w:val="2D3748"/>
                <w:sz w:val="16"/>
              </w:rPr>
              <w:t>退出方式</w:t>
            </w:r>
            <w:proofErr w:type="spellEnd"/>
          </w:p>
        </w:tc>
        <w:tc>
          <w:tcPr>
            <w:tcW w:w="3672" w:type="dxa"/>
            <w:shd w:val="clear" w:color="auto" w:fill="F7F9FB"/>
            <w:tcMar>
              <w:top w:w="90" w:type="dxa"/>
              <w:left w:w="125" w:type="dxa"/>
              <w:bottom w:w="90" w:type="dxa"/>
              <w:right w:w="125" w:type="dxa"/>
            </w:tcMar>
            <w:vAlign w:val="center"/>
          </w:tcPr>
          <w:p w14:paraId="01880A01" w14:textId="77777777" w:rsidR="00735A9E" w:rsidRDefault="00000000">
            <w:pPr>
              <w:spacing w:after="0" w:line="278" w:lineRule="auto"/>
              <w:ind w:firstLine="0"/>
              <w:jc w:val="left"/>
              <w:rPr>
                <w:lang w:eastAsia="zh-CN"/>
              </w:rPr>
            </w:pPr>
            <w:r>
              <w:rPr>
                <w:color w:val="2D3748"/>
                <w:sz w:val="16"/>
                <w:lang w:eastAsia="zh-CN"/>
              </w:rPr>
              <w:t>股权转让、并购整合、利润分红、后续融资稀释或长期经营回购。</w:t>
            </w:r>
          </w:p>
        </w:tc>
        <w:tc>
          <w:tcPr>
            <w:tcW w:w="3744" w:type="dxa"/>
            <w:shd w:val="clear" w:color="auto" w:fill="F7F9FB"/>
            <w:tcMar>
              <w:top w:w="90" w:type="dxa"/>
              <w:left w:w="125" w:type="dxa"/>
              <w:bottom w:w="90" w:type="dxa"/>
              <w:right w:w="125" w:type="dxa"/>
            </w:tcMar>
            <w:vAlign w:val="center"/>
          </w:tcPr>
          <w:p w14:paraId="5AF4837B" w14:textId="77777777" w:rsidR="00735A9E" w:rsidRDefault="00000000">
            <w:pPr>
              <w:spacing w:after="0" w:line="278" w:lineRule="auto"/>
              <w:ind w:firstLine="0"/>
              <w:jc w:val="left"/>
              <w:rPr>
                <w:lang w:eastAsia="zh-CN"/>
              </w:rPr>
            </w:pPr>
            <w:r>
              <w:rPr>
                <w:color w:val="2D3748"/>
                <w:sz w:val="16"/>
                <w:lang w:eastAsia="zh-CN"/>
              </w:rPr>
              <w:t>给投资者明确的退出想象和谈判空间。</w:t>
            </w:r>
          </w:p>
        </w:tc>
      </w:tr>
    </w:tbl>
    <w:p w14:paraId="47AEBFFE" w14:textId="77777777" w:rsidR="00735A9E" w:rsidRDefault="00735A9E">
      <w:pPr>
        <w:rPr>
          <w:lang w:eastAsia="zh-CN"/>
        </w:rPr>
      </w:pPr>
    </w:p>
    <w:p w14:paraId="16085FB3"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5A4C0322" w14:textId="77777777" w:rsidR="00735A9E" w:rsidRDefault="00000000">
      <w:pPr>
        <w:pStyle w:val="21"/>
        <w:rPr>
          <w:lang w:eastAsia="zh-CN"/>
        </w:rPr>
      </w:pPr>
      <w:r>
        <w:rPr>
          <w:rFonts w:ascii="Times New Roman" w:eastAsia="仿宋" w:hAnsi="Times New Roman" w:cs="仿宋"/>
          <w:lang w:eastAsia="zh-CN"/>
        </w:rPr>
        <w:t>财务分析补充</w:t>
      </w:r>
    </w:p>
    <w:p w14:paraId="17AB8872" w14:textId="59C0FC7A" w:rsidR="00D72645" w:rsidRPr="00D72645" w:rsidRDefault="00D72645" w:rsidP="00D72645">
      <w:pPr>
        <w:pStyle w:val="a0"/>
        <w:rPr>
          <w:rFonts w:hint="eastAsia"/>
          <w:sz w:val="22"/>
          <w:lang w:eastAsia="zh-CN"/>
        </w:rPr>
      </w:pPr>
      <w:r w:rsidRPr="00D72645">
        <w:rPr>
          <w:rFonts w:hint="eastAsia"/>
          <w:sz w:val="22"/>
          <w:lang w:eastAsia="zh-CN"/>
        </w:rPr>
        <w:t>财务分析补充承担一个关键任务：把预计报表和商业问题连起来。</w:t>
      </w:r>
      <w:r w:rsidRPr="00D72645">
        <w:rPr>
          <w:rFonts w:hint="eastAsia"/>
          <w:sz w:val="22"/>
          <w:lang w:eastAsia="zh-CN"/>
        </w:rPr>
        <w:t xml:space="preserve"> </w:t>
      </w:r>
      <w:r w:rsidRPr="00D72645">
        <w:rPr>
          <w:rFonts w:hint="eastAsia"/>
          <w:sz w:val="22"/>
          <w:lang w:eastAsia="zh-CN"/>
        </w:rPr>
        <w:t>预计利润表、现金流量表以及必要的资产负债口径，其目的不是为了呈现漂亮的数字，而是为了回答一个朴素的问题：客户增长、交付成本、回款周期和现金安全边界能否在动态经营中相互支撑？如果这些要素</w:t>
      </w:r>
      <w:r w:rsidRPr="00D72645">
        <w:rPr>
          <w:rFonts w:hint="eastAsia"/>
          <w:sz w:val="22"/>
          <w:lang w:eastAsia="zh-CN"/>
        </w:rPr>
        <w:lastRenderedPageBreak/>
        <w:t>之间出现断裂——比如客户增长需要大量前期投入，但回款周期过长导致现金跟不上——那么再高的收入预测也只是纸上数字，无法转化为企业的实际生存能力。</w:t>
      </w:r>
    </w:p>
    <w:p w14:paraId="0A98B13A" w14:textId="77777777" w:rsidR="00D72645" w:rsidRPr="00D72645" w:rsidRDefault="00D72645" w:rsidP="00D72645">
      <w:pPr>
        <w:pStyle w:val="a0"/>
        <w:rPr>
          <w:lang w:eastAsia="zh-CN"/>
        </w:rPr>
      </w:pPr>
      <w:r w:rsidRPr="00D72645">
        <w:rPr>
          <w:rFonts w:hint="eastAsia"/>
          <w:sz w:val="22"/>
          <w:lang w:eastAsia="zh-CN"/>
        </w:rPr>
        <w:t>在早期没有真实财务历史数据的情况下，计划书必须依靠经营假设和情景测算来建立论证基础。敏感性分析、盈亏平衡测算、现金流估算和投资回收期共同说明项目在乐观、中性和保守条件下的承压能力。其中，净现值（</w:t>
      </w:r>
      <w:r w:rsidRPr="00D72645">
        <w:rPr>
          <w:rFonts w:hint="eastAsia"/>
          <w:sz w:val="22"/>
          <w:lang w:eastAsia="zh-CN"/>
        </w:rPr>
        <w:t>NPV</w:t>
      </w:r>
      <w:r w:rsidRPr="00D72645">
        <w:rPr>
          <w:rFonts w:hint="eastAsia"/>
          <w:sz w:val="22"/>
          <w:lang w:eastAsia="zh-CN"/>
        </w:rPr>
        <w:t>）和内部收益率（</w:t>
      </w:r>
      <w:r w:rsidRPr="00D72645">
        <w:rPr>
          <w:rFonts w:hint="eastAsia"/>
          <w:sz w:val="22"/>
          <w:lang w:eastAsia="zh-CN"/>
        </w:rPr>
        <w:t>IRR</w:t>
      </w:r>
      <w:r w:rsidRPr="00D72645">
        <w:rPr>
          <w:rFonts w:hint="eastAsia"/>
          <w:sz w:val="22"/>
          <w:lang w:eastAsia="zh-CN"/>
        </w:rPr>
        <w:t>）作为长期价值判断的补充指标，能够帮助投资者在不同情景下评估项目的财务吸引力。但无论</w:t>
      </w:r>
      <w:r w:rsidRPr="00D72645">
        <w:rPr>
          <w:rFonts w:hint="eastAsia"/>
          <w:sz w:val="22"/>
          <w:lang w:eastAsia="zh-CN"/>
        </w:rPr>
        <w:t>NPV</w:t>
      </w:r>
      <w:r w:rsidRPr="00D72645">
        <w:rPr>
          <w:rFonts w:hint="eastAsia"/>
          <w:sz w:val="22"/>
          <w:lang w:eastAsia="zh-CN"/>
        </w:rPr>
        <w:t>和</w:t>
      </w:r>
      <w:r w:rsidRPr="00D72645">
        <w:rPr>
          <w:rFonts w:hint="eastAsia"/>
          <w:sz w:val="22"/>
          <w:lang w:eastAsia="zh-CN"/>
        </w:rPr>
        <w:t>IRR</w:t>
      </w:r>
      <w:r w:rsidRPr="00D72645">
        <w:rPr>
          <w:rFonts w:hint="eastAsia"/>
          <w:sz w:val="22"/>
          <w:lang w:eastAsia="zh-CN"/>
        </w:rPr>
        <w:t>的数值如何，它们都应以保守的现金流预测为基础，而非以乐观的收入假设为输入。</w:t>
      </w:r>
    </w:p>
    <w:p w14:paraId="4A1291E2" w14:textId="5BA2AB76" w:rsidR="00735A9E" w:rsidRDefault="00000000" w:rsidP="00D72645">
      <w:pPr>
        <w:pStyle w:val="a0"/>
        <w:rPr>
          <w:lang w:eastAsia="zh-CN"/>
        </w:rPr>
      </w:pPr>
      <w:r>
        <w:rPr>
          <w:color w:val="2D3748"/>
          <w:lang w:eastAsia="zh-CN"/>
        </w:rPr>
        <w:t>报表：预计利润表、现金流量表和必要资产负债口径</w:t>
      </w:r>
    </w:p>
    <w:p w14:paraId="457375A6" w14:textId="77777777" w:rsidR="00735A9E" w:rsidRDefault="00000000">
      <w:pPr>
        <w:pStyle w:val="a0"/>
        <w:rPr>
          <w:lang w:eastAsia="zh-CN"/>
        </w:rPr>
      </w:pPr>
      <w:r>
        <w:rPr>
          <w:color w:val="2D3748"/>
          <w:lang w:eastAsia="zh-CN"/>
        </w:rPr>
        <w:t>指标：偿债、营运、盈利和发展能力择要分析</w:t>
      </w:r>
    </w:p>
    <w:p w14:paraId="79754661" w14:textId="77777777" w:rsidR="00735A9E" w:rsidRDefault="00000000">
      <w:pPr>
        <w:pStyle w:val="a0"/>
        <w:rPr>
          <w:lang w:eastAsia="zh-CN"/>
        </w:rPr>
      </w:pPr>
      <w:r>
        <w:rPr>
          <w:color w:val="2D3748"/>
          <w:lang w:eastAsia="zh-CN"/>
        </w:rPr>
        <w:t>评价：盈亏平衡、回收期、净现值和敏感性</w:t>
      </w:r>
    </w:p>
    <w:p w14:paraId="2319F8B7" w14:textId="77777777" w:rsidR="00735A9E" w:rsidRDefault="00000000">
      <w:pPr>
        <w:pStyle w:val="af7"/>
        <w:keepLines/>
        <w:spacing w:before="20"/>
        <w:rPr>
          <w:lang w:eastAsia="zh-CN"/>
        </w:rPr>
      </w:pPr>
      <w:r>
        <w:rPr>
          <w:lang w:eastAsia="zh-CN"/>
        </w:rPr>
        <w:t>表</w:t>
      </w:r>
      <w:r>
        <w:rPr>
          <w:lang w:eastAsia="zh-CN"/>
        </w:rPr>
        <w:t xml:space="preserve"> 24 </w:t>
      </w:r>
      <w:r>
        <w:rPr>
          <w:lang w:eastAsia="zh-CN"/>
        </w:rPr>
        <w:t>第九章</w:t>
      </w:r>
      <w:r>
        <w:rPr>
          <w:lang w:eastAsia="zh-CN"/>
        </w:rPr>
        <w:t xml:space="preserve"> </w:t>
      </w:r>
      <w:r>
        <w:rPr>
          <w:lang w:eastAsia="zh-CN"/>
        </w:rPr>
        <w:t>财务预测：财务分析补充</w:t>
      </w:r>
    </w:p>
    <w:tbl>
      <w:tblPr>
        <w:tblStyle w:val="aff1"/>
        <w:tblW w:w="0" w:type="auto"/>
        <w:jc w:val="center"/>
        <w:tblLayout w:type="fixed"/>
        <w:tblLook w:val="04A0" w:firstRow="1" w:lastRow="0" w:firstColumn="1" w:lastColumn="0" w:noHBand="0" w:noVBand="1"/>
      </w:tblPr>
      <w:tblGrid>
        <w:gridCol w:w="1944"/>
        <w:gridCol w:w="3672"/>
        <w:gridCol w:w="3744"/>
      </w:tblGrid>
      <w:tr w:rsidR="00735A9E" w14:paraId="6A641639" w14:textId="77777777">
        <w:trPr>
          <w:tblHeader/>
          <w:jc w:val="center"/>
        </w:trPr>
        <w:tc>
          <w:tcPr>
            <w:tcW w:w="1944" w:type="dxa"/>
            <w:shd w:val="clear" w:color="auto" w:fill="E5F0ED"/>
            <w:tcMar>
              <w:top w:w="95" w:type="dxa"/>
              <w:left w:w="125" w:type="dxa"/>
              <w:bottom w:w="95" w:type="dxa"/>
              <w:right w:w="125" w:type="dxa"/>
            </w:tcMar>
            <w:vAlign w:val="center"/>
          </w:tcPr>
          <w:p w14:paraId="36675986" w14:textId="77777777" w:rsidR="00735A9E" w:rsidRDefault="00000000" w:rsidP="00C2717B">
            <w:pPr>
              <w:spacing w:after="0" w:line="269" w:lineRule="auto"/>
              <w:ind w:firstLine="0"/>
              <w:jc w:val="center"/>
            </w:pPr>
            <w:proofErr w:type="spellStart"/>
            <w:r>
              <w:rPr>
                <w:b/>
                <w:color w:val="151F2B"/>
                <w:sz w:val="17"/>
              </w:rPr>
              <w:t>分析项</w:t>
            </w:r>
            <w:proofErr w:type="spellEnd"/>
          </w:p>
        </w:tc>
        <w:tc>
          <w:tcPr>
            <w:tcW w:w="3672" w:type="dxa"/>
            <w:shd w:val="clear" w:color="auto" w:fill="E5F0ED"/>
            <w:tcMar>
              <w:top w:w="95" w:type="dxa"/>
              <w:left w:w="125" w:type="dxa"/>
              <w:bottom w:w="95" w:type="dxa"/>
              <w:right w:w="125" w:type="dxa"/>
            </w:tcMar>
            <w:vAlign w:val="center"/>
          </w:tcPr>
          <w:p w14:paraId="35E249BD" w14:textId="77777777" w:rsidR="00735A9E" w:rsidRDefault="00000000" w:rsidP="00C2717B">
            <w:pPr>
              <w:spacing w:after="0" w:line="269" w:lineRule="auto"/>
              <w:ind w:firstLine="0"/>
              <w:jc w:val="center"/>
              <w:rPr>
                <w:lang w:eastAsia="zh-CN"/>
              </w:rPr>
            </w:pPr>
            <w:r>
              <w:rPr>
                <w:b/>
                <w:color w:val="151F2B"/>
                <w:sz w:val="17"/>
                <w:lang w:eastAsia="zh-CN"/>
              </w:rPr>
              <w:t>计划书需要展示的内容</w:t>
            </w:r>
          </w:p>
        </w:tc>
        <w:tc>
          <w:tcPr>
            <w:tcW w:w="3744" w:type="dxa"/>
            <w:shd w:val="clear" w:color="auto" w:fill="E5F0ED"/>
            <w:tcMar>
              <w:top w:w="95" w:type="dxa"/>
              <w:left w:w="125" w:type="dxa"/>
              <w:bottom w:w="95" w:type="dxa"/>
              <w:right w:w="125" w:type="dxa"/>
            </w:tcMar>
            <w:vAlign w:val="center"/>
          </w:tcPr>
          <w:p w14:paraId="4533AC41" w14:textId="77777777" w:rsidR="00735A9E" w:rsidRDefault="00000000" w:rsidP="00C2717B">
            <w:pPr>
              <w:spacing w:after="0" w:line="269" w:lineRule="auto"/>
              <w:ind w:firstLine="0"/>
              <w:jc w:val="center"/>
            </w:pPr>
            <w:proofErr w:type="spellStart"/>
            <w:r>
              <w:rPr>
                <w:b/>
                <w:color w:val="151F2B"/>
                <w:sz w:val="17"/>
              </w:rPr>
              <w:t>SkyGuard</w:t>
            </w:r>
            <w:proofErr w:type="spellEnd"/>
            <w:r>
              <w:rPr>
                <w:b/>
                <w:color w:val="151F2B"/>
                <w:sz w:val="17"/>
              </w:rPr>
              <w:t xml:space="preserve"> </w:t>
            </w:r>
            <w:proofErr w:type="spellStart"/>
            <w:r>
              <w:rPr>
                <w:b/>
                <w:color w:val="151F2B"/>
                <w:sz w:val="17"/>
              </w:rPr>
              <w:t>对应材料</w:t>
            </w:r>
            <w:proofErr w:type="spellEnd"/>
          </w:p>
        </w:tc>
      </w:tr>
      <w:tr w:rsidR="00735A9E" w14:paraId="3D9AFD21" w14:textId="77777777">
        <w:trPr>
          <w:jc w:val="center"/>
        </w:trPr>
        <w:tc>
          <w:tcPr>
            <w:tcW w:w="1944" w:type="dxa"/>
            <w:tcMar>
              <w:top w:w="90" w:type="dxa"/>
              <w:left w:w="125" w:type="dxa"/>
              <w:bottom w:w="90" w:type="dxa"/>
              <w:right w:w="125" w:type="dxa"/>
            </w:tcMar>
            <w:vAlign w:val="center"/>
          </w:tcPr>
          <w:p w14:paraId="1CB57608" w14:textId="77777777" w:rsidR="00735A9E" w:rsidRDefault="00000000" w:rsidP="00C2717B">
            <w:pPr>
              <w:spacing w:after="0" w:line="278" w:lineRule="auto"/>
              <w:ind w:firstLine="0"/>
              <w:jc w:val="center"/>
            </w:pPr>
            <w:proofErr w:type="spellStart"/>
            <w:r>
              <w:rPr>
                <w:color w:val="2D3748"/>
                <w:sz w:val="16"/>
              </w:rPr>
              <w:t>主要财务假设</w:t>
            </w:r>
            <w:proofErr w:type="spellEnd"/>
          </w:p>
        </w:tc>
        <w:tc>
          <w:tcPr>
            <w:tcW w:w="3672" w:type="dxa"/>
            <w:tcMar>
              <w:top w:w="90" w:type="dxa"/>
              <w:left w:w="125" w:type="dxa"/>
              <w:bottom w:w="90" w:type="dxa"/>
              <w:right w:w="125" w:type="dxa"/>
            </w:tcMar>
            <w:vAlign w:val="center"/>
          </w:tcPr>
          <w:p w14:paraId="787DC4E7" w14:textId="77777777" w:rsidR="00735A9E" w:rsidRDefault="00000000" w:rsidP="00C2717B">
            <w:pPr>
              <w:spacing w:after="0" w:line="278" w:lineRule="auto"/>
              <w:ind w:firstLine="0"/>
              <w:jc w:val="center"/>
              <w:rPr>
                <w:lang w:eastAsia="zh-CN"/>
              </w:rPr>
            </w:pPr>
            <w:r>
              <w:rPr>
                <w:color w:val="2D3748"/>
                <w:sz w:val="16"/>
                <w:lang w:eastAsia="zh-CN"/>
              </w:rPr>
              <w:t>客户数量、客单价、部署成本、续费率、回款周期、研发和交付人员成本。</w:t>
            </w:r>
          </w:p>
        </w:tc>
        <w:tc>
          <w:tcPr>
            <w:tcW w:w="3744" w:type="dxa"/>
            <w:tcMar>
              <w:top w:w="90" w:type="dxa"/>
              <w:left w:w="125" w:type="dxa"/>
              <w:bottom w:w="90" w:type="dxa"/>
              <w:right w:w="125" w:type="dxa"/>
            </w:tcMar>
            <w:vAlign w:val="center"/>
          </w:tcPr>
          <w:p w14:paraId="0BF7D45F" w14:textId="77777777" w:rsidR="00735A9E" w:rsidRDefault="00000000" w:rsidP="00C2717B">
            <w:pPr>
              <w:spacing w:after="0" w:line="278" w:lineRule="auto"/>
              <w:ind w:firstLine="0"/>
              <w:jc w:val="center"/>
              <w:rPr>
                <w:lang w:eastAsia="zh-CN"/>
              </w:rPr>
            </w:pPr>
            <w:r>
              <w:rPr>
                <w:color w:val="2D3748"/>
                <w:sz w:val="16"/>
                <w:lang w:eastAsia="zh-CN"/>
              </w:rPr>
              <w:t>财务测算表与正文第九章共同说明。</w:t>
            </w:r>
          </w:p>
        </w:tc>
      </w:tr>
      <w:tr w:rsidR="00735A9E" w14:paraId="22C9CE24" w14:textId="77777777">
        <w:trPr>
          <w:jc w:val="center"/>
        </w:trPr>
        <w:tc>
          <w:tcPr>
            <w:tcW w:w="1944" w:type="dxa"/>
            <w:shd w:val="clear" w:color="auto" w:fill="F7F9FB"/>
            <w:tcMar>
              <w:top w:w="90" w:type="dxa"/>
              <w:left w:w="125" w:type="dxa"/>
              <w:bottom w:w="90" w:type="dxa"/>
              <w:right w:w="125" w:type="dxa"/>
            </w:tcMar>
            <w:vAlign w:val="center"/>
          </w:tcPr>
          <w:p w14:paraId="7DEDB2CD" w14:textId="77777777" w:rsidR="00735A9E" w:rsidRDefault="00000000" w:rsidP="00C2717B">
            <w:pPr>
              <w:spacing w:after="0" w:line="278" w:lineRule="auto"/>
              <w:ind w:firstLine="0"/>
              <w:jc w:val="center"/>
            </w:pPr>
            <w:proofErr w:type="spellStart"/>
            <w:r>
              <w:rPr>
                <w:color w:val="2D3748"/>
                <w:sz w:val="16"/>
              </w:rPr>
              <w:t>预计利润表</w:t>
            </w:r>
            <w:proofErr w:type="spellEnd"/>
          </w:p>
        </w:tc>
        <w:tc>
          <w:tcPr>
            <w:tcW w:w="3672" w:type="dxa"/>
            <w:shd w:val="clear" w:color="auto" w:fill="F7F9FB"/>
            <w:tcMar>
              <w:top w:w="90" w:type="dxa"/>
              <w:left w:w="125" w:type="dxa"/>
              <w:bottom w:w="90" w:type="dxa"/>
              <w:right w:w="125" w:type="dxa"/>
            </w:tcMar>
            <w:vAlign w:val="center"/>
          </w:tcPr>
          <w:p w14:paraId="22F15E2E" w14:textId="77777777" w:rsidR="00735A9E" w:rsidRDefault="00000000" w:rsidP="00C2717B">
            <w:pPr>
              <w:spacing w:after="0" w:line="278" w:lineRule="auto"/>
              <w:ind w:firstLine="0"/>
              <w:jc w:val="center"/>
              <w:rPr>
                <w:lang w:eastAsia="zh-CN"/>
              </w:rPr>
            </w:pPr>
            <w:r>
              <w:rPr>
                <w:color w:val="2D3748"/>
                <w:sz w:val="16"/>
                <w:lang w:eastAsia="zh-CN"/>
              </w:rPr>
              <w:t>收入、成本、毛利、期间费用和净利润趋势。</w:t>
            </w:r>
          </w:p>
        </w:tc>
        <w:tc>
          <w:tcPr>
            <w:tcW w:w="3744" w:type="dxa"/>
            <w:shd w:val="clear" w:color="auto" w:fill="F7F9FB"/>
            <w:tcMar>
              <w:top w:w="90" w:type="dxa"/>
              <w:left w:w="125" w:type="dxa"/>
              <w:bottom w:w="90" w:type="dxa"/>
              <w:right w:w="125" w:type="dxa"/>
            </w:tcMar>
            <w:vAlign w:val="center"/>
          </w:tcPr>
          <w:p w14:paraId="20B6E05B" w14:textId="77777777" w:rsidR="00735A9E" w:rsidRDefault="00000000" w:rsidP="00C2717B">
            <w:pPr>
              <w:spacing w:after="0" w:line="278" w:lineRule="auto"/>
              <w:ind w:firstLine="0"/>
              <w:jc w:val="center"/>
              <w:rPr>
                <w:lang w:eastAsia="zh-CN"/>
              </w:rPr>
            </w:pPr>
            <w:r>
              <w:rPr>
                <w:color w:val="2D3748"/>
                <w:sz w:val="16"/>
                <w:lang w:eastAsia="zh-CN"/>
              </w:rPr>
              <w:t>五年收入结构、成本结构、毛利改善因素桥。</w:t>
            </w:r>
          </w:p>
        </w:tc>
      </w:tr>
      <w:tr w:rsidR="00735A9E" w14:paraId="44FC74C7" w14:textId="77777777">
        <w:trPr>
          <w:jc w:val="center"/>
        </w:trPr>
        <w:tc>
          <w:tcPr>
            <w:tcW w:w="1944" w:type="dxa"/>
            <w:tcMar>
              <w:top w:w="90" w:type="dxa"/>
              <w:left w:w="125" w:type="dxa"/>
              <w:bottom w:w="90" w:type="dxa"/>
              <w:right w:w="125" w:type="dxa"/>
            </w:tcMar>
            <w:vAlign w:val="center"/>
          </w:tcPr>
          <w:p w14:paraId="32F5EEB4" w14:textId="77777777" w:rsidR="00735A9E" w:rsidRDefault="00000000" w:rsidP="00C2717B">
            <w:pPr>
              <w:spacing w:after="0" w:line="278" w:lineRule="auto"/>
              <w:ind w:firstLine="0"/>
              <w:jc w:val="center"/>
            </w:pPr>
            <w:proofErr w:type="spellStart"/>
            <w:r>
              <w:rPr>
                <w:color w:val="2D3748"/>
                <w:sz w:val="16"/>
              </w:rPr>
              <w:t>预计现金流量表</w:t>
            </w:r>
            <w:proofErr w:type="spellEnd"/>
          </w:p>
        </w:tc>
        <w:tc>
          <w:tcPr>
            <w:tcW w:w="3672" w:type="dxa"/>
            <w:tcMar>
              <w:top w:w="90" w:type="dxa"/>
              <w:left w:w="125" w:type="dxa"/>
              <w:bottom w:w="90" w:type="dxa"/>
              <w:right w:w="125" w:type="dxa"/>
            </w:tcMar>
            <w:vAlign w:val="center"/>
          </w:tcPr>
          <w:p w14:paraId="1FD34F00" w14:textId="77777777" w:rsidR="00735A9E" w:rsidRDefault="00000000" w:rsidP="00C2717B">
            <w:pPr>
              <w:spacing w:after="0" w:line="278" w:lineRule="auto"/>
              <w:ind w:firstLine="0"/>
              <w:jc w:val="center"/>
              <w:rPr>
                <w:lang w:eastAsia="zh-CN"/>
              </w:rPr>
            </w:pPr>
            <w:r>
              <w:rPr>
                <w:color w:val="2D3748"/>
                <w:sz w:val="16"/>
                <w:lang w:eastAsia="zh-CN"/>
              </w:rPr>
              <w:t>经营现金流、融资现金流、现金安全边界和回款压力。</w:t>
            </w:r>
          </w:p>
        </w:tc>
        <w:tc>
          <w:tcPr>
            <w:tcW w:w="3744" w:type="dxa"/>
            <w:tcMar>
              <w:top w:w="90" w:type="dxa"/>
              <w:left w:w="125" w:type="dxa"/>
              <w:bottom w:w="90" w:type="dxa"/>
              <w:right w:w="125" w:type="dxa"/>
            </w:tcMar>
            <w:vAlign w:val="center"/>
          </w:tcPr>
          <w:p w14:paraId="088A8427" w14:textId="77777777" w:rsidR="00735A9E" w:rsidRDefault="00000000" w:rsidP="00C2717B">
            <w:pPr>
              <w:spacing w:after="0" w:line="278" w:lineRule="auto"/>
              <w:ind w:firstLine="0"/>
              <w:jc w:val="center"/>
              <w:rPr>
                <w:lang w:eastAsia="zh-CN"/>
              </w:rPr>
            </w:pPr>
            <w:r>
              <w:rPr>
                <w:color w:val="2D3748"/>
                <w:sz w:val="16"/>
                <w:lang w:eastAsia="zh-CN"/>
              </w:rPr>
              <w:t>现金流瀑布、融资后现金跑道阶梯。</w:t>
            </w:r>
          </w:p>
        </w:tc>
      </w:tr>
      <w:tr w:rsidR="00735A9E" w14:paraId="07D9EAE7" w14:textId="77777777">
        <w:trPr>
          <w:jc w:val="center"/>
        </w:trPr>
        <w:tc>
          <w:tcPr>
            <w:tcW w:w="1944" w:type="dxa"/>
            <w:shd w:val="clear" w:color="auto" w:fill="F7F9FB"/>
            <w:tcMar>
              <w:top w:w="90" w:type="dxa"/>
              <w:left w:w="125" w:type="dxa"/>
              <w:bottom w:w="90" w:type="dxa"/>
              <w:right w:w="125" w:type="dxa"/>
            </w:tcMar>
            <w:vAlign w:val="center"/>
          </w:tcPr>
          <w:p w14:paraId="2418E15E" w14:textId="77777777" w:rsidR="00735A9E" w:rsidRDefault="00000000" w:rsidP="00C2717B">
            <w:pPr>
              <w:spacing w:after="0" w:line="278" w:lineRule="auto"/>
              <w:ind w:firstLine="0"/>
              <w:jc w:val="center"/>
            </w:pPr>
            <w:proofErr w:type="spellStart"/>
            <w:r>
              <w:rPr>
                <w:color w:val="2D3748"/>
                <w:sz w:val="16"/>
              </w:rPr>
              <w:t>偿债</w:t>
            </w:r>
            <w:proofErr w:type="spellEnd"/>
            <w:r>
              <w:rPr>
                <w:color w:val="2D3748"/>
                <w:sz w:val="16"/>
              </w:rPr>
              <w:t>/</w:t>
            </w:r>
            <w:proofErr w:type="spellStart"/>
            <w:r>
              <w:rPr>
                <w:color w:val="2D3748"/>
                <w:sz w:val="16"/>
              </w:rPr>
              <w:t>营运能力</w:t>
            </w:r>
            <w:proofErr w:type="spellEnd"/>
          </w:p>
        </w:tc>
        <w:tc>
          <w:tcPr>
            <w:tcW w:w="3672" w:type="dxa"/>
            <w:shd w:val="clear" w:color="auto" w:fill="F7F9FB"/>
            <w:tcMar>
              <w:top w:w="90" w:type="dxa"/>
              <w:left w:w="125" w:type="dxa"/>
              <w:bottom w:w="90" w:type="dxa"/>
              <w:right w:w="125" w:type="dxa"/>
            </w:tcMar>
            <w:vAlign w:val="center"/>
          </w:tcPr>
          <w:p w14:paraId="698A9C47" w14:textId="77777777" w:rsidR="00735A9E" w:rsidRDefault="00000000" w:rsidP="00C2717B">
            <w:pPr>
              <w:spacing w:after="0" w:line="278" w:lineRule="auto"/>
              <w:ind w:firstLine="0"/>
              <w:jc w:val="center"/>
              <w:rPr>
                <w:lang w:eastAsia="zh-CN"/>
              </w:rPr>
            </w:pPr>
            <w:r>
              <w:rPr>
                <w:color w:val="2D3748"/>
                <w:sz w:val="16"/>
                <w:lang w:eastAsia="zh-CN"/>
              </w:rPr>
              <w:t>流动性、应收账款周转和回款周期管理。</w:t>
            </w:r>
          </w:p>
        </w:tc>
        <w:tc>
          <w:tcPr>
            <w:tcW w:w="3744" w:type="dxa"/>
            <w:shd w:val="clear" w:color="auto" w:fill="F7F9FB"/>
            <w:tcMar>
              <w:top w:w="90" w:type="dxa"/>
              <w:left w:w="125" w:type="dxa"/>
              <w:bottom w:w="90" w:type="dxa"/>
              <w:right w:w="125" w:type="dxa"/>
            </w:tcMar>
            <w:vAlign w:val="center"/>
          </w:tcPr>
          <w:p w14:paraId="059A346D" w14:textId="77777777" w:rsidR="00735A9E" w:rsidRDefault="00000000" w:rsidP="00C2717B">
            <w:pPr>
              <w:spacing w:after="0" w:line="278" w:lineRule="auto"/>
              <w:ind w:firstLine="0"/>
              <w:jc w:val="center"/>
              <w:rPr>
                <w:lang w:eastAsia="zh-CN"/>
              </w:rPr>
            </w:pPr>
            <w:r>
              <w:rPr>
                <w:color w:val="2D3748"/>
                <w:sz w:val="16"/>
                <w:lang w:eastAsia="zh-CN"/>
              </w:rPr>
              <w:t>回款周期压力和客户批次排布图。</w:t>
            </w:r>
          </w:p>
        </w:tc>
      </w:tr>
      <w:tr w:rsidR="00735A9E" w14:paraId="6B491A82" w14:textId="77777777">
        <w:trPr>
          <w:jc w:val="center"/>
        </w:trPr>
        <w:tc>
          <w:tcPr>
            <w:tcW w:w="1944" w:type="dxa"/>
            <w:tcMar>
              <w:top w:w="90" w:type="dxa"/>
              <w:left w:w="125" w:type="dxa"/>
              <w:bottom w:w="90" w:type="dxa"/>
              <w:right w:w="125" w:type="dxa"/>
            </w:tcMar>
            <w:vAlign w:val="center"/>
          </w:tcPr>
          <w:p w14:paraId="4E156753" w14:textId="77777777" w:rsidR="00735A9E" w:rsidRDefault="00000000" w:rsidP="00C2717B">
            <w:pPr>
              <w:spacing w:after="0" w:line="278" w:lineRule="auto"/>
              <w:ind w:firstLine="0"/>
              <w:jc w:val="center"/>
            </w:pPr>
            <w:proofErr w:type="spellStart"/>
            <w:r>
              <w:rPr>
                <w:color w:val="2D3748"/>
                <w:sz w:val="16"/>
              </w:rPr>
              <w:t>盈利能力</w:t>
            </w:r>
            <w:proofErr w:type="spellEnd"/>
          </w:p>
        </w:tc>
        <w:tc>
          <w:tcPr>
            <w:tcW w:w="3672" w:type="dxa"/>
            <w:tcMar>
              <w:top w:w="90" w:type="dxa"/>
              <w:left w:w="125" w:type="dxa"/>
              <w:bottom w:w="90" w:type="dxa"/>
              <w:right w:w="125" w:type="dxa"/>
            </w:tcMar>
            <w:vAlign w:val="center"/>
          </w:tcPr>
          <w:p w14:paraId="2629B8F7" w14:textId="77777777" w:rsidR="00735A9E" w:rsidRDefault="00000000" w:rsidP="00C2717B">
            <w:pPr>
              <w:spacing w:after="0" w:line="278" w:lineRule="auto"/>
              <w:ind w:firstLine="0"/>
              <w:jc w:val="center"/>
              <w:rPr>
                <w:lang w:eastAsia="zh-CN"/>
              </w:rPr>
            </w:pPr>
            <w:r>
              <w:rPr>
                <w:color w:val="2D3748"/>
                <w:sz w:val="16"/>
                <w:lang w:eastAsia="zh-CN"/>
              </w:rPr>
              <w:t>销售净利率、毛利率、单位经济和客户成功成本。</w:t>
            </w:r>
          </w:p>
        </w:tc>
        <w:tc>
          <w:tcPr>
            <w:tcW w:w="3744" w:type="dxa"/>
            <w:tcMar>
              <w:top w:w="90" w:type="dxa"/>
              <w:left w:w="125" w:type="dxa"/>
              <w:bottom w:w="90" w:type="dxa"/>
              <w:right w:w="125" w:type="dxa"/>
            </w:tcMar>
            <w:vAlign w:val="center"/>
          </w:tcPr>
          <w:p w14:paraId="29A99F18" w14:textId="77777777" w:rsidR="00735A9E" w:rsidRDefault="00000000" w:rsidP="00C2717B">
            <w:pPr>
              <w:spacing w:after="0" w:line="278" w:lineRule="auto"/>
              <w:ind w:firstLine="0"/>
              <w:jc w:val="center"/>
              <w:rPr>
                <w:lang w:eastAsia="zh-CN"/>
              </w:rPr>
            </w:pPr>
            <w:r>
              <w:rPr>
                <w:color w:val="2D3748"/>
                <w:sz w:val="16"/>
                <w:lang w:eastAsia="zh-CN"/>
              </w:rPr>
              <w:t>单位经济测算、毛利路径解释。</w:t>
            </w:r>
          </w:p>
        </w:tc>
      </w:tr>
      <w:tr w:rsidR="00735A9E" w14:paraId="227F2700" w14:textId="77777777">
        <w:trPr>
          <w:jc w:val="center"/>
        </w:trPr>
        <w:tc>
          <w:tcPr>
            <w:tcW w:w="1944" w:type="dxa"/>
            <w:shd w:val="clear" w:color="auto" w:fill="F7F9FB"/>
            <w:tcMar>
              <w:top w:w="90" w:type="dxa"/>
              <w:left w:w="125" w:type="dxa"/>
              <w:bottom w:w="90" w:type="dxa"/>
              <w:right w:w="125" w:type="dxa"/>
            </w:tcMar>
            <w:vAlign w:val="center"/>
          </w:tcPr>
          <w:p w14:paraId="6E8ACF4E" w14:textId="77777777" w:rsidR="00735A9E" w:rsidRDefault="00000000" w:rsidP="00C2717B">
            <w:pPr>
              <w:spacing w:after="0" w:line="278" w:lineRule="auto"/>
              <w:ind w:firstLine="0"/>
              <w:jc w:val="center"/>
            </w:pPr>
            <w:proofErr w:type="spellStart"/>
            <w:r>
              <w:rPr>
                <w:color w:val="2D3748"/>
                <w:sz w:val="16"/>
              </w:rPr>
              <w:t>发展能力</w:t>
            </w:r>
            <w:proofErr w:type="spellEnd"/>
          </w:p>
        </w:tc>
        <w:tc>
          <w:tcPr>
            <w:tcW w:w="3672" w:type="dxa"/>
            <w:shd w:val="clear" w:color="auto" w:fill="F7F9FB"/>
            <w:tcMar>
              <w:top w:w="90" w:type="dxa"/>
              <w:left w:w="125" w:type="dxa"/>
              <w:bottom w:w="90" w:type="dxa"/>
              <w:right w:w="125" w:type="dxa"/>
            </w:tcMar>
            <w:vAlign w:val="center"/>
          </w:tcPr>
          <w:p w14:paraId="5E3FDAB2" w14:textId="77777777" w:rsidR="00735A9E" w:rsidRDefault="00000000" w:rsidP="00C2717B">
            <w:pPr>
              <w:spacing w:after="0" w:line="278" w:lineRule="auto"/>
              <w:ind w:firstLine="0"/>
              <w:jc w:val="center"/>
              <w:rPr>
                <w:lang w:eastAsia="zh-CN"/>
              </w:rPr>
            </w:pPr>
            <w:r>
              <w:rPr>
                <w:color w:val="2D3748"/>
                <w:sz w:val="16"/>
                <w:lang w:eastAsia="zh-CN"/>
              </w:rPr>
              <w:t>营业增长率、客户增长、续费率和区域复制速度。</w:t>
            </w:r>
          </w:p>
        </w:tc>
        <w:tc>
          <w:tcPr>
            <w:tcW w:w="3744" w:type="dxa"/>
            <w:shd w:val="clear" w:color="auto" w:fill="F7F9FB"/>
            <w:tcMar>
              <w:top w:w="90" w:type="dxa"/>
              <w:left w:w="125" w:type="dxa"/>
              <w:bottom w:w="90" w:type="dxa"/>
              <w:right w:w="125" w:type="dxa"/>
            </w:tcMar>
            <w:vAlign w:val="center"/>
          </w:tcPr>
          <w:p w14:paraId="52B5C624" w14:textId="77777777" w:rsidR="00735A9E" w:rsidRDefault="00000000" w:rsidP="00C2717B">
            <w:pPr>
              <w:spacing w:after="0" w:line="278" w:lineRule="auto"/>
              <w:ind w:firstLine="0"/>
              <w:jc w:val="center"/>
              <w:rPr>
                <w:lang w:eastAsia="zh-CN"/>
              </w:rPr>
            </w:pPr>
            <w:r>
              <w:rPr>
                <w:color w:val="2D3748"/>
                <w:sz w:val="16"/>
                <w:lang w:eastAsia="zh-CN"/>
              </w:rPr>
              <w:t>收入结构主题河流、首批客户获取漏斗。</w:t>
            </w:r>
          </w:p>
        </w:tc>
      </w:tr>
      <w:tr w:rsidR="00735A9E" w14:paraId="04782869" w14:textId="77777777">
        <w:trPr>
          <w:jc w:val="center"/>
        </w:trPr>
        <w:tc>
          <w:tcPr>
            <w:tcW w:w="1944" w:type="dxa"/>
            <w:tcMar>
              <w:top w:w="90" w:type="dxa"/>
              <w:left w:w="125" w:type="dxa"/>
              <w:bottom w:w="90" w:type="dxa"/>
              <w:right w:w="125" w:type="dxa"/>
            </w:tcMar>
            <w:vAlign w:val="center"/>
          </w:tcPr>
          <w:p w14:paraId="0307EF44" w14:textId="77777777" w:rsidR="00735A9E" w:rsidRDefault="00000000" w:rsidP="00C2717B">
            <w:pPr>
              <w:spacing w:after="0" w:line="278" w:lineRule="auto"/>
              <w:ind w:firstLine="0"/>
              <w:jc w:val="center"/>
            </w:pPr>
            <w:proofErr w:type="spellStart"/>
            <w:r>
              <w:rPr>
                <w:color w:val="2D3748"/>
                <w:sz w:val="16"/>
              </w:rPr>
              <w:t>投资评价</w:t>
            </w:r>
            <w:proofErr w:type="spellEnd"/>
          </w:p>
        </w:tc>
        <w:tc>
          <w:tcPr>
            <w:tcW w:w="3672" w:type="dxa"/>
            <w:tcMar>
              <w:top w:w="90" w:type="dxa"/>
              <w:left w:w="125" w:type="dxa"/>
              <w:bottom w:w="90" w:type="dxa"/>
              <w:right w:w="125" w:type="dxa"/>
            </w:tcMar>
            <w:vAlign w:val="center"/>
          </w:tcPr>
          <w:p w14:paraId="6272A305" w14:textId="77777777" w:rsidR="00735A9E" w:rsidRDefault="00000000" w:rsidP="00C2717B">
            <w:pPr>
              <w:spacing w:after="0" w:line="278" w:lineRule="auto"/>
              <w:ind w:firstLine="0"/>
              <w:jc w:val="center"/>
              <w:rPr>
                <w:lang w:eastAsia="zh-CN"/>
              </w:rPr>
            </w:pPr>
            <w:r>
              <w:rPr>
                <w:color w:val="2D3748"/>
                <w:sz w:val="16"/>
                <w:lang w:eastAsia="zh-CN"/>
              </w:rPr>
              <w:t>盈亏平衡、投资回收期、净现值、敏感性和最坏情况。</w:t>
            </w:r>
          </w:p>
        </w:tc>
        <w:tc>
          <w:tcPr>
            <w:tcW w:w="3744" w:type="dxa"/>
            <w:tcMar>
              <w:top w:w="90" w:type="dxa"/>
              <w:left w:w="125" w:type="dxa"/>
              <w:bottom w:w="90" w:type="dxa"/>
              <w:right w:w="125" w:type="dxa"/>
            </w:tcMar>
            <w:vAlign w:val="center"/>
          </w:tcPr>
          <w:p w14:paraId="62E4F42C" w14:textId="77777777" w:rsidR="00735A9E" w:rsidRDefault="00000000" w:rsidP="00C2717B">
            <w:pPr>
              <w:spacing w:after="0" w:line="278" w:lineRule="auto"/>
              <w:ind w:firstLine="0"/>
              <w:jc w:val="center"/>
              <w:rPr>
                <w:lang w:eastAsia="zh-CN"/>
              </w:rPr>
            </w:pPr>
            <w:r>
              <w:rPr>
                <w:color w:val="2D3748"/>
                <w:sz w:val="16"/>
                <w:lang w:eastAsia="zh-CN"/>
              </w:rPr>
              <w:t>敏感性热力图、盈亏平衡和现金安全边界。</w:t>
            </w:r>
          </w:p>
        </w:tc>
      </w:tr>
    </w:tbl>
    <w:p w14:paraId="10B2F141" w14:textId="77777777" w:rsidR="00735A9E" w:rsidRDefault="00735A9E">
      <w:pPr>
        <w:rPr>
          <w:lang w:eastAsia="zh-CN"/>
        </w:rPr>
      </w:pPr>
    </w:p>
    <w:p w14:paraId="3BDE0B6D"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50693302" w14:textId="77777777" w:rsidR="00735A9E" w:rsidRDefault="00000000">
      <w:pPr>
        <w:pStyle w:val="21"/>
        <w:rPr>
          <w:lang w:eastAsia="zh-CN"/>
        </w:rPr>
      </w:pPr>
      <w:r>
        <w:rPr>
          <w:rFonts w:ascii="Times New Roman" w:eastAsia="仿宋" w:hAnsi="Times New Roman" w:cs="仿宋"/>
          <w:lang w:eastAsia="zh-CN"/>
        </w:rPr>
        <w:t xml:space="preserve">9.1 </w:t>
      </w:r>
      <w:r>
        <w:rPr>
          <w:rFonts w:ascii="Times New Roman" w:eastAsia="仿宋" w:hAnsi="Times New Roman" w:cs="仿宋"/>
          <w:lang w:eastAsia="zh-CN"/>
        </w:rPr>
        <w:t>收入预测口径</w:t>
      </w:r>
    </w:p>
    <w:p w14:paraId="20CB8CED" w14:textId="1E90597B" w:rsidR="00D72645" w:rsidRDefault="00D72645" w:rsidP="00D72645">
      <w:pPr>
        <w:rPr>
          <w:rFonts w:hint="eastAsia"/>
          <w:lang w:eastAsia="zh-CN"/>
        </w:rPr>
      </w:pPr>
      <w:r>
        <w:rPr>
          <w:rFonts w:hint="eastAsia"/>
          <w:lang w:eastAsia="zh-CN"/>
        </w:rPr>
        <w:t>收入预测要解释的不仅是数字大小，更是数字背后的经营质量。许多商业计划书的财务预测在收入环节最容易犯的错误，是将市场规模乘以一个主观假设的市场份额，然后直接得出收入数字——这种“从市场规模倒推收入”的方法，本质上回避了客户从哪里来、为什么买单、能付多少钱、会不会续约等一系列具体问题。</w:t>
      </w:r>
      <w:proofErr w:type="spellStart"/>
      <w:r>
        <w:rPr>
          <w:rFonts w:hint="eastAsia"/>
          <w:lang w:eastAsia="zh-CN"/>
        </w:rPr>
        <w:t>SkyGuard</w:t>
      </w:r>
      <w:proofErr w:type="spellEnd"/>
      <w:r>
        <w:rPr>
          <w:rFonts w:hint="eastAsia"/>
          <w:lang w:eastAsia="zh-CN"/>
        </w:rPr>
        <w:t>采取相反的路径：从单个客户、单笔交易出发，逐层累加，最终形成收入预测。收入增长必须和客户数量、客单价、部署成本、续费率、回款周期和研发投入放在一起审视，否则财务预测便容易脱离经营实际，沦为单纯乐观假设的堆砌，对实际决策毫无指导意义。</w:t>
      </w:r>
    </w:p>
    <w:p w14:paraId="3C09EE24" w14:textId="22C58AB8" w:rsidR="00735A9E" w:rsidRDefault="00D72645" w:rsidP="00D72645">
      <w:pPr>
        <w:rPr>
          <w:rFonts w:hint="eastAsia"/>
          <w:lang w:eastAsia="zh-CN"/>
        </w:rPr>
      </w:pPr>
      <w:r>
        <w:rPr>
          <w:rFonts w:hint="eastAsia"/>
          <w:lang w:eastAsia="zh-CN"/>
        </w:rPr>
        <w:t>资金使用应优先服务产品打磨、试点交付、数据治理、客户成功和必要伙伴接入，同时控制并行项目的数量，避免因摊子铺得过大而降低每个项目的交付质量。低空领域的特殊性在于，客户多为政府或国企单位，其项目审批流程和付款流程均较长，回款周期可能远超普通企业级</w:t>
      </w:r>
      <w:r>
        <w:rPr>
          <w:rFonts w:hint="eastAsia"/>
          <w:lang w:eastAsia="zh-CN"/>
        </w:rPr>
        <w:t>SaaS</w:t>
      </w:r>
      <w:r>
        <w:rPr>
          <w:rFonts w:hint="eastAsia"/>
          <w:lang w:eastAsia="zh-CN"/>
        </w:rPr>
        <w:lastRenderedPageBreak/>
        <w:t>项目。这一约束必须前置到扩张节奏的决策中——如果无视回款周期的拉长而盲目加速扩张，现金流的断裂只是时间问题。</w:t>
      </w:r>
    </w:p>
    <w:p w14:paraId="6401C04E" w14:textId="77777777" w:rsidR="00735A9E" w:rsidRDefault="00000000">
      <w:pPr>
        <w:pStyle w:val="af7"/>
        <w:keepLines/>
        <w:spacing w:before="80" w:after="160"/>
        <w:rPr>
          <w:lang w:eastAsia="zh-CN"/>
        </w:rPr>
      </w:pPr>
      <w:r>
        <w:rPr>
          <w:noProof/>
        </w:rPr>
        <w:drawing>
          <wp:inline distT="0" distB="0" distL="0" distR="0" wp14:anchorId="4D05CB13" wp14:editId="1234D5FD">
            <wp:extent cx="5549900" cy="3502114"/>
            <wp:effectExtent l="0" t="0" r="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收入乘数与折现率敏感性.png"/>
                    <pic:cNvPicPr/>
                  </pic:nvPicPr>
                  <pic:blipFill>
                    <a:blip r:embed="rId9"/>
                    <a:stretch>
                      <a:fillRect/>
                    </a:stretch>
                  </pic:blipFill>
                  <pic:spPr>
                    <a:xfrm>
                      <a:off x="0" y="0"/>
                      <a:ext cx="5564684" cy="3511443"/>
                    </a:xfrm>
                    <a:prstGeom prst="rect">
                      <a:avLst/>
                    </a:prstGeom>
                  </pic:spPr>
                </pic:pic>
              </a:graphicData>
            </a:graphic>
          </wp:inline>
        </w:drawing>
      </w:r>
      <w:r>
        <w:rPr>
          <w:lang w:eastAsia="zh-CN"/>
        </w:rPr>
        <w:br/>
      </w:r>
      <w:r>
        <w:rPr>
          <w:lang w:eastAsia="zh-CN"/>
        </w:rPr>
        <w:t>图</w:t>
      </w:r>
      <w:r>
        <w:rPr>
          <w:lang w:eastAsia="zh-CN"/>
        </w:rPr>
        <w:t xml:space="preserve"> 116 </w:t>
      </w:r>
      <w:r>
        <w:rPr>
          <w:lang w:eastAsia="zh-CN"/>
        </w:rPr>
        <w:t>收入乘数与折现率敏感性</w:t>
      </w:r>
      <w:r>
        <w:rPr>
          <w:lang w:eastAsia="zh-CN"/>
        </w:rPr>
        <w:t xml:space="preserve"> </w:t>
      </w:r>
      <w:r>
        <w:rPr>
          <w:lang w:eastAsia="zh-CN"/>
        </w:rPr>
        <w:t>资料来源：经营假设、平台演示样本与整理数据。要点：敏感性热力图能直接说明收入假设和折现率变化对项目价值的影响。</w:t>
      </w:r>
    </w:p>
    <w:p w14:paraId="323B5963" w14:textId="77777777" w:rsidR="00735A9E" w:rsidRDefault="00000000">
      <w:pPr>
        <w:rPr>
          <w:lang w:eastAsia="zh-CN"/>
        </w:rPr>
      </w:pPr>
      <w:r>
        <w:rPr>
          <w:lang w:eastAsia="zh-CN"/>
        </w:rPr>
        <w:t>收入乘数与折现率敏感性对应的财务判断是：敏感性热力图能直接说明收入假设和折现率变化对项目价值的影响。资料口径来自经营假设、平台演示样本与整理数据。</w:t>
      </w:r>
    </w:p>
    <w:p w14:paraId="29E0F7C5" w14:textId="77777777" w:rsidR="00735A9E" w:rsidRDefault="00000000">
      <w:pPr>
        <w:rPr>
          <w:lang w:eastAsia="zh-CN"/>
        </w:rPr>
      </w:pPr>
      <w:r>
        <w:rPr>
          <w:lang w:eastAsia="zh-CN"/>
        </w:rPr>
        <w:t>这个判断的价值在于把市场机会压到客户每天会处理的事务上。</w:t>
      </w:r>
      <w:r>
        <w:rPr>
          <w:lang w:eastAsia="zh-CN"/>
        </w:rPr>
        <w:t xml:space="preserve"> </w:t>
      </w:r>
      <w:r>
        <w:rPr>
          <w:lang w:eastAsia="zh-CN"/>
        </w:rPr>
        <w:t>财务章节的重点不是把数字写大，而是说明假设之间如何相互支撑。</w:t>
      </w:r>
    </w:p>
    <w:p w14:paraId="368DFB03" w14:textId="77777777" w:rsidR="00735A9E" w:rsidRDefault="00000000">
      <w:pPr>
        <w:rPr>
          <w:lang w:eastAsia="zh-CN"/>
        </w:rPr>
      </w:pPr>
      <w:r>
        <w:rPr>
          <w:lang w:eastAsia="zh-CN"/>
        </w:rPr>
        <w:t>财务章节处理收入预测时，把增长、毛利、现金流和回款周期放在一起看。这样可以说明项目如何活下去，而不是只把未来收入写高。</w:t>
      </w:r>
    </w:p>
    <w:p w14:paraId="7FE36FA3" w14:textId="77777777" w:rsidR="00735A9E" w:rsidRDefault="00000000">
      <w:pPr>
        <w:pStyle w:val="a0"/>
        <w:rPr>
          <w:lang w:eastAsia="zh-CN"/>
        </w:rPr>
      </w:pPr>
      <w:r>
        <w:rPr>
          <w:color w:val="2D3748"/>
          <w:lang w:eastAsia="zh-CN"/>
        </w:rPr>
        <w:t>关注客单价、交付成本、续费率和回款周期</w:t>
      </w:r>
    </w:p>
    <w:p w14:paraId="533EC057" w14:textId="77777777" w:rsidR="00735A9E" w:rsidRDefault="00000000">
      <w:pPr>
        <w:pStyle w:val="a0"/>
        <w:rPr>
          <w:lang w:eastAsia="zh-CN"/>
        </w:rPr>
      </w:pPr>
      <w:r>
        <w:rPr>
          <w:color w:val="2D3748"/>
          <w:lang w:eastAsia="zh-CN"/>
        </w:rPr>
        <w:t>依据：经营假设、平台演示样本与整理数据</w:t>
      </w:r>
    </w:p>
    <w:p w14:paraId="2965BAD3" w14:textId="77777777" w:rsidR="00735A9E" w:rsidRDefault="00000000">
      <w:pPr>
        <w:pStyle w:val="a0"/>
        <w:rPr>
          <w:lang w:eastAsia="zh-CN"/>
        </w:rPr>
      </w:pPr>
      <w:r>
        <w:rPr>
          <w:color w:val="2D3748"/>
          <w:lang w:eastAsia="zh-CN"/>
        </w:rPr>
        <w:t>经营判断：敏感性热力图能直接说明收入假设和折现率变化对项目价值的影响。</w:t>
      </w:r>
    </w:p>
    <w:p w14:paraId="3EBCF5BD"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722C1944" w14:textId="77777777" w:rsidR="00735A9E" w:rsidRDefault="00000000">
      <w:pPr>
        <w:pStyle w:val="21"/>
        <w:rPr>
          <w:lang w:eastAsia="zh-CN"/>
        </w:rPr>
      </w:pPr>
      <w:r>
        <w:rPr>
          <w:rFonts w:ascii="Times New Roman" w:eastAsia="仿宋" w:hAnsi="Times New Roman" w:cs="仿宋"/>
          <w:lang w:eastAsia="zh-CN"/>
        </w:rPr>
        <w:t xml:space="preserve">9.2 </w:t>
      </w:r>
      <w:r>
        <w:rPr>
          <w:rFonts w:ascii="Times New Roman" w:eastAsia="仿宋" w:hAnsi="Times New Roman" w:cs="仿宋"/>
          <w:lang w:eastAsia="zh-CN"/>
        </w:rPr>
        <w:t>成本结构口径</w:t>
      </w:r>
    </w:p>
    <w:p w14:paraId="726E1DF1" w14:textId="0B7DDF43" w:rsidR="00E462D2" w:rsidRDefault="00E462D2" w:rsidP="00E462D2">
      <w:pPr>
        <w:rPr>
          <w:rFonts w:hint="eastAsia"/>
          <w:lang w:eastAsia="zh-CN"/>
        </w:rPr>
      </w:pPr>
      <w:r>
        <w:rPr>
          <w:rFonts w:hint="eastAsia"/>
          <w:lang w:eastAsia="zh-CN"/>
        </w:rPr>
        <w:t>成本结构要解释的同样是经营质量。许多财务预测在成本端常犯的错误是只列示总额而不做结构拆分，或者将所有成本简单按比例随收入增长而放大。这种做法掩盖了一个关键问题：哪些成本是固定的，哪些是变动的？固定成本在收入不及预期时会形成刚性压力，变动成本则需要在每一单交易中检验其合理性。</w:t>
      </w:r>
      <w:proofErr w:type="spellStart"/>
      <w:r>
        <w:rPr>
          <w:rFonts w:hint="eastAsia"/>
          <w:lang w:eastAsia="zh-CN"/>
        </w:rPr>
        <w:t>SkyGuard</w:t>
      </w:r>
      <w:proofErr w:type="spellEnd"/>
      <w:r>
        <w:rPr>
          <w:rFonts w:hint="eastAsia"/>
          <w:lang w:eastAsia="zh-CN"/>
        </w:rPr>
        <w:t>的成本结构中，云资源消耗和第三方数据接口调用费随业务量线性增长，属于典型的变动成本；而研发人员薪酬和核心基础设施运维费则在较长时间内保持稳定，属于固定成本。理解这一区分，才能在不同收入情景下准确判断利润的变化幅度。</w:t>
      </w:r>
    </w:p>
    <w:p w14:paraId="3C5817E5" w14:textId="76EACBAD" w:rsidR="00735A9E" w:rsidRDefault="00E462D2" w:rsidP="00E462D2">
      <w:pPr>
        <w:rPr>
          <w:lang w:eastAsia="zh-CN"/>
        </w:rPr>
      </w:pPr>
      <w:r>
        <w:rPr>
          <w:rFonts w:hint="eastAsia"/>
          <w:lang w:eastAsia="zh-CN"/>
        </w:rPr>
        <w:lastRenderedPageBreak/>
        <w:t>资金使用应优先服务产品打磨、试点交付、数据治理、客户成功和必要伙伴接入，同时控制并行项目的数量。低空项目的回款周期可能拉长，这一约束必须在扩张节奏之前予以充分考虑——若忽视回款周期的压力而贸然扩张团队规模，固定成本将迅速消耗现金储备</w:t>
      </w:r>
      <w:r w:rsidR="00000000">
        <w:rPr>
          <w:lang w:eastAsia="zh-CN"/>
        </w:rPr>
        <w:t>。</w:t>
      </w:r>
    </w:p>
    <w:p w14:paraId="1A99885B" w14:textId="77777777" w:rsidR="00735A9E" w:rsidRDefault="00000000">
      <w:pPr>
        <w:pStyle w:val="af7"/>
        <w:keepLines/>
        <w:spacing w:before="80" w:after="160"/>
        <w:rPr>
          <w:lang w:eastAsia="zh-CN"/>
        </w:rPr>
      </w:pPr>
      <w:r>
        <w:rPr>
          <w:noProof/>
        </w:rPr>
        <w:drawing>
          <wp:inline distT="0" distB="0" distL="0" distR="0" wp14:anchorId="794FBC38" wp14:editId="782FC6AD">
            <wp:extent cx="5463864" cy="3009960"/>
            <wp:effectExtent l="0" t="0" r="381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五年收入结构堆叠面积.png"/>
                    <pic:cNvPicPr/>
                  </pic:nvPicPr>
                  <pic:blipFill>
                    <a:blip r:embed="rId10"/>
                    <a:stretch>
                      <a:fillRect/>
                    </a:stretch>
                  </pic:blipFill>
                  <pic:spPr>
                    <a:xfrm>
                      <a:off x="0" y="0"/>
                      <a:ext cx="5490517" cy="3024643"/>
                    </a:xfrm>
                    <a:prstGeom prst="rect">
                      <a:avLst/>
                    </a:prstGeom>
                  </pic:spPr>
                </pic:pic>
              </a:graphicData>
            </a:graphic>
          </wp:inline>
        </w:drawing>
      </w:r>
      <w:r>
        <w:rPr>
          <w:lang w:eastAsia="zh-CN"/>
        </w:rPr>
        <w:br/>
      </w:r>
      <w:r>
        <w:rPr>
          <w:lang w:eastAsia="zh-CN"/>
        </w:rPr>
        <w:t>图</w:t>
      </w:r>
      <w:r>
        <w:rPr>
          <w:lang w:eastAsia="zh-CN"/>
        </w:rPr>
        <w:t xml:space="preserve"> 117 </w:t>
      </w:r>
      <w:r>
        <w:rPr>
          <w:lang w:eastAsia="zh-CN"/>
        </w:rPr>
        <w:t>五年收入结构堆叠面积</w:t>
      </w:r>
      <w:r>
        <w:rPr>
          <w:lang w:eastAsia="zh-CN"/>
        </w:rPr>
        <w:t xml:space="preserve"> </w:t>
      </w:r>
      <w:r>
        <w:rPr>
          <w:lang w:eastAsia="zh-CN"/>
        </w:rPr>
        <w:t>资料来源：经营假设、平台演示样本与整理数据。要点：堆叠面积图比单线收入更能说明收入结构变化。</w:t>
      </w:r>
    </w:p>
    <w:p w14:paraId="0F10CE93" w14:textId="77777777" w:rsidR="00735A9E" w:rsidRDefault="00000000">
      <w:pPr>
        <w:rPr>
          <w:lang w:eastAsia="zh-CN"/>
        </w:rPr>
      </w:pPr>
      <w:r>
        <w:rPr>
          <w:lang w:eastAsia="zh-CN"/>
        </w:rPr>
        <w:t>五年收入结构堆叠面积对应的财务判断是：堆叠面积图比单线收入更能说明收入结构变化。资料口径来自经营假设、平台演示样本与整理数据。</w:t>
      </w:r>
    </w:p>
    <w:p w14:paraId="12D183C5" w14:textId="77777777" w:rsidR="00735A9E" w:rsidRDefault="00000000">
      <w:pPr>
        <w:rPr>
          <w:lang w:eastAsia="zh-CN"/>
        </w:rPr>
      </w:pPr>
      <w:r>
        <w:rPr>
          <w:lang w:eastAsia="zh-CN"/>
        </w:rPr>
        <w:t>它把外部资料、产品动作和交付边界连在一起，便于后续试点逐项核验。</w:t>
      </w:r>
      <w:r>
        <w:rPr>
          <w:lang w:eastAsia="zh-CN"/>
        </w:rPr>
        <w:t xml:space="preserve"> </w:t>
      </w:r>
      <w:r>
        <w:rPr>
          <w:lang w:eastAsia="zh-CN"/>
        </w:rPr>
        <w:t>财务章节的重点不是把数字写大，而是说明假设之间如何相互支撑。</w:t>
      </w:r>
    </w:p>
    <w:p w14:paraId="0AB8D00C" w14:textId="77777777" w:rsidR="00735A9E" w:rsidRDefault="00000000">
      <w:pPr>
        <w:rPr>
          <w:lang w:eastAsia="zh-CN"/>
        </w:rPr>
      </w:pPr>
      <w:r>
        <w:rPr>
          <w:lang w:eastAsia="zh-CN"/>
        </w:rPr>
        <w:t>财务章节处理成本结构时，把增长、毛利、现金流和回款周期放在一起看。这样可以说明项目如何活下去，而不是只把未来收入写高。</w:t>
      </w:r>
    </w:p>
    <w:p w14:paraId="6F1207AA" w14:textId="77777777" w:rsidR="00735A9E" w:rsidRDefault="00000000">
      <w:pPr>
        <w:pStyle w:val="a0"/>
        <w:rPr>
          <w:lang w:eastAsia="zh-CN"/>
        </w:rPr>
      </w:pPr>
      <w:r>
        <w:rPr>
          <w:color w:val="2D3748"/>
          <w:lang w:eastAsia="zh-CN"/>
        </w:rPr>
        <w:t>关注客单价、交付成本、续费率和回款周期</w:t>
      </w:r>
    </w:p>
    <w:p w14:paraId="21BD0483" w14:textId="77777777" w:rsidR="00735A9E" w:rsidRDefault="00000000">
      <w:pPr>
        <w:pStyle w:val="a0"/>
        <w:rPr>
          <w:lang w:eastAsia="zh-CN"/>
        </w:rPr>
      </w:pPr>
      <w:r>
        <w:rPr>
          <w:color w:val="2D3748"/>
          <w:lang w:eastAsia="zh-CN"/>
        </w:rPr>
        <w:t>依据：经营假设、平台演示样本与整理数据</w:t>
      </w:r>
    </w:p>
    <w:p w14:paraId="6B62E3E3" w14:textId="77777777" w:rsidR="00735A9E" w:rsidRDefault="00000000">
      <w:pPr>
        <w:pStyle w:val="a0"/>
        <w:rPr>
          <w:lang w:eastAsia="zh-CN"/>
        </w:rPr>
      </w:pPr>
      <w:r>
        <w:rPr>
          <w:color w:val="2D3748"/>
          <w:lang w:eastAsia="zh-CN"/>
        </w:rPr>
        <w:t>经营判断：堆叠面积图比单线收入更能说明收入结构变化。</w:t>
      </w:r>
    </w:p>
    <w:p w14:paraId="4BCD748C"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23FD0D15" w14:textId="77777777" w:rsidR="00735A9E" w:rsidRDefault="00000000">
      <w:pPr>
        <w:pStyle w:val="21"/>
        <w:rPr>
          <w:lang w:eastAsia="zh-CN"/>
        </w:rPr>
      </w:pPr>
      <w:r>
        <w:rPr>
          <w:rFonts w:ascii="Times New Roman" w:eastAsia="仿宋" w:hAnsi="Times New Roman" w:cs="仿宋"/>
          <w:lang w:eastAsia="zh-CN"/>
        </w:rPr>
        <w:t xml:space="preserve">9.3 </w:t>
      </w:r>
      <w:r>
        <w:rPr>
          <w:rFonts w:ascii="Times New Roman" w:eastAsia="仿宋" w:hAnsi="Times New Roman" w:cs="仿宋"/>
          <w:lang w:eastAsia="zh-CN"/>
        </w:rPr>
        <w:t>毛利路径解释</w:t>
      </w:r>
    </w:p>
    <w:p w14:paraId="3DEB9986" w14:textId="77777777" w:rsidR="00735A9E" w:rsidRDefault="00000000">
      <w:pPr>
        <w:rPr>
          <w:lang w:eastAsia="zh-CN"/>
        </w:rPr>
      </w:pPr>
      <w:r>
        <w:rPr>
          <w:lang w:eastAsia="zh-CN"/>
        </w:rPr>
        <w:t>毛利路径要解释经营质量。收入增长必须和客户数量、客单价、部署成本、续费率、回款周期和研发投入一起看，否则财务预测容易变成单纯乐观假设。</w:t>
      </w:r>
    </w:p>
    <w:p w14:paraId="126D7AAE" w14:textId="77777777" w:rsidR="00735A9E" w:rsidRDefault="00000000">
      <w:pPr>
        <w:rPr>
          <w:lang w:eastAsia="zh-CN"/>
        </w:rPr>
      </w:pPr>
      <w:r>
        <w:rPr>
          <w:lang w:eastAsia="zh-CN"/>
        </w:rPr>
        <w:t>资金使用应优先服务产品打磨、试点交付、数据治理、客户成功和必要伙伴接入，同时控制并行项目数量。低空项目的回款周期可能拉长，现金流约束必须放在扩张节奏之前。</w:t>
      </w:r>
    </w:p>
    <w:p w14:paraId="0D082641" w14:textId="77777777" w:rsidR="00735A9E" w:rsidRDefault="00000000">
      <w:pPr>
        <w:pStyle w:val="af7"/>
        <w:keepLines/>
        <w:spacing w:before="80" w:after="160"/>
        <w:rPr>
          <w:lang w:eastAsia="zh-CN"/>
        </w:rPr>
      </w:pPr>
      <w:r>
        <w:rPr>
          <w:noProof/>
        </w:rPr>
        <w:lastRenderedPageBreak/>
        <w:drawing>
          <wp:inline distT="0" distB="0" distL="0" distR="0" wp14:anchorId="7EB5CD28" wp14:editId="6EAB5D1D">
            <wp:extent cx="3821501" cy="3739867"/>
            <wp:effectExtent l="0" t="0" r="762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融资资金用途玫瑰图.png"/>
                    <pic:cNvPicPr/>
                  </pic:nvPicPr>
                  <pic:blipFill>
                    <a:blip r:embed="rId11"/>
                    <a:stretch>
                      <a:fillRect/>
                    </a:stretch>
                  </pic:blipFill>
                  <pic:spPr>
                    <a:xfrm>
                      <a:off x="0" y="0"/>
                      <a:ext cx="3828520" cy="3746736"/>
                    </a:xfrm>
                    <a:prstGeom prst="rect">
                      <a:avLst/>
                    </a:prstGeom>
                  </pic:spPr>
                </pic:pic>
              </a:graphicData>
            </a:graphic>
          </wp:inline>
        </w:drawing>
      </w:r>
      <w:r>
        <w:rPr>
          <w:lang w:eastAsia="zh-CN"/>
        </w:rPr>
        <w:br/>
      </w:r>
      <w:r>
        <w:rPr>
          <w:lang w:eastAsia="zh-CN"/>
        </w:rPr>
        <w:t>图</w:t>
      </w:r>
      <w:r>
        <w:rPr>
          <w:lang w:eastAsia="zh-CN"/>
        </w:rPr>
        <w:t xml:space="preserve"> 118 </w:t>
      </w:r>
      <w:r>
        <w:rPr>
          <w:lang w:eastAsia="zh-CN"/>
        </w:rPr>
        <w:t>融资资金用途玫瑰图</w:t>
      </w:r>
      <w:r>
        <w:rPr>
          <w:lang w:eastAsia="zh-CN"/>
        </w:rPr>
        <w:t xml:space="preserve"> </w:t>
      </w:r>
      <w:r>
        <w:rPr>
          <w:lang w:eastAsia="zh-CN"/>
        </w:rPr>
        <w:t>资料来源：经营模型假设，详见</w:t>
      </w:r>
      <w:proofErr w:type="spellStart"/>
      <w:r>
        <w:rPr>
          <w:lang w:eastAsia="zh-CN"/>
        </w:rPr>
        <w:t>SkyGuard</w:t>
      </w:r>
      <w:proofErr w:type="spellEnd"/>
      <w:r>
        <w:rPr>
          <w:lang w:eastAsia="zh-CN"/>
        </w:rPr>
        <w:t>_</w:t>
      </w:r>
      <w:r>
        <w:rPr>
          <w:lang w:eastAsia="zh-CN"/>
        </w:rPr>
        <w:t>财务测算表</w:t>
      </w:r>
      <w:r>
        <w:rPr>
          <w:lang w:eastAsia="zh-CN"/>
        </w:rPr>
        <w:t>.xlsx</w:t>
      </w:r>
      <w:r>
        <w:rPr>
          <w:lang w:eastAsia="zh-CN"/>
        </w:rPr>
        <w:t>。要点：资金用途以研发、试点交付和销售启动为主，避免写成泛泛扩张。</w:t>
      </w:r>
    </w:p>
    <w:p w14:paraId="0CB03234" w14:textId="77777777" w:rsidR="00735A9E" w:rsidRDefault="00000000">
      <w:pPr>
        <w:rPr>
          <w:lang w:eastAsia="zh-CN"/>
        </w:rPr>
      </w:pPr>
      <w:r>
        <w:rPr>
          <w:lang w:eastAsia="zh-CN"/>
        </w:rPr>
        <w:t xml:space="preserve">9.3 </w:t>
      </w:r>
      <w:r>
        <w:rPr>
          <w:lang w:eastAsia="zh-CN"/>
        </w:rPr>
        <w:t>毛利路径解释对应的财务判断是：带状折线图能表达现金预测的不确定性和安全边界。资料口径来自经营假设、平台演示样本与整理数据。</w:t>
      </w:r>
    </w:p>
    <w:p w14:paraId="5E82BD45" w14:textId="77777777" w:rsidR="00735A9E" w:rsidRDefault="00000000">
      <w:pPr>
        <w:rPr>
          <w:lang w:eastAsia="zh-CN"/>
        </w:rPr>
      </w:pPr>
      <w:r>
        <w:rPr>
          <w:lang w:eastAsia="zh-CN"/>
        </w:rPr>
        <w:t>如果只看单个指标，容易把机会写成赛道热度；放回工作流，才能看到可收费的服务。</w:t>
      </w:r>
      <w:r>
        <w:rPr>
          <w:lang w:eastAsia="zh-CN"/>
        </w:rPr>
        <w:t xml:space="preserve"> </w:t>
      </w:r>
      <w:r>
        <w:rPr>
          <w:lang w:eastAsia="zh-CN"/>
        </w:rPr>
        <w:t>财务章节的重点不是把数字写大，而是说明假设之间如何相互支撑。</w:t>
      </w:r>
    </w:p>
    <w:p w14:paraId="58A3EBBD" w14:textId="77777777" w:rsidR="00735A9E" w:rsidRDefault="00000000">
      <w:pPr>
        <w:rPr>
          <w:lang w:eastAsia="zh-CN"/>
        </w:rPr>
      </w:pPr>
      <w:r>
        <w:rPr>
          <w:lang w:eastAsia="zh-CN"/>
        </w:rPr>
        <w:t>财务章节处理毛利路径时，把增长、毛利、现金流和回款周期放在一起看。这样可以说明项目如何活下去，而不是只把未来收入写高。</w:t>
      </w:r>
    </w:p>
    <w:p w14:paraId="23978C2D" w14:textId="77777777" w:rsidR="00735A9E" w:rsidRDefault="00000000">
      <w:pPr>
        <w:pStyle w:val="a0"/>
        <w:rPr>
          <w:lang w:eastAsia="zh-CN"/>
        </w:rPr>
      </w:pPr>
      <w:r>
        <w:rPr>
          <w:color w:val="2D3748"/>
          <w:lang w:eastAsia="zh-CN"/>
        </w:rPr>
        <w:t>关注客单价、交付成本、续费率和回款周期</w:t>
      </w:r>
    </w:p>
    <w:p w14:paraId="07E95E03" w14:textId="77777777" w:rsidR="00735A9E" w:rsidRDefault="00000000">
      <w:pPr>
        <w:pStyle w:val="a0"/>
        <w:rPr>
          <w:lang w:eastAsia="zh-CN"/>
        </w:rPr>
      </w:pPr>
      <w:r>
        <w:rPr>
          <w:color w:val="2D3748"/>
          <w:lang w:eastAsia="zh-CN"/>
        </w:rPr>
        <w:t>依据：经营假设、平台演示样本与整理数据</w:t>
      </w:r>
    </w:p>
    <w:p w14:paraId="1EC84D64" w14:textId="77777777" w:rsidR="00735A9E" w:rsidRDefault="00000000">
      <w:pPr>
        <w:pStyle w:val="a0"/>
        <w:rPr>
          <w:lang w:eastAsia="zh-CN"/>
        </w:rPr>
      </w:pPr>
      <w:r>
        <w:rPr>
          <w:color w:val="2D3748"/>
          <w:lang w:eastAsia="zh-CN"/>
        </w:rPr>
        <w:t>经营判断：带状折线图能表达现金预测的不确定性和安全边界。</w:t>
      </w:r>
    </w:p>
    <w:p w14:paraId="054DC6EE"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13D54486" w14:textId="77777777" w:rsidR="00735A9E" w:rsidRDefault="00000000">
      <w:pPr>
        <w:pStyle w:val="21"/>
        <w:rPr>
          <w:lang w:eastAsia="zh-CN"/>
        </w:rPr>
      </w:pPr>
      <w:r>
        <w:rPr>
          <w:rFonts w:ascii="Times New Roman" w:eastAsia="仿宋" w:hAnsi="Times New Roman" w:cs="仿宋"/>
          <w:lang w:eastAsia="zh-CN"/>
        </w:rPr>
        <w:t xml:space="preserve">9.4 </w:t>
      </w:r>
      <w:r>
        <w:rPr>
          <w:rFonts w:ascii="Times New Roman" w:eastAsia="仿宋" w:hAnsi="Times New Roman" w:cs="仿宋"/>
          <w:lang w:eastAsia="zh-CN"/>
        </w:rPr>
        <w:t>现金流约束</w:t>
      </w:r>
    </w:p>
    <w:p w14:paraId="77B274A9" w14:textId="77777777" w:rsidR="00735A9E" w:rsidRDefault="00000000">
      <w:pPr>
        <w:rPr>
          <w:lang w:eastAsia="zh-CN"/>
        </w:rPr>
      </w:pPr>
      <w:r>
        <w:rPr>
          <w:lang w:eastAsia="zh-CN"/>
        </w:rPr>
        <w:t>现金流要解释经营质量。收入增长必须和客户数量、客单价、部署成本、续费率、回款周期和研发投入一起看，否则财务预测容易变成单纯乐观假设。</w:t>
      </w:r>
    </w:p>
    <w:p w14:paraId="14326924" w14:textId="77777777" w:rsidR="00735A9E" w:rsidRDefault="00000000">
      <w:pPr>
        <w:rPr>
          <w:lang w:eastAsia="zh-CN"/>
        </w:rPr>
      </w:pPr>
      <w:r>
        <w:rPr>
          <w:lang w:eastAsia="zh-CN"/>
        </w:rPr>
        <w:t>资金使用应优先服务产品打磨、试点交付、数据治理、客户成功和必要伙伴接入，同时控制并行项目数量。低空项目的回款周期可能拉长，现金流约束必须放在扩张节奏之前。</w:t>
      </w:r>
    </w:p>
    <w:p w14:paraId="6CF8335C" w14:textId="77777777" w:rsidR="00735A9E" w:rsidRDefault="00000000">
      <w:pPr>
        <w:pStyle w:val="af7"/>
        <w:keepLines/>
        <w:spacing w:before="80" w:after="160"/>
        <w:rPr>
          <w:lang w:eastAsia="zh-CN"/>
        </w:rPr>
      </w:pPr>
      <w:r>
        <w:rPr>
          <w:noProof/>
        </w:rPr>
        <w:lastRenderedPageBreak/>
        <w:drawing>
          <wp:inline distT="0" distB="0" distL="0" distR="0" wp14:anchorId="6A647559" wp14:editId="6B04BF8E">
            <wp:extent cx="5155585" cy="2980822"/>
            <wp:effectExtent l="0" t="0" r="698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收入结构主题河流.png"/>
                    <pic:cNvPicPr/>
                  </pic:nvPicPr>
                  <pic:blipFill>
                    <a:blip r:embed="rId12"/>
                    <a:stretch>
                      <a:fillRect/>
                    </a:stretch>
                  </pic:blipFill>
                  <pic:spPr>
                    <a:xfrm>
                      <a:off x="0" y="0"/>
                      <a:ext cx="5166715" cy="2987257"/>
                    </a:xfrm>
                    <a:prstGeom prst="rect">
                      <a:avLst/>
                    </a:prstGeom>
                  </pic:spPr>
                </pic:pic>
              </a:graphicData>
            </a:graphic>
          </wp:inline>
        </w:drawing>
      </w:r>
      <w:r>
        <w:rPr>
          <w:lang w:eastAsia="zh-CN"/>
        </w:rPr>
        <w:br/>
      </w:r>
      <w:r>
        <w:rPr>
          <w:lang w:eastAsia="zh-CN"/>
        </w:rPr>
        <w:t>图</w:t>
      </w:r>
      <w:r>
        <w:rPr>
          <w:lang w:eastAsia="zh-CN"/>
        </w:rPr>
        <w:t xml:space="preserve"> 119 </w:t>
      </w:r>
      <w:r>
        <w:rPr>
          <w:lang w:eastAsia="zh-CN"/>
        </w:rPr>
        <w:t>收入结构主题河流</w:t>
      </w:r>
      <w:r>
        <w:rPr>
          <w:lang w:eastAsia="zh-CN"/>
        </w:rPr>
        <w:t xml:space="preserve"> </w:t>
      </w:r>
      <w:r>
        <w:rPr>
          <w:lang w:eastAsia="zh-CN"/>
        </w:rPr>
        <w:t>资料来源：经营假设、平台演示样本与整理数据。要点：主题河流图能表达收入结构的连续迁移。</w:t>
      </w:r>
    </w:p>
    <w:p w14:paraId="08D753DA" w14:textId="77777777" w:rsidR="00735A9E" w:rsidRDefault="00000000">
      <w:pPr>
        <w:rPr>
          <w:lang w:eastAsia="zh-CN"/>
        </w:rPr>
      </w:pPr>
      <w:r>
        <w:rPr>
          <w:lang w:eastAsia="zh-CN"/>
        </w:rPr>
        <w:t>收入结构主题河流对应的财务判断是：主题河流图能表达收入结构的连续迁移。资料口径来自经营假设、平台演示样本与整理数据。</w:t>
      </w:r>
    </w:p>
    <w:p w14:paraId="47B87663" w14:textId="77777777" w:rsidR="00735A9E" w:rsidRDefault="00000000">
      <w:pPr>
        <w:rPr>
          <w:lang w:eastAsia="zh-CN"/>
        </w:rPr>
      </w:pPr>
      <w:r>
        <w:rPr>
          <w:lang w:eastAsia="zh-CN"/>
        </w:rPr>
        <w:t>早期样板应优先选择责任主体清楚、边界稳定、记录可追溯的区域。</w:t>
      </w:r>
      <w:r>
        <w:rPr>
          <w:lang w:eastAsia="zh-CN"/>
        </w:rPr>
        <w:t xml:space="preserve"> </w:t>
      </w:r>
      <w:r>
        <w:rPr>
          <w:lang w:eastAsia="zh-CN"/>
        </w:rPr>
        <w:t>财务章节的重点不是把数字写大，而是说明假设之间如何相互支撑。</w:t>
      </w:r>
    </w:p>
    <w:p w14:paraId="0AA2838B" w14:textId="77777777" w:rsidR="00735A9E" w:rsidRDefault="00000000">
      <w:pPr>
        <w:rPr>
          <w:lang w:eastAsia="zh-CN"/>
        </w:rPr>
      </w:pPr>
      <w:r>
        <w:rPr>
          <w:lang w:eastAsia="zh-CN"/>
        </w:rPr>
        <w:t>财务章节处理现金流时，把增长、毛利、现金流和回款周期放在一起看。这样可以说明项目如何活下去，而不是只把未来收入写高。</w:t>
      </w:r>
    </w:p>
    <w:p w14:paraId="179D1B3A" w14:textId="77777777" w:rsidR="00735A9E" w:rsidRDefault="00000000">
      <w:pPr>
        <w:pStyle w:val="a0"/>
        <w:rPr>
          <w:lang w:eastAsia="zh-CN"/>
        </w:rPr>
      </w:pPr>
      <w:r>
        <w:rPr>
          <w:color w:val="2D3748"/>
          <w:lang w:eastAsia="zh-CN"/>
        </w:rPr>
        <w:t>关注客单价、交付成本、续费率和回款周期</w:t>
      </w:r>
    </w:p>
    <w:p w14:paraId="012A4E99" w14:textId="77777777" w:rsidR="00735A9E" w:rsidRDefault="00000000">
      <w:pPr>
        <w:pStyle w:val="a0"/>
        <w:rPr>
          <w:lang w:eastAsia="zh-CN"/>
        </w:rPr>
      </w:pPr>
      <w:r>
        <w:rPr>
          <w:color w:val="2D3748"/>
          <w:lang w:eastAsia="zh-CN"/>
        </w:rPr>
        <w:t>依据：经营假设、平台演示样本与整理数据</w:t>
      </w:r>
    </w:p>
    <w:p w14:paraId="4F1604D8" w14:textId="77777777" w:rsidR="00735A9E" w:rsidRDefault="00000000">
      <w:pPr>
        <w:pStyle w:val="a0"/>
        <w:rPr>
          <w:lang w:eastAsia="zh-CN"/>
        </w:rPr>
      </w:pPr>
      <w:r>
        <w:rPr>
          <w:color w:val="2D3748"/>
          <w:lang w:eastAsia="zh-CN"/>
        </w:rPr>
        <w:t>经营判断：主题河流图能表达收入结构的连续迁移。</w:t>
      </w:r>
    </w:p>
    <w:p w14:paraId="1AC4B454" w14:textId="77777777" w:rsidR="00735A9E" w:rsidRDefault="00000000">
      <w:pPr>
        <w:pStyle w:val="af7"/>
        <w:keepLines/>
        <w:spacing w:before="20"/>
        <w:rPr>
          <w:lang w:eastAsia="zh-CN"/>
        </w:rPr>
      </w:pPr>
      <w:r>
        <w:rPr>
          <w:lang w:eastAsia="zh-CN"/>
        </w:rPr>
        <w:t>表</w:t>
      </w:r>
      <w:r>
        <w:rPr>
          <w:lang w:eastAsia="zh-CN"/>
        </w:rPr>
        <w:t xml:space="preserve"> 25 </w:t>
      </w:r>
      <w:r>
        <w:rPr>
          <w:lang w:eastAsia="zh-CN"/>
        </w:rPr>
        <w:t>第九章</w:t>
      </w:r>
      <w:r>
        <w:rPr>
          <w:lang w:eastAsia="zh-CN"/>
        </w:rPr>
        <w:t xml:space="preserve"> </w:t>
      </w:r>
      <w:r>
        <w:rPr>
          <w:lang w:eastAsia="zh-CN"/>
        </w:rPr>
        <w:t>财务预测：</w:t>
      </w:r>
      <w:r>
        <w:rPr>
          <w:lang w:eastAsia="zh-CN"/>
        </w:rPr>
        <w:t xml:space="preserve">9.4 </w:t>
      </w:r>
      <w:r>
        <w:rPr>
          <w:lang w:eastAsia="zh-CN"/>
        </w:rPr>
        <w:t>现金流约束</w:t>
      </w:r>
    </w:p>
    <w:tbl>
      <w:tblPr>
        <w:tblStyle w:val="aff1"/>
        <w:tblW w:w="0" w:type="auto"/>
        <w:jc w:val="center"/>
        <w:tblLayout w:type="fixed"/>
        <w:tblLook w:val="04A0" w:firstRow="1" w:lastRow="0" w:firstColumn="1" w:lastColumn="0" w:noHBand="0" w:noVBand="1"/>
      </w:tblPr>
      <w:tblGrid>
        <w:gridCol w:w="2232"/>
        <w:gridCol w:w="7128"/>
      </w:tblGrid>
      <w:tr w:rsidR="00735A9E" w14:paraId="04BA201D" w14:textId="77777777">
        <w:trPr>
          <w:tblHeader/>
          <w:jc w:val="center"/>
        </w:trPr>
        <w:tc>
          <w:tcPr>
            <w:tcW w:w="2232" w:type="dxa"/>
            <w:shd w:val="clear" w:color="auto" w:fill="E5F0ED"/>
            <w:tcMar>
              <w:top w:w="95" w:type="dxa"/>
              <w:left w:w="125" w:type="dxa"/>
              <w:bottom w:w="95" w:type="dxa"/>
              <w:right w:w="125" w:type="dxa"/>
            </w:tcMar>
            <w:vAlign w:val="center"/>
          </w:tcPr>
          <w:p w14:paraId="0746C200" w14:textId="77777777" w:rsidR="00735A9E" w:rsidRDefault="00000000" w:rsidP="00F54BAC">
            <w:pPr>
              <w:spacing w:after="0" w:line="269" w:lineRule="auto"/>
              <w:ind w:firstLine="0"/>
              <w:jc w:val="center"/>
            </w:pPr>
            <w:proofErr w:type="spellStart"/>
            <w:r>
              <w:rPr>
                <w:b/>
                <w:color w:val="151F2B"/>
                <w:sz w:val="17"/>
              </w:rPr>
              <w:t>假设项</w:t>
            </w:r>
            <w:proofErr w:type="spellEnd"/>
          </w:p>
        </w:tc>
        <w:tc>
          <w:tcPr>
            <w:tcW w:w="7128" w:type="dxa"/>
            <w:shd w:val="clear" w:color="auto" w:fill="E5F0ED"/>
            <w:tcMar>
              <w:top w:w="95" w:type="dxa"/>
              <w:left w:w="125" w:type="dxa"/>
              <w:bottom w:w="95" w:type="dxa"/>
              <w:right w:w="125" w:type="dxa"/>
            </w:tcMar>
            <w:vAlign w:val="center"/>
          </w:tcPr>
          <w:p w14:paraId="408D386A" w14:textId="77777777" w:rsidR="00735A9E" w:rsidRDefault="00000000" w:rsidP="00F54BAC">
            <w:pPr>
              <w:spacing w:after="0" w:line="269" w:lineRule="auto"/>
              <w:ind w:firstLine="0"/>
              <w:jc w:val="center"/>
            </w:pPr>
            <w:proofErr w:type="spellStart"/>
            <w:r>
              <w:rPr>
                <w:b/>
                <w:color w:val="151F2B"/>
                <w:sz w:val="17"/>
              </w:rPr>
              <w:t>模型口径</w:t>
            </w:r>
            <w:proofErr w:type="spellEnd"/>
          </w:p>
        </w:tc>
      </w:tr>
      <w:tr w:rsidR="00735A9E" w14:paraId="44DD5953" w14:textId="77777777">
        <w:trPr>
          <w:jc w:val="center"/>
        </w:trPr>
        <w:tc>
          <w:tcPr>
            <w:tcW w:w="2232" w:type="dxa"/>
            <w:tcMar>
              <w:top w:w="90" w:type="dxa"/>
              <w:left w:w="125" w:type="dxa"/>
              <w:bottom w:w="90" w:type="dxa"/>
              <w:right w:w="125" w:type="dxa"/>
            </w:tcMar>
            <w:vAlign w:val="center"/>
          </w:tcPr>
          <w:p w14:paraId="736EB7B2" w14:textId="77777777" w:rsidR="00735A9E" w:rsidRDefault="00000000" w:rsidP="00F54BAC">
            <w:pPr>
              <w:spacing w:after="0" w:line="278" w:lineRule="auto"/>
              <w:ind w:firstLine="0"/>
              <w:jc w:val="center"/>
            </w:pPr>
            <w:r>
              <w:rPr>
                <w:color w:val="2D3748"/>
                <w:sz w:val="16"/>
              </w:rPr>
              <w:t xml:space="preserve">Lite </w:t>
            </w:r>
            <w:proofErr w:type="spellStart"/>
            <w:r>
              <w:rPr>
                <w:color w:val="2D3748"/>
                <w:sz w:val="16"/>
              </w:rPr>
              <w:t>SaaS</w:t>
            </w:r>
            <w:r>
              <w:rPr>
                <w:color w:val="2D3748"/>
                <w:sz w:val="16"/>
              </w:rPr>
              <w:t>年费</w:t>
            </w:r>
            <w:proofErr w:type="spellEnd"/>
          </w:p>
        </w:tc>
        <w:tc>
          <w:tcPr>
            <w:tcW w:w="7128" w:type="dxa"/>
            <w:tcMar>
              <w:top w:w="90" w:type="dxa"/>
              <w:left w:w="125" w:type="dxa"/>
              <w:bottom w:w="90" w:type="dxa"/>
              <w:right w:w="125" w:type="dxa"/>
            </w:tcMar>
            <w:vAlign w:val="center"/>
          </w:tcPr>
          <w:p w14:paraId="798A2C95" w14:textId="77777777" w:rsidR="00735A9E" w:rsidRDefault="00000000" w:rsidP="00F54BAC">
            <w:pPr>
              <w:spacing w:after="0" w:line="278" w:lineRule="auto"/>
              <w:ind w:firstLine="0"/>
              <w:jc w:val="center"/>
            </w:pPr>
            <w:r>
              <w:rPr>
                <w:color w:val="2D3748"/>
                <w:sz w:val="16"/>
              </w:rPr>
              <w:t>8-15</w:t>
            </w:r>
            <w:r>
              <w:rPr>
                <w:color w:val="2D3748"/>
                <w:sz w:val="16"/>
              </w:rPr>
              <w:t>万元</w:t>
            </w:r>
            <w:r>
              <w:rPr>
                <w:color w:val="2D3748"/>
                <w:sz w:val="16"/>
              </w:rPr>
              <w:t>/</w:t>
            </w:r>
            <w:r>
              <w:rPr>
                <w:color w:val="2D3748"/>
                <w:sz w:val="16"/>
              </w:rPr>
              <w:t>年，模型取</w:t>
            </w:r>
            <w:r>
              <w:rPr>
                <w:color w:val="2D3748"/>
                <w:sz w:val="16"/>
              </w:rPr>
              <w:t>12</w:t>
            </w:r>
            <w:r>
              <w:rPr>
                <w:color w:val="2D3748"/>
                <w:sz w:val="16"/>
              </w:rPr>
              <w:t>万元</w:t>
            </w:r>
            <w:r>
              <w:rPr>
                <w:color w:val="2D3748"/>
                <w:sz w:val="16"/>
              </w:rPr>
              <w:t>/</w:t>
            </w:r>
            <w:r>
              <w:rPr>
                <w:color w:val="2D3748"/>
                <w:sz w:val="16"/>
              </w:rPr>
              <w:t>年</w:t>
            </w:r>
          </w:p>
        </w:tc>
      </w:tr>
      <w:tr w:rsidR="00735A9E" w14:paraId="415D37A2" w14:textId="77777777">
        <w:trPr>
          <w:jc w:val="center"/>
        </w:trPr>
        <w:tc>
          <w:tcPr>
            <w:tcW w:w="2232" w:type="dxa"/>
            <w:shd w:val="clear" w:color="auto" w:fill="F7F9FB"/>
            <w:tcMar>
              <w:top w:w="90" w:type="dxa"/>
              <w:left w:w="125" w:type="dxa"/>
              <w:bottom w:w="90" w:type="dxa"/>
              <w:right w:w="125" w:type="dxa"/>
            </w:tcMar>
            <w:vAlign w:val="center"/>
          </w:tcPr>
          <w:p w14:paraId="7AB88F1A" w14:textId="77777777" w:rsidR="00735A9E" w:rsidRDefault="00000000" w:rsidP="00F54BAC">
            <w:pPr>
              <w:spacing w:after="0" w:line="278" w:lineRule="auto"/>
              <w:ind w:firstLine="0"/>
              <w:jc w:val="center"/>
            </w:pPr>
            <w:proofErr w:type="spellStart"/>
            <w:r>
              <w:rPr>
                <w:color w:val="2D3748"/>
                <w:sz w:val="16"/>
              </w:rPr>
              <w:t>Pro</w:t>
            </w:r>
            <w:r>
              <w:rPr>
                <w:color w:val="2D3748"/>
                <w:sz w:val="16"/>
              </w:rPr>
              <w:t>部署</w:t>
            </w:r>
            <w:proofErr w:type="spellEnd"/>
          </w:p>
        </w:tc>
        <w:tc>
          <w:tcPr>
            <w:tcW w:w="7128" w:type="dxa"/>
            <w:shd w:val="clear" w:color="auto" w:fill="F7F9FB"/>
            <w:tcMar>
              <w:top w:w="90" w:type="dxa"/>
              <w:left w:w="125" w:type="dxa"/>
              <w:bottom w:w="90" w:type="dxa"/>
              <w:right w:w="125" w:type="dxa"/>
            </w:tcMar>
            <w:vAlign w:val="center"/>
          </w:tcPr>
          <w:p w14:paraId="1556E35E" w14:textId="77777777" w:rsidR="00735A9E" w:rsidRDefault="00000000" w:rsidP="00F54BAC">
            <w:pPr>
              <w:spacing w:after="0" w:line="278" w:lineRule="auto"/>
              <w:ind w:firstLine="0"/>
              <w:jc w:val="center"/>
              <w:rPr>
                <w:lang w:eastAsia="zh-CN"/>
              </w:rPr>
            </w:pPr>
            <w:r>
              <w:rPr>
                <w:color w:val="2D3748"/>
                <w:sz w:val="16"/>
                <w:lang w:eastAsia="zh-CN"/>
              </w:rPr>
              <w:t>30-80</w:t>
            </w:r>
            <w:r>
              <w:rPr>
                <w:color w:val="2D3748"/>
                <w:sz w:val="16"/>
                <w:lang w:eastAsia="zh-CN"/>
              </w:rPr>
              <w:t>万元</w:t>
            </w:r>
            <w:r>
              <w:rPr>
                <w:color w:val="2D3748"/>
                <w:sz w:val="16"/>
                <w:lang w:eastAsia="zh-CN"/>
              </w:rPr>
              <w:t>/</w:t>
            </w:r>
            <w:r>
              <w:rPr>
                <w:color w:val="2D3748"/>
                <w:sz w:val="16"/>
                <w:lang w:eastAsia="zh-CN"/>
              </w:rPr>
              <w:t>项目，模型按项目复杂度阶梯增长</w:t>
            </w:r>
          </w:p>
        </w:tc>
      </w:tr>
      <w:tr w:rsidR="00735A9E" w14:paraId="2F96E665" w14:textId="77777777">
        <w:trPr>
          <w:jc w:val="center"/>
        </w:trPr>
        <w:tc>
          <w:tcPr>
            <w:tcW w:w="2232" w:type="dxa"/>
            <w:tcMar>
              <w:top w:w="90" w:type="dxa"/>
              <w:left w:w="125" w:type="dxa"/>
              <w:bottom w:w="90" w:type="dxa"/>
              <w:right w:w="125" w:type="dxa"/>
            </w:tcMar>
            <w:vAlign w:val="center"/>
          </w:tcPr>
          <w:p w14:paraId="302C1B51" w14:textId="77777777" w:rsidR="00735A9E" w:rsidRDefault="00000000" w:rsidP="00F54BAC">
            <w:pPr>
              <w:spacing w:after="0" w:line="278" w:lineRule="auto"/>
              <w:ind w:firstLine="0"/>
              <w:jc w:val="center"/>
            </w:pPr>
            <w:proofErr w:type="spellStart"/>
            <w:r>
              <w:rPr>
                <w:color w:val="2D3748"/>
                <w:sz w:val="16"/>
              </w:rPr>
              <w:t>Gov</w:t>
            </w:r>
            <w:r>
              <w:rPr>
                <w:color w:val="2D3748"/>
                <w:sz w:val="16"/>
              </w:rPr>
              <w:t>试点</w:t>
            </w:r>
            <w:proofErr w:type="spellEnd"/>
          </w:p>
        </w:tc>
        <w:tc>
          <w:tcPr>
            <w:tcW w:w="7128" w:type="dxa"/>
            <w:tcMar>
              <w:top w:w="90" w:type="dxa"/>
              <w:left w:w="125" w:type="dxa"/>
              <w:bottom w:w="90" w:type="dxa"/>
              <w:right w:w="125" w:type="dxa"/>
            </w:tcMar>
            <w:vAlign w:val="center"/>
          </w:tcPr>
          <w:p w14:paraId="2720C79F" w14:textId="77777777" w:rsidR="00735A9E" w:rsidRDefault="00000000" w:rsidP="00F54BAC">
            <w:pPr>
              <w:spacing w:after="0" w:line="278" w:lineRule="auto"/>
              <w:ind w:firstLine="0"/>
              <w:jc w:val="center"/>
              <w:rPr>
                <w:lang w:eastAsia="zh-CN"/>
              </w:rPr>
            </w:pPr>
            <w:r>
              <w:rPr>
                <w:color w:val="2D3748"/>
                <w:sz w:val="16"/>
                <w:lang w:eastAsia="zh-CN"/>
              </w:rPr>
              <w:t>100-300</w:t>
            </w:r>
            <w:r>
              <w:rPr>
                <w:color w:val="2D3748"/>
                <w:sz w:val="16"/>
                <w:lang w:eastAsia="zh-CN"/>
              </w:rPr>
              <w:t>万元</w:t>
            </w:r>
            <w:r>
              <w:rPr>
                <w:color w:val="2D3748"/>
                <w:sz w:val="16"/>
                <w:lang w:eastAsia="zh-CN"/>
              </w:rPr>
              <w:t>/</w:t>
            </w:r>
            <w:r>
              <w:rPr>
                <w:color w:val="2D3748"/>
                <w:sz w:val="16"/>
                <w:lang w:eastAsia="zh-CN"/>
              </w:rPr>
              <w:t>项目，谨慎计入首年无收入</w:t>
            </w:r>
          </w:p>
        </w:tc>
      </w:tr>
      <w:tr w:rsidR="00735A9E" w14:paraId="33D64556" w14:textId="77777777">
        <w:trPr>
          <w:jc w:val="center"/>
        </w:trPr>
        <w:tc>
          <w:tcPr>
            <w:tcW w:w="2232" w:type="dxa"/>
            <w:shd w:val="clear" w:color="auto" w:fill="F7F9FB"/>
            <w:tcMar>
              <w:top w:w="90" w:type="dxa"/>
              <w:left w:w="125" w:type="dxa"/>
              <w:bottom w:w="90" w:type="dxa"/>
              <w:right w:w="125" w:type="dxa"/>
            </w:tcMar>
            <w:vAlign w:val="center"/>
          </w:tcPr>
          <w:p w14:paraId="4B117D0B" w14:textId="77777777" w:rsidR="00735A9E" w:rsidRDefault="00000000" w:rsidP="00F54BAC">
            <w:pPr>
              <w:spacing w:after="0" w:line="278" w:lineRule="auto"/>
              <w:ind w:firstLine="0"/>
              <w:jc w:val="center"/>
            </w:pPr>
            <w:proofErr w:type="spellStart"/>
            <w:r>
              <w:rPr>
                <w:color w:val="2D3748"/>
                <w:sz w:val="16"/>
              </w:rPr>
              <w:t>活动保障</w:t>
            </w:r>
            <w:proofErr w:type="spellEnd"/>
          </w:p>
        </w:tc>
        <w:tc>
          <w:tcPr>
            <w:tcW w:w="7128" w:type="dxa"/>
            <w:shd w:val="clear" w:color="auto" w:fill="F7F9FB"/>
            <w:tcMar>
              <w:top w:w="90" w:type="dxa"/>
              <w:left w:w="125" w:type="dxa"/>
              <w:bottom w:w="90" w:type="dxa"/>
              <w:right w:w="125" w:type="dxa"/>
            </w:tcMar>
            <w:vAlign w:val="center"/>
          </w:tcPr>
          <w:p w14:paraId="78F6EC5B" w14:textId="77777777" w:rsidR="00735A9E" w:rsidRDefault="00000000" w:rsidP="00F54BAC">
            <w:pPr>
              <w:spacing w:after="0" w:line="278" w:lineRule="auto"/>
              <w:ind w:firstLine="0"/>
              <w:jc w:val="center"/>
              <w:rPr>
                <w:lang w:eastAsia="zh-CN"/>
              </w:rPr>
            </w:pPr>
            <w:r>
              <w:rPr>
                <w:color w:val="2D3748"/>
                <w:sz w:val="16"/>
                <w:lang w:eastAsia="zh-CN"/>
              </w:rPr>
              <w:t>5-30</w:t>
            </w:r>
            <w:r>
              <w:rPr>
                <w:color w:val="2D3748"/>
                <w:sz w:val="16"/>
                <w:lang w:eastAsia="zh-CN"/>
              </w:rPr>
              <w:t>万元</w:t>
            </w:r>
            <w:r>
              <w:rPr>
                <w:color w:val="2D3748"/>
                <w:sz w:val="16"/>
                <w:lang w:eastAsia="zh-CN"/>
              </w:rPr>
              <w:t>/</w:t>
            </w:r>
            <w:r>
              <w:rPr>
                <w:color w:val="2D3748"/>
                <w:sz w:val="16"/>
                <w:lang w:eastAsia="zh-CN"/>
              </w:rPr>
              <w:t>次，适合赛事、演唱会、会展</w:t>
            </w:r>
          </w:p>
        </w:tc>
      </w:tr>
      <w:tr w:rsidR="00735A9E" w14:paraId="752473A4" w14:textId="77777777">
        <w:trPr>
          <w:jc w:val="center"/>
        </w:trPr>
        <w:tc>
          <w:tcPr>
            <w:tcW w:w="2232" w:type="dxa"/>
            <w:tcMar>
              <w:top w:w="90" w:type="dxa"/>
              <w:left w:w="125" w:type="dxa"/>
              <w:bottom w:w="90" w:type="dxa"/>
              <w:right w:w="125" w:type="dxa"/>
            </w:tcMar>
            <w:vAlign w:val="center"/>
          </w:tcPr>
          <w:p w14:paraId="3E2ECBD5" w14:textId="77777777" w:rsidR="00735A9E" w:rsidRDefault="00000000" w:rsidP="00F54BAC">
            <w:pPr>
              <w:spacing w:after="0" w:line="278" w:lineRule="auto"/>
              <w:ind w:firstLine="0"/>
              <w:jc w:val="center"/>
            </w:pPr>
            <w:proofErr w:type="spellStart"/>
            <w:r>
              <w:rPr>
                <w:color w:val="2D3748"/>
                <w:sz w:val="16"/>
              </w:rPr>
              <w:t>航线评估</w:t>
            </w:r>
            <w:proofErr w:type="spellEnd"/>
          </w:p>
        </w:tc>
        <w:tc>
          <w:tcPr>
            <w:tcW w:w="7128" w:type="dxa"/>
            <w:tcMar>
              <w:top w:w="90" w:type="dxa"/>
              <w:left w:w="125" w:type="dxa"/>
              <w:bottom w:w="90" w:type="dxa"/>
              <w:right w:w="125" w:type="dxa"/>
            </w:tcMar>
            <w:vAlign w:val="center"/>
          </w:tcPr>
          <w:p w14:paraId="244E912F" w14:textId="77777777" w:rsidR="00735A9E" w:rsidRDefault="00000000" w:rsidP="00F54BAC">
            <w:pPr>
              <w:spacing w:after="0" w:line="278" w:lineRule="auto"/>
              <w:ind w:firstLine="0"/>
              <w:jc w:val="center"/>
              <w:rPr>
                <w:lang w:eastAsia="zh-CN"/>
              </w:rPr>
            </w:pPr>
            <w:r>
              <w:rPr>
                <w:color w:val="2D3748"/>
                <w:sz w:val="16"/>
                <w:lang w:eastAsia="zh-CN"/>
              </w:rPr>
              <w:t>3000-20000</w:t>
            </w:r>
            <w:r>
              <w:rPr>
                <w:color w:val="2D3748"/>
                <w:sz w:val="16"/>
                <w:lang w:eastAsia="zh-CN"/>
              </w:rPr>
              <w:t>元</w:t>
            </w:r>
            <w:r>
              <w:rPr>
                <w:color w:val="2D3748"/>
                <w:sz w:val="16"/>
                <w:lang w:eastAsia="zh-CN"/>
              </w:rPr>
              <w:t>/</w:t>
            </w:r>
            <w:r>
              <w:rPr>
                <w:color w:val="2D3748"/>
                <w:sz w:val="16"/>
                <w:lang w:eastAsia="zh-CN"/>
              </w:rPr>
              <w:t>条，按批量航线折扣</w:t>
            </w:r>
          </w:p>
        </w:tc>
      </w:tr>
      <w:tr w:rsidR="00735A9E" w14:paraId="395812FF" w14:textId="77777777">
        <w:trPr>
          <w:jc w:val="center"/>
        </w:trPr>
        <w:tc>
          <w:tcPr>
            <w:tcW w:w="2232" w:type="dxa"/>
            <w:shd w:val="clear" w:color="auto" w:fill="F7F9FB"/>
            <w:tcMar>
              <w:top w:w="90" w:type="dxa"/>
              <w:left w:w="125" w:type="dxa"/>
              <w:bottom w:w="90" w:type="dxa"/>
              <w:right w:w="125" w:type="dxa"/>
            </w:tcMar>
            <w:vAlign w:val="center"/>
          </w:tcPr>
          <w:p w14:paraId="127543EE" w14:textId="77777777" w:rsidR="00735A9E" w:rsidRDefault="00000000" w:rsidP="00F54BAC">
            <w:pPr>
              <w:spacing w:after="0" w:line="278" w:lineRule="auto"/>
              <w:ind w:firstLine="0"/>
              <w:jc w:val="center"/>
            </w:pPr>
            <w:proofErr w:type="spellStart"/>
            <w:r>
              <w:rPr>
                <w:color w:val="2D3748"/>
                <w:sz w:val="16"/>
              </w:rPr>
              <w:t>运维服务</w:t>
            </w:r>
            <w:proofErr w:type="spellEnd"/>
          </w:p>
        </w:tc>
        <w:tc>
          <w:tcPr>
            <w:tcW w:w="7128" w:type="dxa"/>
            <w:shd w:val="clear" w:color="auto" w:fill="F7F9FB"/>
            <w:tcMar>
              <w:top w:w="90" w:type="dxa"/>
              <w:left w:w="125" w:type="dxa"/>
              <w:bottom w:w="90" w:type="dxa"/>
              <w:right w:w="125" w:type="dxa"/>
            </w:tcMar>
            <w:vAlign w:val="center"/>
          </w:tcPr>
          <w:p w14:paraId="37BBC3EC" w14:textId="77777777" w:rsidR="00735A9E" w:rsidRDefault="00000000" w:rsidP="00F54BAC">
            <w:pPr>
              <w:spacing w:after="0" w:line="278" w:lineRule="auto"/>
              <w:ind w:firstLine="0"/>
              <w:jc w:val="center"/>
            </w:pPr>
            <w:r>
              <w:rPr>
                <w:color w:val="2D3748"/>
                <w:sz w:val="16"/>
              </w:rPr>
              <w:t>合同额</w:t>
            </w:r>
            <w:r>
              <w:rPr>
                <w:color w:val="2D3748"/>
                <w:sz w:val="16"/>
              </w:rPr>
              <w:t>10%-20%/</w:t>
            </w:r>
            <w:r>
              <w:rPr>
                <w:color w:val="2D3748"/>
                <w:sz w:val="16"/>
              </w:rPr>
              <w:t>年</w:t>
            </w:r>
          </w:p>
        </w:tc>
      </w:tr>
    </w:tbl>
    <w:p w14:paraId="02DD8773" w14:textId="77777777" w:rsidR="00735A9E" w:rsidRDefault="00735A9E"/>
    <w:p w14:paraId="07A1ECD8" w14:textId="77777777" w:rsidR="00735A9E" w:rsidRDefault="00000000">
      <w:pPr>
        <w:spacing w:before="80" w:after="20"/>
        <w:ind w:firstLine="0"/>
      </w:pPr>
      <w:proofErr w:type="spellStart"/>
      <w:r>
        <w:rPr>
          <w:b/>
          <w:color w:val="64748B"/>
          <w:sz w:val="17"/>
        </w:rPr>
        <w:t>第九章</w:t>
      </w:r>
      <w:proofErr w:type="spellEnd"/>
      <w:r>
        <w:rPr>
          <w:b/>
          <w:color w:val="64748B"/>
          <w:sz w:val="17"/>
        </w:rPr>
        <w:t xml:space="preserve"> </w:t>
      </w:r>
      <w:proofErr w:type="spellStart"/>
      <w:r>
        <w:rPr>
          <w:b/>
          <w:color w:val="64748B"/>
          <w:sz w:val="17"/>
        </w:rPr>
        <w:t>财务预测</w:t>
      </w:r>
      <w:proofErr w:type="spellEnd"/>
    </w:p>
    <w:p w14:paraId="6A07D86F" w14:textId="77777777" w:rsidR="00735A9E" w:rsidRDefault="00000000">
      <w:pPr>
        <w:pStyle w:val="21"/>
      </w:pPr>
      <w:r>
        <w:rPr>
          <w:rFonts w:ascii="Times New Roman" w:eastAsia="仿宋" w:hAnsi="Times New Roman" w:cs="仿宋"/>
        </w:rPr>
        <w:lastRenderedPageBreak/>
        <w:t xml:space="preserve">9.5 </w:t>
      </w:r>
      <w:proofErr w:type="spellStart"/>
      <w:r>
        <w:rPr>
          <w:rFonts w:ascii="Times New Roman" w:eastAsia="仿宋" w:hAnsi="Times New Roman" w:cs="仿宋"/>
        </w:rPr>
        <w:t>回款周期压力</w:t>
      </w:r>
      <w:proofErr w:type="spellEnd"/>
    </w:p>
    <w:p w14:paraId="4A071379" w14:textId="77777777" w:rsidR="00735A9E" w:rsidRDefault="00000000">
      <w:pPr>
        <w:rPr>
          <w:lang w:eastAsia="zh-CN"/>
        </w:rPr>
      </w:pPr>
      <w:r>
        <w:rPr>
          <w:lang w:eastAsia="zh-CN"/>
        </w:rPr>
        <w:t>回款周期要解释经营质量。收入增长必须和客户数量、客单价、部署成本、续费率、回款周期和研发投入一起看，否则财务预测容易变成单纯乐观假设。</w:t>
      </w:r>
    </w:p>
    <w:p w14:paraId="0C82EEDD" w14:textId="7F4CC35B" w:rsidR="00735A9E" w:rsidRDefault="00B748F8">
      <w:pPr>
        <w:rPr>
          <w:lang w:eastAsia="zh-CN"/>
        </w:rPr>
      </w:pPr>
      <w:r w:rsidRPr="00B748F8">
        <w:rPr>
          <w:rFonts w:hint="eastAsia"/>
          <w:lang w:eastAsia="zh-CN"/>
        </w:rPr>
        <w:t>资金使用应优先服务产品打磨、试点交付、数据治理、客户成功和必要伙伴接入，同时控制并行项目的数量。在面对回款周期拉长的压力时，最有效的应对措施不是催促客户加快流程——这往往效果有限——而是主动控制项目启动节奏，确保在任何时间点上，处于“已交付但未回款”状态的项目数量不超过现金储备所能承受的范围</w:t>
      </w:r>
      <w:r w:rsidR="00000000">
        <w:rPr>
          <w:lang w:eastAsia="zh-CN"/>
        </w:rPr>
        <w:t>。</w:t>
      </w:r>
    </w:p>
    <w:p w14:paraId="161248F6" w14:textId="77777777" w:rsidR="00735A9E" w:rsidRDefault="00000000">
      <w:pPr>
        <w:pStyle w:val="af7"/>
        <w:keepLines/>
        <w:spacing w:before="80" w:after="160"/>
        <w:rPr>
          <w:lang w:eastAsia="zh-CN"/>
        </w:rPr>
      </w:pPr>
      <w:r>
        <w:rPr>
          <w:noProof/>
        </w:rPr>
        <w:drawing>
          <wp:inline distT="0" distB="0" distL="0" distR="0" wp14:anchorId="56E90048" wp14:editId="6457A4BF">
            <wp:extent cx="5641675" cy="3264049"/>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融资后现金跑道阶梯.png"/>
                    <pic:cNvPicPr/>
                  </pic:nvPicPr>
                  <pic:blipFill>
                    <a:blip r:embed="rId13"/>
                    <a:stretch>
                      <a:fillRect/>
                    </a:stretch>
                  </pic:blipFill>
                  <pic:spPr>
                    <a:xfrm>
                      <a:off x="0" y="0"/>
                      <a:ext cx="5658496" cy="3273781"/>
                    </a:xfrm>
                    <a:prstGeom prst="rect">
                      <a:avLst/>
                    </a:prstGeom>
                  </pic:spPr>
                </pic:pic>
              </a:graphicData>
            </a:graphic>
          </wp:inline>
        </w:drawing>
      </w:r>
      <w:r>
        <w:rPr>
          <w:lang w:eastAsia="zh-CN"/>
        </w:rPr>
        <w:br/>
      </w:r>
      <w:r>
        <w:rPr>
          <w:lang w:eastAsia="zh-CN"/>
        </w:rPr>
        <w:t>图</w:t>
      </w:r>
      <w:r>
        <w:rPr>
          <w:lang w:eastAsia="zh-CN"/>
        </w:rPr>
        <w:t xml:space="preserve"> 120 </w:t>
      </w:r>
      <w:r>
        <w:rPr>
          <w:lang w:eastAsia="zh-CN"/>
        </w:rPr>
        <w:t>融资后现金跑道阶梯</w:t>
      </w:r>
      <w:r>
        <w:rPr>
          <w:lang w:eastAsia="zh-CN"/>
        </w:rPr>
        <w:t xml:space="preserve"> </w:t>
      </w:r>
      <w:r>
        <w:rPr>
          <w:lang w:eastAsia="zh-CN"/>
        </w:rPr>
        <w:t>资料来源：经营假设、平台演示样本与整理数据。要点：阶梯线图能提示融资后现金跑道的阶段性压力。</w:t>
      </w:r>
    </w:p>
    <w:p w14:paraId="5685D371" w14:textId="77777777" w:rsidR="00735A9E" w:rsidRDefault="00000000">
      <w:pPr>
        <w:rPr>
          <w:lang w:eastAsia="zh-CN"/>
        </w:rPr>
      </w:pPr>
      <w:r>
        <w:rPr>
          <w:lang w:eastAsia="zh-CN"/>
        </w:rPr>
        <w:t>融资后现金跑道阶梯对应的财务判断是：阶梯线图能提示融资后现金跑道的阶段性压力。资料口径来自经营假设、平台演示样本与整理数据。</w:t>
      </w:r>
    </w:p>
    <w:p w14:paraId="670D7A3A" w14:textId="6614BB0B" w:rsidR="00735A9E" w:rsidRDefault="00B748F8">
      <w:pPr>
        <w:rPr>
          <w:lang w:eastAsia="zh-CN"/>
        </w:rPr>
      </w:pPr>
      <w:r w:rsidRPr="00B748F8">
        <w:rPr>
          <w:rFonts w:hint="eastAsia"/>
          <w:lang w:eastAsia="zh-CN"/>
        </w:rPr>
        <w:t>这个判断的价值在于把宏观的市场机会压实到客户每天实际处理的事务层面——回款不是抽象的财务术语，而是每一个项目从签约、交付、验收、开票到最终到账的具体流程。财务章节的重点不是把数字写大，而是说明假设之间如何相互支撑——回款周期的压力会传导至现金流，现金流压力会约束扩张速度，扩张速度又会反过来影响收入增长。只有在回款周期、扩张速度和现金安全三者之间找到平衡点，项目才能持续运转</w:t>
      </w:r>
      <w:r w:rsidR="00000000">
        <w:rPr>
          <w:lang w:eastAsia="zh-CN"/>
        </w:rPr>
        <w:t>。</w:t>
      </w:r>
    </w:p>
    <w:p w14:paraId="0B16FDA8" w14:textId="77777777" w:rsidR="00735A9E" w:rsidRDefault="00000000">
      <w:pPr>
        <w:rPr>
          <w:lang w:eastAsia="zh-CN"/>
        </w:rPr>
      </w:pPr>
      <w:r>
        <w:rPr>
          <w:lang w:eastAsia="zh-CN"/>
        </w:rPr>
        <w:t>财务章节处理回款周期时，把增长、毛利、现金流和回款周期放在一起看。这样可以说明项目如何活下去，而不是只把未来收入写高。</w:t>
      </w:r>
    </w:p>
    <w:p w14:paraId="0C0DCFCE" w14:textId="77777777" w:rsidR="00735A9E" w:rsidRDefault="00000000">
      <w:pPr>
        <w:pStyle w:val="a0"/>
        <w:rPr>
          <w:lang w:eastAsia="zh-CN"/>
        </w:rPr>
      </w:pPr>
      <w:r>
        <w:rPr>
          <w:color w:val="2D3748"/>
          <w:lang w:eastAsia="zh-CN"/>
        </w:rPr>
        <w:t>关注客单价、交付成本、续费率和回款周期</w:t>
      </w:r>
    </w:p>
    <w:p w14:paraId="08E9C70A" w14:textId="77777777" w:rsidR="00735A9E" w:rsidRDefault="00000000">
      <w:pPr>
        <w:pStyle w:val="a0"/>
        <w:rPr>
          <w:lang w:eastAsia="zh-CN"/>
        </w:rPr>
      </w:pPr>
      <w:r>
        <w:rPr>
          <w:color w:val="2D3748"/>
          <w:lang w:eastAsia="zh-CN"/>
        </w:rPr>
        <w:t>依据：经营假设、平台演示样本与整理数据</w:t>
      </w:r>
    </w:p>
    <w:p w14:paraId="0B857CC3" w14:textId="77777777" w:rsidR="00735A9E" w:rsidRDefault="00000000">
      <w:pPr>
        <w:pStyle w:val="a0"/>
        <w:rPr>
          <w:lang w:eastAsia="zh-CN"/>
        </w:rPr>
      </w:pPr>
      <w:r>
        <w:rPr>
          <w:color w:val="2D3748"/>
          <w:lang w:eastAsia="zh-CN"/>
        </w:rPr>
        <w:t>经营判断：阶梯线图能提示融资后现金跑道的阶段性压力。</w:t>
      </w:r>
    </w:p>
    <w:p w14:paraId="1B100C2D"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51AFCAD3" w14:textId="77777777" w:rsidR="00735A9E" w:rsidRDefault="00000000">
      <w:pPr>
        <w:pStyle w:val="21"/>
        <w:rPr>
          <w:lang w:eastAsia="zh-CN"/>
        </w:rPr>
      </w:pPr>
      <w:r>
        <w:rPr>
          <w:rFonts w:ascii="Times New Roman" w:eastAsia="仿宋" w:hAnsi="Times New Roman" w:cs="仿宋"/>
          <w:lang w:eastAsia="zh-CN"/>
        </w:rPr>
        <w:lastRenderedPageBreak/>
        <w:t xml:space="preserve">9.6 </w:t>
      </w:r>
      <w:r>
        <w:rPr>
          <w:rFonts w:ascii="Times New Roman" w:eastAsia="仿宋" w:hAnsi="Times New Roman" w:cs="仿宋"/>
          <w:lang w:eastAsia="zh-CN"/>
        </w:rPr>
        <w:t>融资用途安排</w:t>
      </w:r>
    </w:p>
    <w:p w14:paraId="6004EE7F" w14:textId="2F30D6BC" w:rsidR="00735A9E" w:rsidRDefault="00B748F8">
      <w:pPr>
        <w:rPr>
          <w:lang w:eastAsia="zh-CN"/>
        </w:rPr>
      </w:pPr>
      <w:r w:rsidRPr="00B748F8">
        <w:rPr>
          <w:rFonts w:hint="eastAsia"/>
          <w:lang w:eastAsia="zh-CN"/>
        </w:rPr>
        <w:t>融资用途安排是投资人对商业计划书最关注的部分之一。原因很简单：投资人想知道自己的钱具体会变成什么——是变成服务器和云资源，还是变成团队薪资，抑或是变成市场推广费用？不同的用途对应着不同的回报逻辑和风险特征。</w:t>
      </w:r>
      <w:proofErr w:type="spellStart"/>
      <w:r w:rsidRPr="00B748F8">
        <w:rPr>
          <w:rFonts w:hint="eastAsia"/>
          <w:lang w:eastAsia="zh-CN"/>
        </w:rPr>
        <w:t>SkyGuard</w:t>
      </w:r>
      <w:proofErr w:type="spellEnd"/>
      <w:r w:rsidRPr="00B748F8">
        <w:rPr>
          <w:rFonts w:hint="eastAsia"/>
          <w:lang w:eastAsia="zh-CN"/>
        </w:rPr>
        <w:t>的融资用途安排遵循一个核心原则：把钱花在能产生可验证成果的地方。</w:t>
      </w:r>
      <w:r w:rsidRPr="00B748F8">
        <w:rPr>
          <w:rFonts w:hint="eastAsia"/>
          <w:lang w:eastAsia="zh-CN"/>
        </w:rPr>
        <w:t xml:space="preserve"> </w:t>
      </w:r>
      <w:r w:rsidRPr="00B748F8">
        <w:rPr>
          <w:rFonts w:hint="eastAsia"/>
          <w:lang w:eastAsia="zh-CN"/>
        </w:rPr>
        <w:t>产品研发的成果是可运行的软件版本和客户试用反馈，试点交付的成果是签收单和客户满意度评价，数据治理的成果是可查询、可分析的数据资产，客户成功的成果是续约率和增购率。每一项支出都能与某一项可衡量的产出对应，而不是笼统地归于“市场拓展”或“品牌建设”等难以追踪的类别</w:t>
      </w:r>
      <w:r w:rsidR="00000000">
        <w:rPr>
          <w:lang w:eastAsia="zh-CN"/>
        </w:rPr>
        <w:t>。</w:t>
      </w:r>
    </w:p>
    <w:p w14:paraId="383E62EB" w14:textId="1F705E80" w:rsidR="00735A9E" w:rsidRDefault="00B748F8">
      <w:pPr>
        <w:rPr>
          <w:lang w:eastAsia="zh-CN"/>
        </w:rPr>
      </w:pPr>
      <w:r w:rsidRPr="00B748F8">
        <w:rPr>
          <w:rFonts w:hint="eastAsia"/>
          <w:lang w:eastAsia="zh-CN"/>
        </w:rPr>
        <w:t>资金使用应优先服务产品打磨、试点交付、数据治理、客户成功和必要伙伴接入，同时控制并行项目的数量。融资到位后的前</w:t>
      </w:r>
      <w:r w:rsidRPr="00B748F8">
        <w:rPr>
          <w:rFonts w:hint="eastAsia"/>
          <w:lang w:eastAsia="zh-CN"/>
        </w:rPr>
        <w:t>6</w:t>
      </w:r>
      <w:r w:rsidRPr="00B748F8">
        <w:rPr>
          <w:rFonts w:hint="eastAsia"/>
          <w:lang w:eastAsia="zh-CN"/>
        </w:rPr>
        <w:t>个月最为关键——这段时间的支出效率决定了后续</w:t>
      </w:r>
      <w:r w:rsidRPr="00B748F8">
        <w:rPr>
          <w:rFonts w:hint="eastAsia"/>
          <w:lang w:eastAsia="zh-CN"/>
        </w:rPr>
        <w:t>18</w:t>
      </w:r>
      <w:r w:rsidRPr="00B748F8">
        <w:rPr>
          <w:rFonts w:hint="eastAsia"/>
          <w:lang w:eastAsia="zh-CN"/>
        </w:rPr>
        <w:t>个月的现金流能否支撑到下一轮融资或盈亏平衡</w:t>
      </w:r>
      <w:r w:rsidR="00000000">
        <w:rPr>
          <w:lang w:eastAsia="zh-CN"/>
        </w:rPr>
        <w:t>。</w:t>
      </w:r>
    </w:p>
    <w:p w14:paraId="4C65909C" w14:textId="77777777" w:rsidR="00735A9E" w:rsidRDefault="00000000">
      <w:pPr>
        <w:pStyle w:val="af7"/>
        <w:keepLines/>
        <w:spacing w:before="80" w:after="160"/>
        <w:rPr>
          <w:lang w:eastAsia="zh-CN"/>
        </w:rPr>
      </w:pPr>
      <w:r>
        <w:rPr>
          <w:noProof/>
        </w:rPr>
        <w:drawing>
          <wp:inline distT="0" distB="0" distL="0" distR="0" wp14:anchorId="393F448A" wp14:editId="41A8A89A">
            <wp:extent cx="5512279" cy="311210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毛利改善因素桥.png"/>
                    <pic:cNvPicPr/>
                  </pic:nvPicPr>
                  <pic:blipFill>
                    <a:blip r:embed="rId14"/>
                    <a:stretch>
                      <a:fillRect/>
                    </a:stretch>
                  </pic:blipFill>
                  <pic:spPr>
                    <a:xfrm>
                      <a:off x="0" y="0"/>
                      <a:ext cx="5521128" cy="3117101"/>
                    </a:xfrm>
                    <a:prstGeom prst="rect">
                      <a:avLst/>
                    </a:prstGeom>
                  </pic:spPr>
                </pic:pic>
              </a:graphicData>
            </a:graphic>
          </wp:inline>
        </w:drawing>
      </w:r>
      <w:r>
        <w:rPr>
          <w:lang w:eastAsia="zh-CN"/>
        </w:rPr>
        <w:br/>
      </w:r>
      <w:r>
        <w:rPr>
          <w:lang w:eastAsia="zh-CN"/>
        </w:rPr>
        <w:t>图</w:t>
      </w:r>
      <w:r>
        <w:rPr>
          <w:lang w:eastAsia="zh-CN"/>
        </w:rPr>
        <w:t xml:space="preserve"> 121 </w:t>
      </w:r>
      <w:r>
        <w:rPr>
          <w:lang w:eastAsia="zh-CN"/>
        </w:rPr>
        <w:t>毛利改善因素桥</w:t>
      </w:r>
      <w:r>
        <w:rPr>
          <w:lang w:eastAsia="zh-CN"/>
        </w:rPr>
        <w:t xml:space="preserve"> </w:t>
      </w:r>
      <w:r>
        <w:rPr>
          <w:lang w:eastAsia="zh-CN"/>
        </w:rPr>
        <w:t>资料来源：经营假设、平台演示样本与整理数据。要点：因素桥图能解释毛利提升来自收入结构、云资源和交付复用，而不是凭空乐观。</w:t>
      </w:r>
    </w:p>
    <w:p w14:paraId="6F699632" w14:textId="77777777" w:rsidR="00735A9E" w:rsidRDefault="00000000">
      <w:pPr>
        <w:rPr>
          <w:lang w:eastAsia="zh-CN"/>
        </w:rPr>
      </w:pPr>
      <w:r>
        <w:rPr>
          <w:lang w:eastAsia="zh-CN"/>
        </w:rPr>
        <w:t>毛利改善因素桥对应的财务判断是：因素桥图能解释毛利提升来自收入结构、云资源和交付复用，而不是凭空乐观。资料口径来自经营假设、平台演示样本与整理数据。</w:t>
      </w:r>
    </w:p>
    <w:p w14:paraId="40B40116" w14:textId="3B226E5C" w:rsidR="00735A9E" w:rsidRDefault="00B748F8">
      <w:pPr>
        <w:rPr>
          <w:lang w:eastAsia="zh-CN"/>
        </w:rPr>
      </w:pPr>
      <w:r w:rsidRPr="00B748F8">
        <w:rPr>
          <w:rFonts w:hint="eastAsia"/>
          <w:lang w:eastAsia="zh-CN"/>
        </w:rPr>
        <w:t>它将外部市场资料、内部产品迭代动作和交付能力边界连接在一起，便于后续试点过程中逐项核验——如果实际交付中云资源消耗超出预期，或定制开发比例高于模型假设，则需要及时调整毛利预测。财务章节的重点不是把数字写大，而是说明假设之间如何相互支撑——融资用途安排直接决定了成本结构，成本结构决定了毛利路径，毛利路径决定了现金流能否转正，现金流转正又决定了是否需要下一轮融资。这一连串逻辑环环相扣，必须做到自洽</w:t>
      </w:r>
      <w:r w:rsidR="00000000">
        <w:rPr>
          <w:lang w:eastAsia="zh-CN"/>
        </w:rPr>
        <w:t>。</w:t>
      </w:r>
    </w:p>
    <w:p w14:paraId="549A8BD2" w14:textId="77777777" w:rsidR="00735A9E" w:rsidRDefault="00000000">
      <w:pPr>
        <w:rPr>
          <w:lang w:eastAsia="zh-CN"/>
        </w:rPr>
      </w:pPr>
      <w:r>
        <w:rPr>
          <w:lang w:eastAsia="zh-CN"/>
        </w:rPr>
        <w:t>财务章节处理融资用途时，把增长、毛利、现金流和回款周期放在一起看。这样可以说明项目如何活下去，而不是只把未来收入写高。</w:t>
      </w:r>
    </w:p>
    <w:p w14:paraId="47F2E788" w14:textId="77777777" w:rsidR="00735A9E" w:rsidRDefault="00000000">
      <w:pPr>
        <w:pStyle w:val="a0"/>
        <w:rPr>
          <w:lang w:eastAsia="zh-CN"/>
        </w:rPr>
      </w:pPr>
      <w:r>
        <w:rPr>
          <w:color w:val="2D3748"/>
          <w:lang w:eastAsia="zh-CN"/>
        </w:rPr>
        <w:lastRenderedPageBreak/>
        <w:t>关注客单价、交付成本、续费率和回款周期</w:t>
      </w:r>
    </w:p>
    <w:p w14:paraId="4CA929FE" w14:textId="77777777" w:rsidR="00735A9E" w:rsidRDefault="00000000">
      <w:pPr>
        <w:pStyle w:val="a0"/>
        <w:rPr>
          <w:lang w:eastAsia="zh-CN"/>
        </w:rPr>
      </w:pPr>
      <w:r>
        <w:rPr>
          <w:color w:val="2D3748"/>
          <w:lang w:eastAsia="zh-CN"/>
        </w:rPr>
        <w:t>依据：经营假设、平台演示样本与整理数据</w:t>
      </w:r>
    </w:p>
    <w:p w14:paraId="10BCCA18" w14:textId="77777777" w:rsidR="00735A9E" w:rsidRDefault="00000000">
      <w:pPr>
        <w:pStyle w:val="a0"/>
        <w:rPr>
          <w:lang w:eastAsia="zh-CN"/>
        </w:rPr>
      </w:pPr>
      <w:r>
        <w:rPr>
          <w:color w:val="2D3748"/>
          <w:lang w:eastAsia="zh-CN"/>
        </w:rPr>
        <w:t>经营判断：因素桥图能解释毛利提升来自收入结构、云资源和交付复用，而不是凭空乐观。</w:t>
      </w:r>
    </w:p>
    <w:p w14:paraId="35A1C5DF"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1A30DCF9" w14:textId="77777777" w:rsidR="00735A9E" w:rsidRDefault="00000000">
      <w:pPr>
        <w:pStyle w:val="21"/>
        <w:rPr>
          <w:lang w:eastAsia="zh-CN"/>
        </w:rPr>
      </w:pPr>
      <w:r>
        <w:rPr>
          <w:rFonts w:ascii="Times New Roman" w:eastAsia="仿宋" w:hAnsi="Times New Roman" w:cs="仿宋"/>
          <w:lang w:eastAsia="zh-CN"/>
        </w:rPr>
        <w:t xml:space="preserve">9.7 </w:t>
      </w:r>
      <w:r>
        <w:rPr>
          <w:rFonts w:ascii="Times New Roman" w:eastAsia="仿宋" w:hAnsi="Times New Roman" w:cs="仿宋"/>
          <w:lang w:eastAsia="zh-CN"/>
        </w:rPr>
        <w:t>敏感性检验</w:t>
      </w:r>
    </w:p>
    <w:p w14:paraId="5F99F194" w14:textId="523618EE" w:rsidR="00735A9E" w:rsidRDefault="00B748F8">
      <w:pPr>
        <w:rPr>
          <w:lang w:eastAsia="zh-CN"/>
        </w:rPr>
      </w:pPr>
      <w:r w:rsidRPr="00B748F8">
        <w:rPr>
          <w:rFonts w:hint="eastAsia"/>
          <w:lang w:eastAsia="zh-CN"/>
        </w:rPr>
        <w:t>敏感性检验是财务预测中不可或缺的“压力测试”环节。任何商业计划书都是在特定假设条件下编写的——假设客户获取速度达标、假设续费率保持在目标水平、假设部署成本不超支——但实际情况几乎不可能与假设完全一致。敏感性检验的目的，就是回答两个问题：如果关键变量偏离假设，项目价值会变化多少？在什么样的偏离幅度下，项目会从“可行”变成“不可行”？</w:t>
      </w:r>
      <w:r w:rsidRPr="00B748F8">
        <w:rPr>
          <w:rFonts w:hint="eastAsia"/>
          <w:lang w:eastAsia="zh-CN"/>
        </w:rPr>
        <w:t xml:space="preserve"> </w:t>
      </w:r>
      <w:r w:rsidRPr="00B748F8">
        <w:rPr>
          <w:rFonts w:hint="eastAsia"/>
          <w:lang w:eastAsia="zh-CN"/>
        </w:rPr>
        <w:t>前者告诉投资者风险敞口有多大，后者告诉管理团队需要重点关注哪些指标的早期预警信号</w:t>
      </w:r>
      <w:r w:rsidR="00000000">
        <w:rPr>
          <w:lang w:eastAsia="zh-CN"/>
        </w:rPr>
        <w:t>。</w:t>
      </w:r>
    </w:p>
    <w:p w14:paraId="2FD5B2A7" w14:textId="147EE7EB" w:rsidR="00735A9E" w:rsidRDefault="00B748F8">
      <w:pPr>
        <w:rPr>
          <w:lang w:eastAsia="zh-CN"/>
        </w:rPr>
      </w:pPr>
      <w:r w:rsidRPr="00B748F8">
        <w:rPr>
          <w:rFonts w:hint="eastAsia"/>
          <w:lang w:eastAsia="zh-CN"/>
        </w:rPr>
        <w:t>资金使用应优先服务产品打磨、试点交付、数据治理、客户成功和必要伙伴接入，同时控制并行项目的数量。敏感性检验的结果可以为资源分配提供优先级依据——如果检验显示“续费率”是对估值影响最大的变量，那么客户成功团队的投入就应该优先于市场推广团队的投入；如果检验显示“部署成本”的波动影响最大，那么交付流程的标准化就应该优先于功能开发的扩张</w:t>
      </w:r>
      <w:r w:rsidR="00000000">
        <w:rPr>
          <w:lang w:eastAsia="zh-CN"/>
        </w:rPr>
        <w:t>。</w:t>
      </w:r>
    </w:p>
    <w:p w14:paraId="34337C1F" w14:textId="77777777" w:rsidR="00735A9E" w:rsidRDefault="00000000">
      <w:pPr>
        <w:pStyle w:val="af7"/>
        <w:keepLines/>
        <w:spacing w:before="80" w:after="160"/>
        <w:rPr>
          <w:lang w:eastAsia="zh-CN"/>
        </w:rPr>
      </w:pPr>
      <w:r>
        <w:rPr>
          <w:noProof/>
        </w:rPr>
        <w:drawing>
          <wp:inline distT="0" distB="0" distL="0" distR="0" wp14:anchorId="52DD818D" wp14:editId="2D52ED11">
            <wp:extent cx="4520241" cy="4395732"/>
            <wp:effectExtent l="0" t="0" r="0" b="508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模块验收雷达.png"/>
                    <pic:cNvPicPr/>
                  </pic:nvPicPr>
                  <pic:blipFill>
                    <a:blip r:embed="rId15"/>
                    <a:stretch>
                      <a:fillRect/>
                    </a:stretch>
                  </pic:blipFill>
                  <pic:spPr>
                    <a:xfrm>
                      <a:off x="0" y="0"/>
                      <a:ext cx="4528661" cy="4403920"/>
                    </a:xfrm>
                    <a:prstGeom prst="rect">
                      <a:avLst/>
                    </a:prstGeom>
                  </pic:spPr>
                </pic:pic>
              </a:graphicData>
            </a:graphic>
          </wp:inline>
        </w:drawing>
      </w:r>
      <w:r>
        <w:rPr>
          <w:lang w:eastAsia="zh-CN"/>
        </w:rPr>
        <w:br/>
      </w:r>
      <w:r>
        <w:rPr>
          <w:lang w:eastAsia="zh-CN"/>
        </w:rPr>
        <w:t>图</w:t>
      </w:r>
      <w:r>
        <w:rPr>
          <w:lang w:eastAsia="zh-CN"/>
        </w:rPr>
        <w:t xml:space="preserve"> 122 Demo</w:t>
      </w:r>
      <w:r>
        <w:rPr>
          <w:lang w:eastAsia="zh-CN"/>
        </w:rPr>
        <w:t>模块验收雷达</w:t>
      </w:r>
      <w:r>
        <w:rPr>
          <w:lang w:eastAsia="zh-CN"/>
        </w:rPr>
        <w:t xml:space="preserve"> </w:t>
      </w:r>
      <w:r>
        <w:rPr>
          <w:lang w:eastAsia="zh-CN"/>
        </w:rPr>
        <w:t>资料来源：经营假设、平台演示样本与整理数据。要点：雷达图适合说明</w:t>
      </w:r>
      <w:r>
        <w:rPr>
          <w:lang w:eastAsia="zh-CN"/>
        </w:rPr>
        <w:t>Demo</w:t>
      </w:r>
      <w:r>
        <w:rPr>
          <w:lang w:eastAsia="zh-CN"/>
        </w:rPr>
        <w:t>模块覆盖度和下一步补强方向。</w:t>
      </w:r>
    </w:p>
    <w:p w14:paraId="362D87BB" w14:textId="77777777" w:rsidR="00735A9E" w:rsidRDefault="00000000">
      <w:pPr>
        <w:rPr>
          <w:lang w:eastAsia="zh-CN"/>
        </w:rPr>
      </w:pPr>
      <w:r>
        <w:rPr>
          <w:lang w:eastAsia="zh-CN"/>
        </w:rPr>
        <w:t>Demo</w:t>
      </w:r>
      <w:r>
        <w:rPr>
          <w:lang w:eastAsia="zh-CN"/>
        </w:rPr>
        <w:t>模块验收雷达对应的财务判断是：雷达图适合说明</w:t>
      </w:r>
      <w:r>
        <w:rPr>
          <w:lang w:eastAsia="zh-CN"/>
        </w:rPr>
        <w:t>Demo</w:t>
      </w:r>
      <w:r>
        <w:rPr>
          <w:lang w:eastAsia="zh-CN"/>
        </w:rPr>
        <w:t>模块覆盖度和下一步补强方向。资料口径来自经营假设、平台演示样本与整理数据。</w:t>
      </w:r>
    </w:p>
    <w:p w14:paraId="0BBCDBF1" w14:textId="2D1506BF" w:rsidR="00735A9E" w:rsidRDefault="00B748F8">
      <w:pPr>
        <w:rPr>
          <w:lang w:eastAsia="zh-CN"/>
        </w:rPr>
      </w:pPr>
      <w:r w:rsidRPr="00B748F8">
        <w:rPr>
          <w:rFonts w:hint="eastAsia"/>
          <w:lang w:eastAsia="zh-CN"/>
        </w:rPr>
        <w:lastRenderedPageBreak/>
        <w:t>如果只看单个财务指标，容易把商业机会写成赛道热度的宏大叙事；将指标放回实际的研发和交付工作流中，才能看清楚哪些功能真正可以收费、哪些功能只是成本中心。财务章节的重点不是把数字写大，而是说明假设之间如何相互支撑——敏感性检验的结论不仅是财务模型的技术输出，更是经营决策的输入：哪些指标需要日报监控，哪些指标可以周报跟踪，哪些变化需要触发应急预案</w:t>
      </w:r>
      <w:r w:rsidR="00000000">
        <w:rPr>
          <w:lang w:eastAsia="zh-CN"/>
        </w:rPr>
        <w:t>。</w:t>
      </w:r>
    </w:p>
    <w:p w14:paraId="674E5935" w14:textId="77777777" w:rsidR="00735A9E" w:rsidRDefault="00000000">
      <w:pPr>
        <w:rPr>
          <w:lang w:eastAsia="zh-CN"/>
        </w:rPr>
      </w:pPr>
      <w:r>
        <w:rPr>
          <w:lang w:eastAsia="zh-CN"/>
        </w:rPr>
        <w:t>财务章节处理敏感性时，把增长、毛利、现金流和回款周期放在一起看。这样可以说明项目如何活下去，而不是只把未来收入写高。</w:t>
      </w:r>
    </w:p>
    <w:p w14:paraId="43C129FC" w14:textId="77777777" w:rsidR="00735A9E" w:rsidRDefault="00000000">
      <w:pPr>
        <w:pStyle w:val="a0"/>
        <w:rPr>
          <w:lang w:eastAsia="zh-CN"/>
        </w:rPr>
      </w:pPr>
      <w:r>
        <w:rPr>
          <w:color w:val="2D3748"/>
          <w:lang w:eastAsia="zh-CN"/>
        </w:rPr>
        <w:t>关注客单价、交付成本、续费率和回款周期</w:t>
      </w:r>
    </w:p>
    <w:p w14:paraId="64747951" w14:textId="77777777" w:rsidR="00735A9E" w:rsidRDefault="00000000">
      <w:pPr>
        <w:pStyle w:val="a0"/>
        <w:rPr>
          <w:lang w:eastAsia="zh-CN"/>
        </w:rPr>
      </w:pPr>
      <w:r>
        <w:rPr>
          <w:color w:val="2D3748"/>
          <w:lang w:eastAsia="zh-CN"/>
        </w:rPr>
        <w:t>依据：经营假设、平台演示样本与整理数据</w:t>
      </w:r>
    </w:p>
    <w:p w14:paraId="635F1149" w14:textId="77777777" w:rsidR="00735A9E" w:rsidRDefault="00000000">
      <w:pPr>
        <w:pStyle w:val="a0"/>
        <w:rPr>
          <w:lang w:eastAsia="zh-CN"/>
        </w:rPr>
      </w:pPr>
      <w:r>
        <w:rPr>
          <w:color w:val="2D3748"/>
          <w:lang w:eastAsia="zh-CN"/>
        </w:rPr>
        <w:t>经营判断：雷达图适合说明</w:t>
      </w:r>
      <w:r>
        <w:rPr>
          <w:color w:val="2D3748"/>
          <w:lang w:eastAsia="zh-CN"/>
        </w:rPr>
        <w:t>Demo</w:t>
      </w:r>
      <w:r>
        <w:rPr>
          <w:color w:val="2D3748"/>
          <w:lang w:eastAsia="zh-CN"/>
        </w:rPr>
        <w:t>模块覆盖度和下一步补强方向。</w:t>
      </w:r>
    </w:p>
    <w:p w14:paraId="5126F6D5"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5ED836FF" w14:textId="77777777" w:rsidR="00735A9E" w:rsidRDefault="00000000">
      <w:pPr>
        <w:pStyle w:val="21"/>
        <w:rPr>
          <w:lang w:eastAsia="zh-CN"/>
        </w:rPr>
      </w:pPr>
      <w:r>
        <w:rPr>
          <w:rFonts w:ascii="Times New Roman" w:eastAsia="仿宋" w:hAnsi="Times New Roman" w:cs="仿宋"/>
          <w:lang w:eastAsia="zh-CN"/>
        </w:rPr>
        <w:t xml:space="preserve">9.8 </w:t>
      </w:r>
      <w:r>
        <w:rPr>
          <w:rFonts w:ascii="Times New Roman" w:eastAsia="仿宋" w:hAnsi="Times New Roman" w:cs="仿宋"/>
          <w:lang w:eastAsia="zh-CN"/>
        </w:rPr>
        <w:t>单位经济测算</w:t>
      </w:r>
    </w:p>
    <w:p w14:paraId="27C2CAE0" w14:textId="1DE5434D" w:rsidR="00735A9E" w:rsidRDefault="00B748F8">
      <w:pPr>
        <w:rPr>
          <w:lang w:eastAsia="zh-CN"/>
        </w:rPr>
      </w:pPr>
      <w:r w:rsidRPr="00B748F8">
        <w:rPr>
          <w:rFonts w:hint="eastAsia"/>
          <w:lang w:eastAsia="zh-CN"/>
        </w:rPr>
        <w:t>单位经济测算是检验商业模式是否健康的最底层工具。如果说利润表看的是“整体是否赚钱”，那么单位经济看的就是“每一单是否赚钱”——如果每一单都亏钱，那么卖得越多亏得越多，规模增长反而加速死亡；如果每一单赚钱，那么整体盈利只是时间问题。</w:t>
      </w:r>
      <w:proofErr w:type="spellStart"/>
      <w:r w:rsidRPr="00B748F8">
        <w:rPr>
          <w:rFonts w:hint="eastAsia"/>
          <w:lang w:eastAsia="zh-CN"/>
        </w:rPr>
        <w:t>SkyGuard</w:t>
      </w:r>
      <w:proofErr w:type="spellEnd"/>
      <w:r w:rsidRPr="00B748F8">
        <w:rPr>
          <w:rFonts w:hint="eastAsia"/>
          <w:lang w:eastAsia="zh-CN"/>
        </w:rPr>
        <w:t>的单位经济测算以“单客户利润”为核心指标，拆解为客单价减去部署成本、客户成功成本、分摊的研发费用和分摊的云资源成本，最终得出单客户的净贡献</w:t>
      </w:r>
      <w:r w:rsidR="00000000">
        <w:rPr>
          <w:lang w:eastAsia="zh-CN"/>
        </w:rPr>
        <w:t>。</w:t>
      </w:r>
    </w:p>
    <w:p w14:paraId="76EDBEFA" w14:textId="194E654A" w:rsidR="00735A9E" w:rsidRDefault="00B748F8">
      <w:pPr>
        <w:rPr>
          <w:lang w:eastAsia="zh-CN"/>
        </w:rPr>
      </w:pPr>
      <w:r w:rsidRPr="00B748F8">
        <w:rPr>
          <w:rFonts w:hint="eastAsia"/>
          <w:lang w:eastAsia="zh-CN"/>
        </w:rPr>
        <w:t>资金使用应优先服务产品打磨、试点交付、数据治理、客户成功和必要伙伴接入，同时控制并行项目的数量。单位经济的测算结果可以直接指导资源的分配——如果某类客户的单位经济表现显著优于其他类别，则应将销售和交付资源优先配置到该类客户身上；如果某类客户的单位经济持续为负，则应谨慎接单或调整定价策略</w:t>
      </w:r>
      <w:r w:rsidR="00000000">
        <w:rPr>
          <w:lang w:eastAsia="zh-CN"/>
        </w:rPr>
        <w:t>。</w:t>
      </w:r>
    </w:p>
    <w:p w14:paraId="19C4613A" w14:textId="77777777" w:rsidR="00735A9E" w:rsidRDefault="00000000">
      <w:pPr>
        <w:pStyle w:val="af7"/>
        <w:keepLines/>
        <w:spacing w:before="80" w:after="160"/>
        <w:rPr>
          <w:lang w:eastAsia="zh-CN"/>
        </w:rPr>
      </w:pPr>
      <w:r>
        <w:rPr>
          <w:noProof/>
        </w:rPr>
        <w:drawing>
          <wp:inline distT="0" distB="0" distL="0" distR="0" wp14:anchorId="5C7125B6" wp14:editId="717E4244">
            <wp:extent cx="5486400" cy="3176337"/>
            <wp:effectExtent l="0" t="0" r="0" b="508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概率影响矩阵.png"/>
                    <pic:cNvPicPr/>
                  </pic:nvPicPr>
                  <pic:blipFill>
                    <a:blip r:embed="rId16"/>
                    <a:stretch>
                      <a:fillRect/>
                    </a:stretch>
                  </pic:blipFill>
                  <pic:spPr>
                    <a:xfrm>
                      <a:off x="0" y="0"/>
                      <a:ext cx="5505077" cy="3187150"/>
                    </a:xfrm>
                    <a:prstGeom prst="rect">
                      <a:avLst/>
                    </a:prstGeom>
                  </pic:spPr>
                </pic:pic>
              </a:graphicData>
            </a:graphic>
          </wp:inline>
        </w:drawing>
      </w:r>
      <w:r>
        <w:rPr>
          <w:lang w:eastAsia="zh-CN"/>
        </w:rPr>
        <w:br/>
      </w:r>
      <w:r>
        <w:rPr>
          <w:lang w:eastAsia="zh-CN"/>
        </w:rPr>
        <w:t>图</w:t>
      </w:r>
      <w:r>
        <w:rPr>
          <w:lang w:eastAsia="zh-CN"/>
        </w:rPr>
        <w:t xml:space="preserve"> 123 </w:t>
      </w:r>
      <w:r>
        <w:rPr>
          <w:lang w:eastAsia="zh-CN"/>
        </w:rPr>
        <w:t>风险概率影响矩阵</w:t>
      </w:r>
      <w:r>
        <w:rPr>
          <w:lang w:eastAsia="zh-CN"/>
        </w:rPr>
        <w:t xml:space="preserve"> </w:t>
      </w:r>
      <w:r>
        <w:rPr>
          <w:lang w:eastAsia="zh-CN"/>
        </w:rPr>
        <w:t>资料来源：经营假设、平台演示样本与整理数据。要点：风险矩阵能把风险优先级从文字清单变成决策顺序。</w:t>
      </w:r>
    </w:p>
    <w:p w14:paraId="1DD2B0D5" w14:textId="77777777" w:rsidR="00735A9E" w:rsidRDefault="00000000">
      <w:pPr>
        <w:rPr>
          <w:lang w:eastAsia="zh-CN"/>
        </w:rPr>
      </w:pPr>
      <w:r>
        <w:rPr>
          <w:lang w:eastAsia="zh-CN"/>
        </w:rPr>
        <w:lastRenderedPageBreak/>
        <w:t>风险概率影响矩阵对应的财务判断是：风险矩阵能把风险优先级从文字清单变成决策顺序。资料口径来自经营假设、平台演示样本与整理数据。</w:t>
      </w:r>
    </w:p>
    <w:p w14:paraId="36D6AF26" w14:textId="77777777" w:rsidR="00735A9E" w:rsidRDefault="00000000">
      <w:pPr>
        <w:rPr>
          <w:lang w:eastAsia="zh-CN"/>
        </w:rPr>
      </w:pPr>
      <w:r>
        <w:rPr>
          <w:lang w:eastAsia="zh-CN"/>
        </w:rPr>
        <w:t>早期样板应优先选择责任主体清楚、边界稳定、记录可追溯的区域。</w:t>
      </w:r>
      <w:r>
        <w:rPr>
          <w:lang w:eastAsia="zh-CN"/>
        </w:rPr>
        <w:t xml:space="preserve"> </w:t>
      </w:r>
      <w:r>
        <w:rPr>
          <w:lang w:eastAsia="zh-CN"/>
        </w:rPr>
        <w:t>财务章节的重点不是把数字写大，而是说明假设之间如何相互支撑。</w:t>
      </w:r>
    </w:p>
    <w:p w14:paraId="650A217D" w14:textId="77777777" w:rsidR="00735A9E" w:rsidRDefault="00000000">
      <w:pPr>
        <w:rPr>
          <w:lang w:eastAsia="zh-CN"/>
        </w:rPr>
      </w:pPr>
      <w:r>
        <w:rPr>
          <w:lang w:eastAsia="zh-CN"/>
        </w:rPr>
        <w:t>财务章节处理单位经济时，把增长、毛利、现金流和回款周期放在一起看。这样可以说明项目如何活下去，而不是只把未来收入写高。</w:t>
      </w:r>
    </w:p>
    <w:p w14:paraId="50B3ACB3" w14:textId="77777777" w:rsidR="00735A9E" w:rsidRDefault="00000000">
      <w:pPr>
        <w:pStyle w:val="a0"/>
        <w:rPr>
          <w:lang w:eastAsia="zh-CN"/>
        </w:rPr>
      </w:pPr>
      <w:r>
        <w:rPr>
          <w:color w:val="2D3748"/>
          <w:lang w:eastAsia="zh-CN"/>
        </w:rPr>
        <w:t>关注客单价、交付成本、续费率和回款周期</w:t>
      </w:r>
    </w:p>
    <w:p w14:paraId="17F52546" w14:textId="77777777" w:rsidR="00735A9E" w:rsidRDefault="00000000">
      <w:pPr>
        <w:pStyle w:val="a0"/>
        <w:rPr>
          <w:lang w:eastAsia="zh-CN"/>
        </w:rPr>
      </w:pPr>
      <w:r>
        <w:rPr>
          <w:color w:val="2D3748"/>
          <w:lang w:eastAsia="zh-CN"/>
        </w:rPr>
        <w:t>依据：经营假设、平台演示样本与整理数据</w:t>
      </w:r>
    </w:p>
    <w:p w14:paraId="32A3A487" w14:textId="77777777" w:rsidR="00735A9E" w:rsidRDefault="00000000">
      <w:pPr>
        <w:pStyle w:val="a0"/>
        <w:rPr>
          <w:lang w:eastAsia="zh-CN"/>
        </w:rPr>
      </w:pPr>
      <w:r>
        <w:rPr>
          <w:color w:val="2D3748"/>
          <w:lang w:eastAsia="zh-CN"/>
        </w:rPr>
        <w:t>经营判断：风险矩阵能把风险优先级从文字清单变成决策顺序。</w:t>
      </w:r>
    </w:p>
    <w:p w14:paraId="4AEBAE6D"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4E8F6E34" w14:textId="77777777" w:rsidR="00735A9E" w:rsidRDefault="00000000">
      <w:pPr>
        <w:pStyle w:val="21"/>
        <w:rPr>
          <w:lang w:eastAsia="zh-CN"/>
        </w:rPr>
      </w:pPr>
      <w:r>
        <w:rPr>
          <w:rFonts w:ascii="Times New Roman" w:eastAsia="仿宋" w:hAnsi="Times New Roman" w:cs="仿宋"/>
          <w:lang w:eastAsia="zh-CN"/>
        </w:rPr>
        <w:t xml:space="preserve">9.9 </w:t>
      </w:r>
      <w:r>
        <w:rPr>
          <w:rFonts w:ascii="Times New Roman" w:eastAsia="仿宋" w:hAnsi="Times New Roman" w:cs="仿宋"/>
          <w:lang w:eastAsia="zh-CN"/>
        </w:rPr>
        <w:t>现金流瀑布</w:t>
      </w:r>
    </w:p>
    <w:p w14:paraId="6F839C3A" w14:textId="7151E986" w:rsidR="00735A9E" w:rsidRDefault="00B748F8">
      <w:pPr>
        <w:rPr>
          <w:lang w:eastAsia="zh-CN"/>
        </w:rPr>
      </w:pPr>
      <w:r w:rsidRPr="00B748F8">
        <w:rPr>
          <w:rFonts w:hint="eastAsia"/>
          <w:lang w:eastAsia="zh-CN"/>
        </w:rPr>
        <w:t>现金流瀑布（</w:t>
      </w:r>
      <w:r w:rsidRPr="00B748F8">
        <w:rPr>
          <w:rFonts w:hint="eastAsia"/>
          <w:lang w:eastAsia="zh-CN"/>
        </w:rPr>
        <w:t>Cash Flow Waterfall</w:t>
      </w:r>
      <w:r w:rsidRPr="00B748F8">
        <w:rPr>
          <w:rFonts w:hint="eastAsia"/>
          <w:lang w:eastAsia="zh-CN"/>
        </w:rPr>
        <w:t>）是展示资金从流入到流出的完整路径的可视化工具，也是本节融资资金使用分析的收束点。与单纯的现金流量表不同，现金流瀑布以图形化的方式呈现资金在每一阶段的累计余额变化，强调“水位”的逐层累积或消耗——每一笔流入推高水位，每一笔支出拉低水位，读者可以清晰看到在哪个时间点水位最低、在哪个时间点水位开始回升、以及融资资金的注入如何改变了水位的整体走势</w:t>
      </w:r>
      <w:r w:rsidR="00000000">
        <w:rPr>
          <w:lang w:eastAsia="zh-CN"/>
        </w:rPr>
        <w:t>。</w:t>
      </w:r>
    </w:p>
    <w:p w14:paraId="270D4705" w14:textId="54FCF9FE" w:rsidR="00735A9E" w:rsidRDefault="00B748F8">
      <w:pPr>
        <w:rPr>
          <w:lang w:eastAsia="zh-CN"/>
        </w:rPr>
      </w:pPr>
      <w:r w:rsidRPr="00B748F8">
        <w:rPr>
          <w:rFonts w:hint="eastAsia"/>
          <w:lang w:eastAsia="zh-CN"/>
        </w:rPr>
        <w:t>现金流瀑布图与此前各节分析的关系是：它将收入口径（</w:t>
      </w:r>
      <w:r w:rsidRPr="00B748F8">
        <w:rPr>
          <w:rFonts w:hint="eastAsia"/>
          <w:lang w:eastAsia="zh-CN"/>
        </w:rPr>
        <w:t>9.1</w:t>
      </w:r>
      <w:r w:rsidRPr="00B748F8">
        <w:rPr>
          <w:rFonts w:hint="eastAsia"/>
          <w:lang w:eastAsia="zh-CN"/>
        </w:rPr>
        <w:t>）、成本结构（</w:t>
      </w:r>
      <w:r w:rsidRPr="00B748F8">
        <w:rPr>
          <w:rFonts w:hint="eastAsia"/>
          <w:lang w:eastAsia="zh-CN"/>
        </w:rPr>
        <w:t>9.2</w:t>
      </w:r>
      <w:r w:rsidRPr="00B748F8">
        <w:rPr>
          <w:rFonts w:hint="eastAsia"/>
          <w:lang w:eastAsia="zh-CN"/>
        </w:rPr>
        <w:t>）、毛利路径（</w:t>
      </w:r>
      <w:r w:rsidRPr="00B748F8">
        <w:rPr>
          <w:rFonts w:hint="eastAsia"/>
          <w:lang w:eastAsia="zh-CN"/>
        </w:rPr>
        <w:t>9.3</w:t>
      </w:r>
      <w:r w:rsidRPr="00B748F8">
        <w:rPr>
          <w:rFonts w:hint="eastAsia"/>
          <w:lang w:eastAsia="zh-CN"/>
        </w:rPr>
        <w:t>）、现金流约束（</w:t>
      </w:r>
      <w:r w:rsidRPr="00B748F8">
        <w:rPr>
          <w:rFonts w:hint="eastAsia"/>
          <w:lang w:eastAsia="zh-CN"/>
        </w:rPr>
        <w:t>9.4</w:t>
      </w:r>
      <w:r w:rsidRPr="00B748F8">
        <w:rPr>
          <w:rFonts w:hint="eastAsia"/>
          <w:lang w:eastAsia="zh-CN"/>
        </w:rPr>
        <w:t>）和回款周期压力（</w:t>
      </w:r>
      <w:r w:rsidRPr="00B748F8">
        <w:rPr>
          <w:rFonts w:hint="eastAsia"/>
          <w:lang w:eastAsia="zh-CN"/>
        </w:rPr>
        <w:t>9.5</w:t>
      </w:r>
      <w:r w:rsidRPr="00B748F8">
        <w:rPr>
          <w:rFonts w:hint="eastAsia"/>
          <w:lang w:eastAsia="zh-CN"/>
        </w:rPr>
        <w:t>）中的关键数据整合进一张图中，形成对融资资金使用效率的终局判断。如果说各分节是逐项拆解变量，那么现金流瀑布就是将各项变量拼接成一幅完整的资金流动图景</w:t>
      </w:r>
      <w:r w:rsidR="00000000">
        <w:rPr>
          <w:lang w:eastAsia="zh-CN"/>
        </w:rPr>
        <w:t>。</w:t>
      </w:r>
    </w:p>
    <w:p w14:paraId="436A5EA9" w14:textId="77777777" w:rsidR="00735A9E" w:rsidRDefault="00000000">
      <w:pPr>
        <w:pStyle w:val="af7"/>
        <w:keepLines/>
        <w:spacing w:before="80" w:after="160"/>
        <w:rPr>
          <w:lang w:eastAsia="zh-CN"/>
        </w:rPr>
      </w:pPr>
      <w:r>
        <w:rPr>
          <w:noProof/>
        </w:rPr>
        <w:drawing>
          <wp:inline distT="0" distB="0" distL="0" distR="0" wp14:anchorId="27322568" wp14:editId="53F46A13">
            <wp:extent cx="5512279" cy="318918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处置SLA子弹图.png"/>
                    <pic:cNvPicPr/>
                  </pic:nvPicPr>
                  <pic:blipFill>
                    <a:blip r:embed="rId17"/>
                    <a:stretch>
                      <a:fillRect/>
                    </a:stretch>
                  </pic:blipFill>
                  <pic:spPr>
                    <a:xfrm>
                      <a:off x="0" y="0"/>
                      <a:ext cx="5527026" cy="3197718"/>
                    </a:xfrm>
                    <a:prstGeom prst="rect">
                      <a:avLst/>
                    </a:prstGeom>
                  </pic:spPr>
                </pic:pic>
              </a:graphicData>
            </a:graphic>
          </wp:inline>
        </w:drawing>
      </w:r>
      <w:r>
        <w:rPr>
          <w:lang w:eastAsia="zh-CN"/>
        </w:rPr>
        <w:br/>
      </w:r>
      <w:r>
        <w:rPr>
          <w:lang w:eastAsia="zh-CN"/>
        </w:rPr>
        <w:t>图</w:t>
      </w:r>
      <w:r>
        <w:rPr>
          <w:lang w:eastAsia="zh-CN"/>
        </w:rPr>
        <w:t xml:space="preserve"> 124 </w:t>
      </w:r>
      <w:r>
        <w:rPr>
          <w:lang w:eastAsia="zh-CN"/>
        </w:rPr>
        <w:t>风险处置</w:t>
      </w:r>
      <w:r>
        <w:rPr>
          <w:lang w:eastAsia="zh-CN"/>
        </w:rPr>
        <w:t>SLA</w:t>
      </w:r>
      <w:r>
        <w:rPr>
          <w:lang w:eastAsia="zh-CN"/>
        </w:rPr>
        <w:t>子弹图</w:t>
      </w:r>
      <w:r>
        <w:rPr>
          <w:lang w:eastAsia="zh-CN"/>
        </w:rPr>
        <w:t xml:space="preserve"> </w:t>
      </w:r>
      <w:r>
        <w:rPr>
          <w:lang w:eastAsia="zh-CN"/>
        </w:rPr>
        <w:t>资料来源：经营假设、平台演示样本与整理数据。要点：子弹图把响应目标和当前处置时长放在同一口径下比较。</w:t>
      </w:r>
    </w:p>
    <w:p w14:paraId="62BE5D0C" w14:textId="77777777" w:rsidR="00735A9E" w:rsidRDefault="00000000">
      <w:pPr>
        <w:rPr>
          <w:lang w:eastAsia="zh-CN"/>
        </w:rPr>
      </w:pPr>
      <w:r>
        <w:rPr>
          <w:lang w:eastAsia="zh-CN"/>
        </w:rPr>
        <w:lastRenderedPageBreak/>
        <w:t>风险处置</w:t>
      </w:r>
      <w:r>
        <w:rPr>
          <w:lang w:eastAsia="zh-CN"/>
        </w:rPr>
        <w:t>SLA</w:t>
      </w:r>
      <w:r>
        <w:rPr>
          <w:lang w:eastAsia="zh-CN"/>
        </w:rPr>
        <w:t>子弹图对应的财务判断是：子弹图把响应目标和当前处置时长放在同一口径下比较。资料口径来自经营假设、平台演示样本与整理数据。</w:t>
      </w:r>
    </w:p>
    <w:p w14:paraId="3C048587" w14:textId="77777777" w:rsidR="00735A9E" w:rsidRDefault="00000000">
      <w:pPr>
        <w:rPr>
          <w:lang w:eastAsia="zh-CN"/>
        </w:rPr>
      </w:pPr>
      <w:r>
        <w:rPr>
          <w:lang w:eastAsia="zh-CN"/>
        </w:rPr>
        <w:t>这个判断的价值在于把市场机会压到客户每天会处理的事务上。</w:t>
      </w:r>
      <w:r>
        <w:rPr>
          <w:lang w:eastAsia="zh-CN"/>
        </w:rPr>
        <w:t xml:space="preserve"> </w:t>
      </w:r>
      <w:r>
        <w:rPr>
          <w:lang w:eastAsia="zh-CN"/>
        </w:rPr>
        <w:t>财务章节的重点不是把数字写大，而是说明假设之间如何相互支撑。</w:t>
      </w:r>
    </w:p>
    <w:p w14:paraId="148362AA" w14:textId="77777777" w:rsidR="00735A9E" w:rsidRDefault="00000000">
      <w:pPr>
        <w:rPr>
          <w:lang w:eastAsia="zh-CN"/>
        </w:rPr>
      </w:pPr>
      <w:r>
        <w:rPr>
          <w:lang w:eastAsia="zh-CN"/>
        </w:rPr>
        <w:t>财务章节处理收入预测时，把增长、毛利、现金流和回款周期放在一起看。这样可以说明项目如何活下去，而不是只把未来收入写高。</w:t>
      </w:r>
    </w:p>
    <w:p w14:paraId="0F6CC656" w14:textId="77777777" w:rsidR="00735A9E" w:rsidRDefault="00000000">
      <w:pPr>
        <w:pStyle w:val="a0"/>
        <w:rPr>
          <w:lang w:eastAsia="zh-CN"/>
        </w:rPr>
      </w:pPr>
      <w:r>
        <w:rPr>
          <w:color w:val="2D3748"/>
          <w:lang w:eastAsia="zh-CN"/>
        </w:rPr>
        <w:t>关注客单价、交付成本、续费率和回款周期</w:t>
      </w:r>
    </w:p>
    <w:p w14:paraId="5B019C05" w14:textId="77777777" w:rsidR="00735A9E" w:rsidRDefault="00000000">
      <w:pPr>
        <w:pStyle w:val="a0"/>
        <w:rPr>
          <w:lang w:eastAsia="zh-CN"/>
        </w:rPr>
      </w:pPr>
      <w:r>
        <w:rPr>
          <w:color w:val="2D3748"/>
          <w:lang w:eastAsia="zh-CN"/>
        </w:rPr>
        <w:t>依据：经营假设、平台演示样本与整理数据</w:t>
      </w:r>
    </w:p>
    <w:p w14:paraId="67CB504B" w14:textId="77777777" w:rsidR="00735A9E" w:rsidRDefault="00000000">
      <w:pPr>
        <w:pStyle w:val="a0"/>
        <w:rPr>
          <w:lang w:eastAsia="zh-CN"/>
        </w:rPr>
      </w:pPr>
      <w:r>
        <w:rPr>
          <w:color w:val="2D3748"/>
          <w:lang w:eastAsia="zh-CN"/>
        </w:rPr>
        <w:t>经营判断：子弹图把响应目标和当前处置时长放在同一口径下比较。</w:t>
      </w:r>
    </w:p>
    <w:p w14:paraId="7DD43D56"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52420241" w14:textId="77777777" w:rsidR="00735A9E" w:rsidRDefault="00000000">
      <w:pPr>
        <w:pStyle w:val="21"/>
        <w:rPr>
          <w:lang w:eastAsia="zh-CN"/>
        </w:rPr>
      </w:pPr>
      <w:r>
        <w:rPr>
          <w:rFonts w:ascii="Times New Roman" w:eastAsia="仿宋" w:hAnsi="Times New Roman" w:cs="仿宋"/>
          <w:lang w:eastAsia="zh-CN"/>
        </w:rPr>
        <w:t xml:space="preserve">9.10 </w:t>
      </w:r>
      <w:r>
        <w:rPr>
          <w:rFonts w:ascii="Times New Roman" w:eastAsia="仿宋" w:hAnsi="Times New Roman" w:cs="仿宋"/>
          <w:lang w:eastAsia="zh-CN"/>
        </w:rPr>
        <w:t>收入结构迁移</w:t>
      </w:r>
    </w:p>
    <w:p w14:paraId="495D54C0" w14:textId="04DF48E4" w:rsidR="00735A9E" w:rsidRDefault="00B748F8">
      <w:pPr>
        <w:rPr>
          <w:lang w:eastAsia="zh-CN"/>
        </w:rPr>
      </w:pPr>
      <w:r w:rsidRPr="00B748F8">
        <w:rPr>
          <w:rFonts w:hint="eastAsia"/>
          <w:lang w:eastAsia="zh-CN"/>
        </w:rPr>
        <w:t>收入结构迁移是观察企业商业模式演变的关键视角。对于成长型企业而言，收入结构通常不是一成不变的——早期可能依赖某一种或两种收入来源，随着产品成熟和客户积累，收入结构会逐步向更健康、更可持续的方向迁移。</w:t>
      </w:r>
      <w:proofErr w:type="spellStart"/>
      <w:r w:rsidRPr="00B748F8">
        <w:rPr>
          <w:rFonts w:hint="eastAsia"/>
          <w:lang w:eastAsia="zh-CN"/>
        </w:rPr>
        <w:t>SkyGuard</w:t>
      </w:r>
      <w:proofErr w:type="spellEnd"/>
      <w:r w:rsidRPr="00B748F8">
        <w:rPr>
          <w:rFonts w:hint="eastAsia"/>
          <w:lang w:eastAsia="zh-CN"/>
        </w:rPr>
        <w:t>期望看到的迁移路径是：从早期以项目部署和定制开发为主的收入结构，逐步过渡到以</w:t>
      </w:r>
      <w:r w:rsidRPr="00B748F8">
        <w:rPr>
          <w:rFonts w:hint="eastAsia"/>
          <w:lang w:eastAsia="zh-CN"/>
        </w:rPr>
        <w:t>SaaS</w:t>
      </w:r>
      <w:r w:rsidRPr="00B748F8">
        <w:rPr>
          <w:rFonts w:hint="eastAsia"/>
          <w:lang w:eastAsia="zh-CN"/>
        </w:rPr>
        <w:t>订阅服务和运维服务为主的收入结构。前者的特点是单笔金额大但不可持续，后者的特点是单笔金额相对小但具有高度的可预测性和客户粘性。收入结构迁移的速度和方向，直接决定了企业的估值水平和长期盈利能力</w:t>
      </w:r>
      <w:r w:rsidR="00000000">
        <w:rPr>
          <w:lang w:eastAsia="zh-CN"/>
        </w:rPr>
        <w:t>。</w:t>
      </w:r>
    </w:p>
    <w:p w14:paraId="1C891B20" w14:textId="3E3D798D" w:rsidR="00735A9E" w:rsidRDefault="00B748F8">
      <w:pPr>
        <w:rPr>
          <w:lang w:eastAsia="zh-CN"/>
        </w:rPr>
      </w:pPr>
      <w:r w:rsidRPr="00B748F8">
        <w:rPr>
          <w:rFonts w:hint="eastAsia"/>
          <w:lang w:eastAsia="zh-CN"/>
        </w:rPr>
        <w:t>资金使用应优先服务产品打磨、试点交付、数据治理、客户成功和必要伙伴接入，同时控制并行项目的数量。收入结构迁移不会自动发生——它需要产品部门持续增加标准化功能以减少定制开发比例，需要销售部门调整激励机制以鼓励订阅式销售而非一次性项目销售，需要客户成功团队提高续约率以积累持续性收入。这些动作都需要在融资用途中明确安排，并在执行过程中持续跟踪进展</w:t>
      </w:r>
      <w:r w:rsidR="00000000">
        <w:rPr>
          <w:lang w:eastAsia="zh-CN"/>
        </w:rPr>
        <w:t>。</w:t>
      </w:r>
    </w:p>
    <w:p w14:paraId="52E25824" w14:textId="1497F11D" w:rsidR="00735A9E" w:rsidRDefault="00000000">
      <w:pPr>
        <w:rPr>
          <w:lang w:eastAsia="zh-CN"/>
        </w:rPr>
      </w:pPr>
      <w:r>
        <w:rPr>
          <w:lang w:eastAsia="zh-CN"/>
        </w:rPr>
        <w:t>收入结构迁移对应的财务判断是：</w:t>
      </w:r>
      <w:r w:rsidR="00B748F8" w:rsidRPr="00B748F8">
        <w:rPr>
          <w:rFonts w:hint="eastAsia"/>
          <w:lang w:eastAsia="zh-CN"/>
        </w:rPr>
        <w:t>发散条形图能把风险与正向缓释因素放在同一尺度中。</w:t>
      </w:r>
      <w:r w:rsidR="00B748F8" w:rsidRPr="00B748F8">
        <w:rPr>
          <w:rFonts w:hint="eastAsia"/>
          <w:lang w:eastAsia="zh-CN"/>
        </w:rPr>
        <w:t xml:space="preserve"> </w:t>
      </w:r>
      <w:r w:rsidR="00B748F8" w:rsidRPr="00B748F8">
        <w:rPr>
          <w:rFonts w:hint="eastAsia"/>
          <w:lang w:eastAsia="zh-CN"/>
        </w:rPr>
        <w:t>资料口径来自经营假设、平台演示样本与整理数据。这里的发散条形图与</w:t>
      </w:r>
      <w:r w:rsidR="00B748F8" w:rsidRPr="00B748F8">
        <w:rPr>
          <w:rFonts w:hint="eastAsia"/>
          <w:lang w:eastAsia="zh-CN"/>
        </w:rPr>
        <w:t>9.7</w:t>
      </w:r>
      <w:r w:rsidR="00B748F8" w:rsidRPr="00B748F8">
        <w:rPr>
          <w:rFonts w:hint="eastAsia"/>
          <w:lang w:eastAsia="zh-CN"/>
        </w:rPr>
        <w:t>节中的因素桥图在功能上既有联系又有区别：因素桥图专注于毛利改善的归因分析，展示各因素对毛利率的“贡献”大小；发散条形图则更侧重于风险与缓释措施的对称呈现——同一张图中，正向条代表有利因素（如续费率提升、云资源成本下降），负向条代表不利因素（如回款周期拉长、定制开发比例偏高），两者对比直观反映收入结构迁移过程中“推力”和“阻力”的相对强度</w:t>
      </w:r>
      <w:r>
        <w:rPr>
          <w:lang w:eastAsia="zh-CN"/>
        </w:rPr>
        <w:t>。</w:t>
      </w:r>
    </w:p>
    <w:p w14:paraId="505C3BC9" w14:textId="394BE219" w:rsidR="00735A9E" w:rsidRDefault="00B748F8">
      <w:pPr>
        <w:rPr>
          <w:lang w:eastAsia="zh-CN"/>
        </w:rPr>
      </w:pPr>
      <w:r w:rsidRPr="00B748F8">
        <w:rPr>
          <w:lang w:eastAsia="zh-CN"/>
        </w:rPr>
        <w:t>它将外部市场资料、产品迭代动作和交付能力边界连接在一起，便于后续试点过程中逐项核验</w:t>
      </w:r>
      <w:r w:rsidRPr="00B748F8">
        <w:rPr>
          <w:lang w:eastAsia="zh-CN"/>
        </w:rPr>
        <w:t>——</w:t>
      </w:r>
      <w:r w:rsidRPr="00B748F8">
        <w:rPr>
          <w:lang w:eastAsia="zh-CN"/>
        </w:rPr>
        <w:t>如果实际收入结构迁移速度慢于模型假设，则需要分析原因是产品功能不满足客户需求（需加大研发投入），还是销售激励导向偏差（需调整销售考核指标），或是客户成功体系未有效运作（需加强客户成功团队配置）。财务章节的重点不是把数字写大，而是说明假设之间如何相互支撑</w:t>
      </w:r>
      <w:r w:rsidRPr="00B748F8">
        <w:rPr>
          <w:lang w:eastAsia="zh-CN"/>
        </w:rPr>
        <w:t>——</w:t>
      </w:r>
      <w:r w:rsidRPr="00B748F8">
        <w:rPr>
          <w:lang w:eastAsia="zh-CN"/>
        </w:rPr>
        <w:t>收入结构迁移是结果，驱动迁移的是产品、销售、客户成功三个环节的协同改进</w:t>
      </w:r>
      <w:r w:rsidR="00000000">
        <w:rPr>
          <w:lang w:eastAsia="zh-CN"/>
        </w:rPr>
        <w:t>。</w:t>
      </w:r>
    </w:p>
    <w:p w14:paraId="7D6E7EA2" w14:textId="77777777" w:rsidR="00735A9E" w:rsidRDefault="00000000">
      <w:pPr>
        <w:rPr>
          <w:lang w:eastAsia="zh-CN"/>
        </w:rPr>
      </w:pPr>
      <w:r>
        <w:rPr>
          <w:lang w:eastAsia="zh-CN"/>
        </w:rPr>
        <w:lastRenderedPageBreak/>
        <w:t>财务章节处理成本结构时，把增长、毛利、现金流和回款周期放在一起看。这样可以说明项目如何活下去，而不是只把未来收入写高。</w:t>
      </w:r>
    </w:p>
    <w:p w14:paraId="12FD0D48" w14:textId="77777777" w:rsidR="00735A9E" w:rsidRDefault="00000000">
      <w:pPr>
        <w:pStyle w:val="a0"/>
        <w:rPr>
          <w:lang w:eastAsia="zh-CN"/>
        </w:rPr>
      </w:pPr>
      <w:r>
        <w:rPr>
          <w:color w:val="2D3748"/>
          <w:lang w:eastAsia="zh-CN"/>
        </w:rPr>
        <w:t>关注客单价、交付成本、续费率和回款周期</w:t>
      </w:r>
    </w:p>
    <w:p w14:paraId="10F34386" w14:textId="77777777" w:rsidR="00735A9E" w:rsidRDefault="00000000">
      <w:pPr>
        <w:pStyle w:val="a0"/>
        <w:rPr>
          <w:lang w:eastAsia="zh-CN"/>
        </w:rPr>
      </w:pPr>
      <w:r>
        <w:rPr>
          <w:color w:val="2D3748"/>
          <w:lang w:eastAsia="zh-CN"/>
        </w:rPr>
        <w:t>依据：经营假设、平台演示样本与整理数据</w:t>
      </w:r>
    </w:p>
    <w:p w14:paraId="5F722047" w14:textId="77777777" w:rsidR="00735A9E" w:rsidRDefault="00000000">
      <w:pPr>
        <w:pStyle w:val="a0"/>
        <w:rPr>
          <w:lang w:eastAsia="zh-CN"/>
        </w:rPr>
      </w:pPr>
      <w:r>
        <w:rPr>
          <w:color w:val="2D3748"/>
          <w:lang w:eastAsia="zh-CN"/>
        </w:rPr>
        <w:t>经营判断：发散条形图能把风险与正向缓释因素放在同一尺度中。</w:t>
      </w:r>
    </w:p>
    <w:p w14:paraId="384D3144" w14:textId="77777777" w:rsidR="00735A9E" w:rsidRDefault="00000000">
      <w:pPr>
        <w:pStyle w:val="af7"/>
        <w:keepLines/>
        <w:spacing w:before="20"/>
        <w:rPr>
          <w:lang w:eastAsia="zh-CN"/>
        </w:rPr>
      </w:pPr>
      <w:r>
        <w:rPr>
          <w:lang w:eastAsia="zh-CN"/>
        </w:rPr>
        <w:t>表</w:t>
      </w:r>
      <w:r>
        <w:rPr>
          <w:lang w:eastAsia="zh-CN"/>
        </w:rPr>
        <w:t xml:space="preserve"> 26 </w:t>
      </w:r>
      <w:r>
        <w:rPr>
          <w:lang w:eastAsia="zh-CN"/>
        </w:rPr>
        <w:t>第九章</w:t>
      </w:r>
      <w:r>
        <w:rPr>
          <w:lang w:eastAsia="zh-CN"/>
        </w:rPr>
        <w:t xml:space="preserve"> </w:t>
      </w:r>
      <w:r>
        <w:rPr>
          <w:lang w:eastAsia="zh-CN"/>
        </w:rPr>
        <w:t>财务预测：</w:t>
      </w:r>
      <w:r>
        <w:rPr>
          <w:lang w:eastAsia="zh-CN"/>
        </w:rPr>
        <w:t xml:space="preserve">9.10 </w:t>
      </w:r>
      <w:r>
        <w:rPr>
          <w:lang w:eastAsia="zh-CN"/>
        </w:rPr>
        <w:t>收入结构迁移</w:t>
      </w:r>
    </w:p>
    <w:tbl>
      <w:tblPr>
        <w:tblStyle w:val="aff1"/>
        <w:tblW w:w="0" w:type="auto"/>
        <w:jc w:val="center"/>
        <w:tblLayout w:type="fixed"/>
        <w:tblLook w:val="04A0" w:firstRow="1" w:lastRow="0" w:firstColumn="1" w:lastColumn="0" w:noHBand="0" w:noVBand="1"/>
      </w:tblPr>
      <w:tblGrid>
        <w:gridCol w:w="2232"/>
        <w:gridCol w:w="7128"/>
      </w:tblGrid>
      <w:tr w:rsidR="00735A9E" w14:paraId="137574E4" w14:textId="77777777">
        <w:trPr>
          <w:tblHeader/>
          <w:jc w:val="center"/>
        </w:trPr>
        <w:tc>
          <w:tcPr>
            <w:tcW w:w="2232" w:type="dxa"/>
            <w:shd w:val="clear" w:color="auto" w:fill="E5F0ED"/>
            <w:tcMar>
              <w:top w:w="95" w:type="dxa"/>
              <w:left w:w="125" w:type="dxa"/>
              <w:bottom w:w="95" w:type="dxa"/>
              <w:right w:w="125" w:type="dxa"/>
            </w:tcMar>
            <w:vAlign w:val="center"/>
          </w:tcPr>
          <w:p w14:paraId="0467BFA5" w14:textId="77777777" w:rsidR="00735A9E" w:rsidRDefault="00000000" w:rsidP="00F54BAC">
            <w:pPr>
              <w:spacing w:after="0" w:line="269" w:lineRule="auto"/>
              <w:ind w:firstLine="0"/>
              <w:jc w:val="center"/>
            </w:pPr>
            <w:proofErr w:type="spellStart"/>
            <w:r>
              <w:rPr>
                <w:b/>
                <w:color w:val="151F2B"/>
                <w:sz w:val="17"/>
              </w:rPr>
              <w:t>假设项</w:t>
            </w:r>
            <w:proofErr w:type="spellEnd"/>
          </w:p>
        </w:tc>
        <w:tc>
          <w:tcPr>
            <w:tcW w:w="7128" w:type="dxa"/>
            <w:shd w:val="clear" w:color="auto" w:fill="E5F0ED"/>
            <w:tcMar>
              <w:top w:w="95" w:type="dxa"/>
              <w:left w:w="125" w:type="dxa"/>
              <w:bottom w:w="95" w:type="dxa"/>
              <w:right w:w="125" w:type="dxa"/>
            </w:tcMar>
            <w:vAlign w:val="center"/>
          </w:tcPr>
          <w:p w14:paraId="1B2FCA6D" w14:textId="77777777" w:rsidR="00735A9E" w:rsidRDefault="00000000" w:rsidP="00F54BAC">
            <w:pPr>
              <w:spacing w:after="0" w:line="269" w:lineRule="auto"/>
              <w:ind w:firstLine="0"/>
              <w:jc w:val="center"/>
            </w:pPr>
            <w:proofErr w:type="spellStart"/>
            <w:r>
              <w:rPr>
                <w:b/>
                <w:color w:val="151F2B"/>
                <w:sz w:val="17"/>
              </w:rPr>
              <w:t>模型口径</w:t>
            </w:r>
            <w:proofErr w:type="spellEnd"/>
          </w:p>
        </w:tc>
      </w:tr>
      <w:tr w:rsidR="00735A9E" w14:paraId="47D53589" w14:textId="77777777">
        <w:trPr>
          <w:jc w:val="center"/>
        </w:trPr>
        <w:tc>
          <w:tcPr>
            <w:tcW w:w="2232" w:type="dxa"/>
            <w:tcMar>
              <w:top w:w="90" w:type="dxa"/>
              <w:left w:w="125" w:type="dxa"/>
              <w:bottom w:w="90" w:type="dxa"/>
              <w:right w:w="125" w:type="dxa"/>
            </w:tcMar>
            <w:vAlign w:val="center"/>
          </w:tcPr>
          <w:p w14:paraId="1C1218A3" w14:textId="77777777" w:rsidR="00735A9E" w:rsidRDefault="00000000" w:rsidP="00F54BAC">
            <w:pPr>
              <w:spacing w:after="0" w:line="278" w:lineRule="auto"/>
              <w:ind w:firstLine="0"/>
              <w:jc w:val="center"/>
            </w:pPr>
            <w:r>
              <w:rPr>
                <w:color w:val="2D3748"/>
                <w:sz w:val="16"/>
              </w:rPr>
              <w:t xml:space="preserve">Lite </w:t>
            </w:r>
            <w:proofErr w:type="spellStart"/>
            <w:r>
              <w:rPr>
                <w:color w:val="2D3748"/>
                <w:sz w:val="16"/>
              </w:rPr>
              <w:t>SaaS</w:t>
            </w:r>
            <w:r>
              <w:rPr>
                <w:color w:val="2D3748"/>
                <w:sz w:val="16"/>
              </w:rPr>
              <w:t>年费</w:t>
            </w:r>
            <w:proofErr w:type="spellEnd"/>
          </w:p>
        </w:tc>
        <w:tc>
          <w:tcPr>
            <w:tcW w:w="7128" w:type="dxa"/>
            <w:tcMar>
              <w:top w:w="90" w:type="dxa"/>
              <w:left w:w="125" w:type="dxa"/>
              <w:bottom w:w="90" w:type="dxa"/>
              <w:right w:w="125" w:type="dxa"/>
            </w:tcMar>
            <w:vAlign w:val="center"/>
          </w:tcPr>
          <w:p w14:paraId="7D47D577" w14:textId="77777777" w:rsidR="00735A9E" w:rsidRDefault="00000000" w:rsidP="00F54BAC">
            <w:pPr>
              <w:spacing w:after="0" w:line="278" w:lineRule="auto"/>
              <w:ind w:firstLine="0"/>
              <w:jc w:val="center"/>
            </w:pPr>
            <w:r>
              <w:rPr>
                <w:color w:val="2D3748"/>
                <w:sz w:val="16"/>
              </w:rPr>
              <w:t>8-15</w:t>
            </w:r>
            <w:r>
              <w:rPr>
                <w:color w:val="2D3748"/>
                <w:sz w:val="16"/>
              </w:rPr>
              <w:t>万元</w:t>
            </w:r>
            <w:r>
              <w:rPr>
                <w:color w:val="2D3748"/>
                <w:sz w:val="16"/>
              </w:rPr>
              <w:t>/</w:t>
            </w:r>
            <w:r>
              <w:rPr>
                <w:color w:val="2D3748"/>
                <w:sz w:val="16"/>
              </w:rPr>
              <w:t>年，模型取</w:t>
            </w:r>
            <w:r>
              <w:rPr>
                <w:color w:val="2D3748"/>
                <w:sz w:val="16"/>
              </w:rPr>
              <w:t>12</w:t>
            </w:r>
            <w:r>
              <w:rPr>
                <w:color w:val="2D3748"/>
                <w:sz w:val="16"/>
              </w:rPr>
              <w:t>万元</w:t>
            </w:r>
            <w:r>
              <w:rPr>
                <w:color w:val="2D3748"/>
                <w:sz w:val="16"/>
              </w:rPr>
              <w:t>/</w:t>
            </w:r>
            <w:r>
              <w:rPr>
                <w:color w:val="2D3748"/>
                <w:sz w:val="16"/>
              </w:rPr>
              <w:t>年</w:t>
            </w:r>
          </w:p>
        </w:tc>
      </w:tr>
      <w:tr w:rsidR="00735A9E" w14:paraId="280DAB3A" w14:textId="77777777">
        <w:trPr>
          <w:jc w:val="center"/>
        </w:trPr>
        <w:tc>
          <w:tcPr>
            <w:tcW w:w="2232" w:type="dxa"/>
            <w:shd w:val="clear" w:color="auto" w:fill="F7F9FB"/>
            <w:tcMar>
              <w:top w:w="90" w:type="dxa"/>
              <w:left w:w="125" w:type="dxa"/>
              <w:bottom w:w="90" w:type="dxa"/>
              <w:right w:w="125" w:type="dxa"/>
            </w:tcMar>
            <w:vAlign w:val="center"/>
          </w:tcPr>
          <w:p w14:paraId="5973939F" w14:textId="77777777" w:rsidR="00735A9E" w:rsidRDefault="00000000" w:rsidP="00F54BAC">
            <w:pPr>
              <w:spacing w:after="0" w:line="278" w:lineRule="auto"/>
              <w:ind w:firstLine="0"/>
              <w:jc w:val="center"/>
            </w:pPr>
            <w:proofErr w:type="spellStart"/>
            <w:r>
              <w:rPr>
                <w:color w:val="2D3748"/>
                <w:sz w:val="16"/>
              </w:rPr>
              <w:t>Pro</w:t>
            </w:r>
            <w:r>
              <w:rPr>
                <w:color w:val="2D3748"/>
                <w:sz w:val="16"/>
              </w:rPr>
              <w:t>部署</w:t>
            </w:r>
            <w:proofErr w:type="spellEnd"/>
          </w:p>
        </w:tc>
        <w:tc>
          <w:tcPr>
            <w:tcW w:w="7128" w:type="dxa"/>
            <w:shd w:val="clear" w:color="auto" w:fill="F7F9FB"/>
            <w:tcMar>
              <w:top w:w="90" w:type="dxa"/>
              <w:left w:w="125" w:type="dxa"/>
              <w:bottom w:w="90" w:type="dxa"/>
              <w:right w:w="125" w:type="dxa"/>
            </w:tcMar>
            <w:vAlign w:val="center"/>
          </w:tcPr>
          <w:p w14:paraId="41F32636" w14:textId="77777777" w:rsidR="00735A9E" w:rsidRDefault="00000000" w:rsidP="00F54BAC">
            <w:pPr>
              <w:spacing w:after="0" w:line="278" w:lineRule="auto"/>
              <w:ind w:firstLine="0"/>
              <w:jc w:val="center"/>
              <w:rPr>
                <w:lang w:eastAsia="zh-CN"/>
              </w:rPr>
            </w:pPr>
            <w:r>
              <w:rPr>
                <w:color w:val="2D3748"/>
                <w:sz w:val="16"/>
                <w:lang w:eastAsia="zh-CN"/>
              </w:rPr>
              <w:t>30-80</w:t>
            </w:r>
            <w:r>
              <w:rPr>
                <w:color w:val="2D3748"/>
                <w:sz w:val="16"/>
                <w:lang w:eastAsia="zh-CN"/>
              </w:rPr>
              <w:t>万元</w:t>
            </w:r>
            <w:r>
              <w:rPr>
                <w:color w:val="2D3748"/>
                <w:sz w:val="16"/>
                <w:lang w:eastAsia="zh-CN"/>
              </w:rPr>
              <w:t>/</w:t>
            </w:r>
            <w:r>
              <w:rPr>
                <w:color w:val="2D3748"/>
                <w:sz w:val="16"/>
                <w:lang w:eastAsia="zh-CN"/>
              </w:rPr>
              <w:t>项目，模型按项目复杂度阶梯增长</w:t>
            </w:r>
          </w:p>
        </w:tc>
      </w:tr>
      <w:tr w:rsidR="00735A9E" w14:paraId="2AF7CA24" w14:textId="77777777">
        <w:trPr>
          <w:jc w:val="center"/>
        </w:trPr>
        <w:tc>
          <w:tcPr>
            <w:tcW w:w="2232" w:type="dxa"/>
            <w:tcMar>
              <w:top w:w="90" w:type="dxa"/>
              <w:left w:w="125" w:type="dxa"/>
              <w:bottom w:w="90" w:type="dxa"/>
              <w:right w:w="125" w:type="dxa"/>
            </w:tcMar>
            <w:vAlign w:val="center"/>
          </w:tcPr>
          <w:p w14:paraId="2F6EA018" w14:textId="77777777" w:rsidR="00735A9E" w:rsidRDefault="00000000" w:rsidP="00F54BAC">
            <w:pPr>
              <w:spacing w:after="0" w:line="278" w:lineRule="auto"/>
              <w:ind w:firstLine="0"/>
              <w:jc w:val="center"/>
            </w:pPr>
            <w:proofErr w:type="spellStart"/>
            <w:r>
              <w:rPr>
                <w:color w:val="2D3748"/>
                <w:sz w:val="16"/>
              </w:rPr>
              <w:t>Gov</w:t>
            </w:r>
            <w:r>
              <w:rPr>
                <w:color w:val="2D3748"/>
                <w:sz w:val="16"/>
              </w:rPr>
              <w:t>试点</w:t>
            </w:r>
            <w:proofErr w:type="spellEnd"/>
          </w:p>
        </w:tc>
        <w:tc>
          <w:tcPr>
            <w:tcW w:w="7128" w:type="dxa"/>
            <w:tcMar>
              <w:top w:w="90" w:type="dxa"/>
              <w:left w:w="125" w:type="dxa"/>
              <w:bottom w:w="90" w:type="dxa"/>
              <w:right w:w="125" w:type="dxa"/>
            </w:tcMar>
            <w:vAlign w:val="center"/>
          </w:tcPr>
          <w:p w14:paraId="42009242" w14:textId="77777777" w:rsidR="00735A9E" w:rsidRDefault="00000000" w:rsidP="00F54BAC">
            <w:pPr>
              <w:spacing w:after="0" w:line="278" w:lineRule="auto"/>
              <w:ind w:firstLine="0"/>
              <w:jc w:val="center"/>
              <w:rPr>
                <w:lang w:eastAsia="zh-CN"/>
              </w:rPr>
            </w:pPr>
            <w:r>
              <w:rPr>
                <w:color w:val="2D3748"/>
                <w:sz w:val="16"/>
                <w:lang w:eastAsia="zh-CN"/>
              </w:rPr>
              <w:t>100-300</w:t>
            </w:r>
            <w:r>
              <w:rPr>
                <w:color w:val="2D3748"/>
                <w:sz w:val="16"/>
                <w:lang w:eastAsia="zh-CN"/>
              </w:rPr>
              <w:t>万元</w:t>
            </w:r>
            <w:r>
              <w:rPr>
                <w:color w:val="2D3748"/>
                <w:sz w:val="16"/>
                <w:lang w:eastAsia="zh-CN"/>
              </w:rPr>
              <w:t>/</w:t>
            </w:r>
            <w:r>
              <w:rPr>
                <w:color w:val="2D3748"/>
                <w:sz w:val="16"/>
                <w:lang w:eastAsia="zh-CN"/>
              </w:rPr>
              <w:t>项目，谨慎计入首年无收入</w:t>
            </w:r>
          </w:p>
        </w:tc>
      </w:tr>
      <w:tr w:rsidR="00735A9E" w14:paraId="24A020F8" w14:textId="77777777">
        <w:trPr>
          <w:jc w:val="center"/>
        </w:trPr>
        <w:tc>
          <w:tcPr>
            <w:tcW w:w="2232" w:type="dxa"/>
            <w:shd w:val="clear" w:color="auto" w:fill="F7F9FB"/>
            <w:tcMar>
              <w:top w:w="90" w:type="dxa"/>
              <w:left w:w="125" w:type="dxa"/>
              <w:bottom w:w="90" w:type="dxa"/>
              <w:right w:w="125" w:type="dxa"/>
            </w:tcMar>
            <w:vAlign w:val="center"/>
          </w:tcPr>
          <w:p w14:paraId="7F128A96" w14:textId="77777777" w:rsidR="00735A9E" w:rsidRDefault="00000000" w:rsidP="00F54BAC">
            <w:pPr>
              <w:spacing w:after="0" w:line="278" w:lineRule="auto"/>
              <w:ind w:firstLine="0"/>
              <w:jc w:val="center"/>
            </w:pPr>
            <w:proofErr w:type="spellStart"/>
            <w:r>
              <w:rPr>
                <w:color w:val="2D3748"/>
                <w:sz w:val="16"/>
              </w:rPr>
              <w:t>活动保障</w:t>
            </w:r>
            <w:proofErr w:type="spellEnd"/>
          </w:p>
        </w:tc>
        <w:tc>
          <w:tcPr>
            <w:tcW w:w="7128" w:type="dxa"/>
            <w:shd w:val="clear" w:color="auto" w:fill="F7F9FB"/>
            <w:tcMar>
              <w:top w:w="90" w:type="dxa"/>
              <w:left w:w="125" w:type="dxa"/>
              <w:bottom w:w="90" w:type="dxa"/>
              <w:right w:w="125" w:type="dxa"/>
            </w:tcMar>
            <w:vAlign w:val="center"/>
          </w:tcPr>
          <w:p w14:paraId="055B8F96" w14:textId="77777777" w:rsidR="00735A9E" w:rsidRDefault="00000000" w:rsidP="00F54BAC">
            <w:pPr>
              <w:spacing w:after="0" w:line="278" w:lineRule="auto"/>
              <w:ind w:firstLine="0"/>
              <w:jc w:val="center"/>
              <w:rPr>
                <w:lang w:eastAsia="zh-CN"/>
              </w:rPr>
            </w:pPr>
            <w:r>
              <w:rPr>
                <w:color w:val="2D3748"/>
                <w:sz w:val="16"/>
                <w:lang w:eastAsia="zh-CN"/>
              </w:rPr>
              <w:t>5-30</w:t>
            </w:r>
            <w:r>
              <w:rPr>
                <w:color w:val="2D3748"/>
                <w:sz w:val="16"/>
                <w:lang w:eastAsia="zh-CN"/>
              </w:rPr>
              <w:t>万元</w:t>
            </w:r>
            <w:r>
              <w:rPr>
                <w:color w:val="2D3748"/>
                <w:sz w:val="16"/>
                <w:lang w:eastAsia="zh-CN"/>
              </w:rPr>
              <w:t>/</w:t>
            </w:r>
            <w:r>
              <w:rPr>
                <w:color w:val="2D3748"/>
                <w:sz w:val="16"/>
                <w:lang w:eastAsia="zh-CN"/>
              </w:rPr>
              <w:t>次，适合赛事、演唱会、会展</w:t>
            </w:r>
          </w:p>
        </w:tc>
      </w:tr>
      <w:tr w:rsidR="00735A9E" w14:paraId="7377A071" w14:textId="77777777">
        <w:trPr>
          <w:jc w:val="center"/>
        </w:trPr>
        <w:tc>
          <w:tcPr>
            <w:tcW w:w="2232" w:type="dxa"/>
            <w:tcMar>
              <w:top w:w="90" w:type="dxa"/>
              <w:left w:w="125" w:type="dxa"/>
              <w:bottom w:w="90" w:type="dxa"/>
              <w:right w:w="125" w:type="dxa"/>
            </w:tcMar>
            <w:vAlign w:val="center"/>
          </w:tcPr>
          <w:p w14:paraId="2E1D9BC4" w14:textId="77777777" w:rsidR="00735A9E" w:rsidRDefault="00000000" w:rsidP="00F54BAC">
            <w:pPr>
              <w:spacing w:after="0" w:line="278" w:lineRule="auto"/>
              <w:ind w:firstLine="0"/>
              <w:jc w:val="center"/>
            </w:pPr>
            <w:proofErr w:type="spellStart"/>
            <w:r>
              <w:rPr>
                <w:color w:val="2D3748"/>
                <w:sz w:val="16"/>
              </w:rPr>
              <w:t>航线评估</w:t>
            </w:r>
            <w:proofErr w:type="spellEnd"/>
          </w:p>
        </w:tc>
        <w:tc>
          <w:tcPr>
            <w:tcW w:w="7128" w:type="dxa"/>
            <w:tcMar>
              <w:top w:w="90" w:type="dxa"/>
              <w:left w:w="125" w:type="dxa"/>
              <w:bottom w:w="90" w:type="dxa"/>
              <w:right w:w="125" w:type="dxa"/>
            </w:tcMar>
            <w:vAlign w:val="center"/>
          </w:tcPr>
          <w:p w14:paraId="40ED8798" w14:textId="77777777" w:rsidR="00735A9E" w:rsidRDefault="00000000" w:rsidP="00F54BAC">
            <w:pPr>
              <w:spacing w:after="0" w:line="278" w:lineRule="auto"/>
              <w:ind w:firstLine="0"/>
              <w:jc w:val="center"/>
              <w:rPr>
                <w:lang w:eastAsia="zh-CN"/>
              </w:rPr>
            </w:pPr>
            <w:r>
              <w:rPr>
                <w:color w:val="2D3748"/>
                <w:sz w:val="16"/>
                <w:lang w:eastAsia="zh-CN"/>
              </w:rPr>
              <w:t>3000-20000</w:t>
            </w:r>
            <w:r>
              <w:rPr>
                <w:color w:val="2D3748"/>
                <w:sz w:val="16"/>
                <w:lang w:eastAsia="zh-CN"/>
              </w:rPr>
              <w:t>元</w:t>
            </w:r>
            <w:r>
              <w:rPr>
                <w:color w:val="2D3748"/>
                <w:sz w:val="16"/>
                <w:lang w:eastAsia="zh-CN"/>
              </w:rPr>
              <w:t>/</w:t>
            </w:r>
            <w:r>
              <w:rPr>
                <w:color w:val="2D3748"/>
                <w:sz w:val="16"/>
                <w:lang w:eastAsia="zh-CN"/>
              </w:rPr>
              <w:t>条，按批量航线折扣</w:t>
            </w:r>
          </w:p>
        </w:tc>
      </w:tr>
      <w:tr w:rsidR="00735A9E" w14:paraId="1B1AA056" w14:textId="77777777">
        <w:trPr>
          <w:jc w:val="center"/>
        </w:trPr>
        <w:tc>
          <w:tcPr>
            <w:tcW w:w="2232" w:type="dxa"/>
            <w:shd w:val="clear" w:color="auto" w:fill="F7F9FB"/>
            <w:tcMar>
              <w:top w:w="90" w:type="dxa"/>
              <w:left w:w="125" w:type="dxa"/>
              <w:bottom w:w="90" w:type="dxa"/>
              <w:right w:w="125" w:type="dxa"/>
            </w:tcMar>
            <w:vAlign w:val="center"/>
          </w:tcPr>
          <w:p w14:paraId="4F53012A" w14:textId="77777777" w:rsidR="00735A9E" w:rsidRDefault="00000000" w:rsidP="00F54BAC">
            <w:pPr>
              <w:spacing w:after="0" w:line="278" w:lineRule="auto"/>
              <w:ind w:firstLine="0"/>
              <w:jc w:val="center"/>
            </w:pPr>
            <w:proofErr w:type="spellStart"/>
            <w:r>
              <w:rPr>
                <w:color w:val="2D3748"/>
                <w:sz w:val="16"/>
              </w:rPr>
              <w:t>运维服务</w:t>
            </w:r>
            <w:proofErr w:type="spellEnd"/>
          </w:p>
        </w:tc>
        <w:tc>
          <w:tcPr>
            <w:tcW w:w="7128" w:type="dxa"/>
            <w:shd w:val="clear" w:color="auto" w:fill="F7F9FB"/>
            <w:tcMar>
              <w:top w:w="90" w:type="dxa"/>
              <w:left w:w="125" w:type="dxa"/>
              <w:bottom w:w="90" w:type="dxa"/>
              <w:right w:w="125" w:type="dxa"/>
            </w:tcMar>
            <w:vAlign w:val="center"/>
          </w:tcPr>
          <w:p w14:paraId="3E609AAC" w14:textId="77777777" w:rsidR="00735A9E" w:rsidRDefault="00000000" w:rsidP="00F54BAC">
            <w:pPr>
              <w:spacing w:after="0" w:line="278" w:lineRule="auto"/>
              <w:ind w:firstLine="0"/>
              <w:jc w:val="center"/>
            </w:pPr>
            <w:r>
              <w:rPr>
                <w:color w:val="2D3748"/>
                <w:sz w:val="16"/>
              </w:rPr>
              <w:t>合同额</w:t>
            </w:r>
            <w:r>
              <w:rPr>
                <w:color w:val="2D3748"/>
                <w:sz w:val="16"/>
              </w:rPr>
              <w:t>10%-20%/</w:t>
            </w:r>
            <w:r>
              <w:rPr>
                <w:color w:val="2D3748"/>
                <w:sz w:val="16"/>
              </w:rPr>
              <w:t>年</w:t>
            </w:r>
          </w:p>
        </w:tc>
      </w:tr>
    </w:tbl>
    <w:p w14:paraId="6785D3A3" w14:textId="77777777" w:rsidR="00735A9E" w:rsidRDefault="00735A9E"/>
    <w:p w14:paraId="14151099" w14:textId="77777777" w:rsidR="00735A9E" w:rsidRDefault="00000000">
      <w:pPr>
        <w:spacing w:before="80" w:after="20"/>
        <w:ind w:firstLine="0"/>
      </w:pPr>
      <w:proofErr w:type="spellStart"/>
      <w:r>
        <w:rPr>
          <w:b/>
          <w:color w:val="64748B"/>
          <w:sz w:val="17"/>
        </w:rPr>
        <w:t>第九章</w:t>
      </w:r>
      <w:proofErr w:type="spellEnd"/>
      <w:r>
        <w:rPr>
          <w:b/>
          <w:color w:val="64748B"/>
          <w:sz w:val="17"/>
        </w:rPr>
        <w:t xml:space="preserve"> </w:t>
      </w:r>
      <w:proofErr w:type="spellStart"/>
      <w:r>
        <w:rPr>
          <w:b/>
          <w:color w:val="64748B"/>
          <w:sz w:val="17"/>
        </w:rPr>
        <w:t>财务预测</w:t>
      </w:r>
      <w:proofErr w:type="spellEnd"/>
    </w:p>
    <w:p w14:paraId="072A8524" w14:textId="77777777" w:rsidR="00735A9E" w:rsidRDefault="00000000">
      <w:pPr>
        <w:pStyle w:val="21"/>
      </w:pPr>
      <w:r>
        <w:rPr>
          <w:rFonts w:ascii="Times New Roman" w:eastAsia="仿宋" w:hAnsi="Times New Roman" w:cs="仿宋"/>
        </w:rPr>
        <w:t xml:space="preserve">9.11 </w:t>
      </w:r>
      <w:proofErr w:type="spellStart"/>
      <w:r>
        <w:rPr>
          <w:rFonts w:ascii="Times New Roman" w:eastAsia="仿宋" w:hAnsi="Times New Roman" w:cs="仿宋"/>
        </w:rPr>
        <w:t>成本页面验证</w:t>
      </w:r>
      <w:proofErr w:type="spellEnd"/>
    </w:p>
    <w:p w14:paraId="05427B77" w14:textId="1A907B38" w:rsidR="00735A9E" w:rsidRDefault="00B748F8">
      <w:pPr>
        <w:rPr>
          <w:lang w:eastAsia="zh-CN"/>
        </w:rPr>
      </w:pPr>
      <w:r w:rsidRPr="00B748F8">
        <w:rPr>
          <w:rFonts w:hint="eastAsia"/>
          <w:lang w:eastAsia="zh-CN"/>
        </w:rPr>
        <w:t>成本页面验证是将模型中的成本假设与实际经验进行对照检查的环节。在商业计划书中，成本假设往往比收入假设更容易被忽视——收入预测错了会被质疑，但成本预测错了往往一带而过。然而在实际经营中，成本超支比收入不及预期更致命，因为成本是实实在在的现金支出，每一天都在消耗资金储备。成本页面验证的核心方法是将模型中的各项成本假设——人员薪酬、云资源消耗、第三方接口费用、差旅支出等——与实际市场行情进行逐一对照，确保假设处于合理的区间范围内，而非为凑出好看的毛利率而刻意压低</w:t>
      </w:r>
      <w:r w:rsidR="00000000">
        <w:rPr>
          <w:lang w:eastAsia="zh-CN"/>
        </w:rPr>
        <w:t>。</w:t>
      </w:r>
    </w:p>
    <w:p w14:paraId="62873F59" w14:textId="4CA5DFD8" w:rsidR="00735A9E" w:rsidRDefault="00B748F8">
      <w:pPr>
        <w:rPr>
          <w:lang w:eastAsia="zh-CN"/>
        </w:rPr>
      </w:pPr>
      <w:r w:rsidRPr="00B748F8">
        <w:rPr>
          <w:lang w:eastAsia="zh-CN"/>
        </w:rPr>
        <w:t>资金使用应优先服务产品打磨、试点交付、数据治理、客户成功和必要伙伴接入，同时控制并行项目的数量。成本页面验证的结果应当反过来指导并行项目的数量控制</w:t>
      </w:r>
      <w:r w:rsidRPr="00B748F8">
        <w:rPr>
          <w:lang w:eastAsia="zh-CN"/>
        </w:rPr>
        <w:t>——</w:t>
      </w:r>
      <w:r w:rsidRPr="00B748F8">
        <w:rPr>
          <w:lang w:eastAsia="zh-CN"/>
        </w:rPr>
        <w:t>如果验证发现实际部署成本高于模型假设，则应在资源有限的情况下优先选择复杂度低、交付周期短的项目，以降低单项目的总成本消耗</w:t>
      </w:r>
      <w:r w:rsidR="00000000">
        <w:rPr>
          <w:lang w:eastAsia="zh-CN"/>
        </w:rPr>
        <w:t>。</w:t>
      </w:r>
    </w:p>
    <w:p w14:paraId="79961F3B" w14:textId="77777777" w:rsidR="00735A9E" w:rsidRDefault="00000000">
      <w:pPr>
        <w:pStyle w:val="af7"/>
        <w:keepLines/>
        <w:spacing w:before="80" w:after="160"/>
        <w:rPr>
          <w:lang w:eastAsia="zh-CN"/>
        </w:rPr>
      </w:pPr>
      <w:r>
        <w:rPr>
          <w:noProof/>
        </w:rPr>
        <w:lastRenderedPageBreak/>
        <w:drawing>
          <wp:inline distT="0" distB="0" distL="0" distR="0" wp14:anchorId="138C0679" wp14:editId="745ADEB2">
            <wp:extent cx="5589917" cy="3235356"/>
            <wp:effectExtent l="0" t="0" r="0" b="31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付风险优先矩阵表图.png"/>
                    <pic:cNvPicPr/>
                  </pic:nvPicPr>
                  <pic:blipFill>
                    <a:blip r:embed="rId18"/>
                    <a:stretch>
                      <a:fillRect/>
                    </a:stretch>
                  </pic:blipFill>
                  <pic:spPr>
                    <a:xfrm>
                      <a:off x="0" y="0"/>
                      <a:ext cx="5600693" cy="3241593"/>
                    </a:xfrm>
                    <a:prstGeom prst="rect">
                      <a:avLst/>
                    </a:prstGeom>
                  </pic:spPr>
                </pic:pic>
              </a:graphicData>
            </a:graphic>
          </wp:inline>
        </w:drawing>
      </w:r>
      <w:r>
        <w:rPr>
          <w:lang w:eastAsia="zh-CN"/>
        </w:rPr>
        <w:br/>
      </w:r>
      <w:r>
        <w:rPr>
          <w:lang w:eastAsia="zh-CN"/>
        </w:rPr>
        <w:t>图</w:t>
      </w:r>
      <w:r>
        <w:rPr>
          <w:lang w:eastAsia="zh-CN"/>
        </w:rPr>
        <w:t xml:space="preserve"> 125 </w:t>
      </w:r>
      <w:r>
        <w:rPr>
          <w:lang w:eastAsia="zh-CN"/>
        </w:rPr>
        <w:t>交付风险优先矩阵表图</w:t>
      </w:r>
      <w:r>
        <w:rPr>
          <w:lang w:eastAsia="zh-CN"/>
        </w:rPr>
        <w:t xml:space="preserve"> </w:t>
      </w:r>
      <w:r>
        <w:rPr>
          <w:lang w:eastAsia="zh-CN"/>
        </w:rPr>
        <w:t>资料来源：经营假设、平台演示样本与整理数据。要点：表格式热力图适合把风险优先级转成管理动作。</w:t>
      </w:r>
    </w:p>
    <w:p w14:paraId="0F391BD7" w14:textId="77777777" w:rsidR="00735A9E" w:rsidRDefault="00000000">
      <w:pPr>
        <w:rPr>
          <w:lang w:eastAsia="zh-CN"/>
        </w:rPr>
      </w:pPr>
      <w:r>
        <w:rPr>
          <w:lang w:eastAsia="zh-CN"/>
        </w:rPr>
        <w:t>交付风险优先矩阵表图对应的财务判断是：表格式热力图适合把风险优先级转成管理动作。资料口径来自经营假设、平台演示样本与整理数据。</w:t>
      </w:r>
    </w:p>
    <w:p w14:paraId="1CEDAEE5" w14:textId="77777777" w:rsidR="00735A9E" w:rsidRDefault="00000000">
      <w:pPr>
        <w:rPr>
          <w:lang w:eastAsia="zh-CN"/>
        </w:rPr>
      </w:pPr>
      <w:r>
        <w:rPr>
          <w:lang w:eastAsia="zh-CN"/>
        </w:rPr>
        <w:t>如果只看单个指标，容易把机会写成赛道热度；放回工作流，才能看到可收费的服务。</w:t>
      </w:r>
      <w:r>
        <w:rPr>
          <w:lang w:eastAsia="zh-CN"/>
        </w:rPr>
        <w:t xml:space="preserve"> </w:t>
      </w:r>
      <w:r>
        <w:rPr>
          <w:lang w:eastAsia="zh-CN"/>
        </w:rPr>
        <w:t>财务章节的重点不是把数字写大，而是说明假设之间如何相互支撑。</w:t>
      </w:r>
    </w:p>
    <w:p w14:paraId="655B4BF9" w14:textId="77777777" w:rsidR="00735A9E" w:rsidRDefault="00000000">
      <w:pPr>
        <w:rPr>
          <w:lang w:eastAsia="zh-CN"/>
        </w:rPr>
      </w:pPr>
      <w:r>
        <w:rPr>
          <w:lang w:eastAsia="zh-CN"/>
        </w:rPr>
        <w:t>财务章节处理毛利路径时，把增长、毛利、现金流和回款周期放在一起看。这样可以说明项目如何活下去，而不是只把未来收入写高。</w:t>
      </w:r>
    </w:p>
    <w:p w14:paraId="7A7E85EA" w14:textId="77777777" w:rsidR="00735A9E" w:rsidRDefault="00000000">
      <w:pPr>
        <w:pStyle w:val="a0"/>
        <w:rPr>
          <w:lang w:eastAsia="zh-CN"/>
        </w:rPr>
      </w:pPr>
      <w:r>
        <w:rPr>
          <w:color w:val="2D3748"/>
          <w:lang w:eastAsia="zh-CN"/>
        </w:rPr>
        <w:t>关注客单价、交付成本、续费率和回款周期</w:t>
      </w:r>
    </w:p>
    <w:p w14:paraId="62E468E0" w14:textId="77777777" w:rsidR="00735A9E" w:rsidRDefault="00000000">
      <w:pPr>
        <w:pStyle w:val="a0"/>
        <w:rPr>
          <w:lang w:eastAsia="zh-CN"/>
        </w:rPr>
      </w:pPr>
      <w:r>
        <w:rPr>
          <w:color w:val="2D3748"/>
          <w:lang w:eastAsia="zh-CN"/>
        </w:rPr>
        <w:t>依据：经营假设、平台演示样本与整理数据</w:t>
      </w:r>
    </w:p>
    <w:p w14:paraId="6F9857C7" w14:textId="77777777" w:rsidR="00735A9E" w:rsidRDefault="00000000">
      <w:pPr>
        <w:pStyle w:val="a0"/>
        <w:rPr>
          <w:lang w:eastAsia="zh-CN"/>
        </w:rPr>
      </w:pPr>
      <w:r>
        <w:rPr>
          <w:color w:val="2D3748"/>
          <w:lang w:eastAsia="zh-CN"/>
        </w:rPr>
        <w:t>经营判断：表格式热力图适合把风险优先级转成管理动作。</w:t>
      </w:r>
    </w:p>
    <w:p w14:paraId="426C578B"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516738DA" w14:textId="77777777" w:rsidR="00735A9E" w:rsidRDefault="00000000">
      <w:pPr>
        <w:pStyle w:val="21"/>
        <w:rPr>
          <w:lang w:eastAsia="zh-CN"/>
        </w:rPr>
      </w:pPr>
      <w:r>
        <w:rPr>
          <w:rFonts w:ascii="Times New Roman" w:eastAsia="仿宋" w:hAnsi="Times New Roman" w:cs="仿宋"/>
          <w:lang w:eastAsia="zh-CN"/>
        </w:rPr>
        <w:t xml:space="preserve">9.12 </w:t>
      </w:r>
      <w:r>
        <w:rPr>
          <w:rFonts w:ascii="Times New Roman" w:eastAsia="仿宋" w:hAnsi="Times New Roman" w:cs="仿宋"/>
          <w:lang w:eastAsia="zh-CN"/>
        </w:rPr>
        <w:t>五年收入结构</w:t>
      </w:r>
    </w:p>
    <w:p w14:paraId="7FFCD65D" w14:textId="56B0EFD1" w:rsidR="00735A9E" w:rsidRDefault="0012374B">
      <w:pPr>
        <w:rPr>
          <w:lang w:eastAsia="zh-CN"/>
        </w:rPr>
      </w:pPr>
      <w:r w:rsidRPr="0012374B">
        <w:rPr>
          <w:lang w:eastAsia="zh-CN"/>
        </w:rPr>
        <w:t>五年收入结构是将短期收入预测延展到中长期时间维度，以检验收入增长是否具有可持续性。单一年份的收入预测相对容易编制</w:t>
      </w:r>
      <w:r w:rsidRPr="0012374B">
        <w:rPr>
          <w:lang w:eastAsia="zh-CN"/>
        </w:rPr>
        <w:t>——</w:t>
      </w:r>
      <w:r w:rsidRPr="0012374B">
        <w:rPr>
          <w:lang w:eastAsia="zh-CN"/>
        </w:rPr>
        <w:t>你只需要估计客户数量、单价和转化率即可</w:t>
      </w:r>
      <w:r w:rsidRPr="0012374B">
        <w:rPr>
          <w:lang w:eastAsia="zh-CN"/>
        </w:rPr>
        <w:t>——</w:t>
      </w:r>
      <w:r w:rsidRPr="0012374B">
        <w:rPr>
          <w:lang w:eastAsia="zh-CN"/>
        </w:rPr>
        <w:t>但五年收入结构需要回答一个更难的问题：增长动能在第五年是否仍然充足？</w:t>
      </w:r>
      <w:r w:rsidRPr="0012374B">
        <w:rPr>
          <w:lang w:eastAsia="zh-CN"/>
        </w:rPr>
        <w:t> </w:t>
      </w:r>
      <w:r w:rsidRPr="0012374B">
        <w:rPr>
          <w:lang w:eastAsia="zh-CN"/>
        </w:rPr>
        <w:t>如果前三年靠的是早期积累的客户关系和试点项目的示范效应，那么第四年和第五年的增长则需要靠产品复购、客户续约和口碑推荐来驱动。五年收入结构的价值在于检验</w:t>
      </w:r>
      <w:r w:rsidRPr="0012374B">
        <w:rPr>
          <w:lang w:eastAsia="zh-CN"/>
        </w:rPr>
        <w:t>“</w:t>
      </w:r>
      <w:r w:rsidRPr="0012374B">
        <w:rPr>
          <w:lang w:eastAsia="zh-CN"/>
        </w:rPr>
        <w:t>增长曲线的形状</w:t>
      </w:r>
      <w:r w:rsidRPr="0012374B">
        <w:rPr>
          <w:lang w:eastAsia="zh-CN"/>
        </w:rPr>
        <w:t>”——</w:t>
      </w:r>
      <w:r w:rsidRPr="0012374B">
        <w:rPr>
          <w:lang w:eastAsia="zh-CN"/>
        </w:rPr>
        <w:t>是呈现加速增长、线性增长还是增速放缓的</w:t>
      </w:r>
      <w:r w:rsidRPr="0012374B">
        <w:rPr>
          <w:lang w:eastAsia="zh-CN"/>
        </w:rPr>
        <w:t>S</w:t>
      </w:r>
      <w:r w:rsidRPr="0012374B">
        <w:rPr>
          <w:lang w:eastAsia="zh-CN"/>
        </w:rPr>
        <w:t>型曲线？不同的形状对应着不同的业务逻辑和估值逻辑</w:t>
      </w:r>
      <w:r w:rsidR="00000000">
        <w:rPr>
          <w:lang w:eastAsia="zh-CN"/>
        </w:rPr>
        <w:t>。</w:t>
      </w:r>
    </w:p>
    <w:p w14:paraId="21B89F74" w14:textId="5930A091" w:rsidR="00735A9E" w:rsidRDefault="0012374B">
      <w:pPr>
        <w:rPr>
          <w:lang w:eastAsia="zh-CN"/>
        </w:rPr>
      </w:pPr>
      <w:r w:rsidRPr="0012374B">
        <w:rPr>
          <w:lang w:eastAsia="zh-CN"/>
        </w:rPr>
        <w:t>资金使用应优先服务产品打磨、试点交付、数据治理、客户成功和必要伙伴接入，同时控制并行项目的数量。五年收入结构的编制可以帮助判断融资节奏</w:t>
      </w:r>
      <w:r w:rsidRPr="0012374B">
        <w:rPr>
          <w:lang w:eastAsia="zh-CN"/>
        </w:rPr>
        <w:t>——</w:t>
      </w:r>
      <w:r w:rsidRPr="0012374B">
        <w:rPr>
          <w:lang w:eastAsia="zh-CN"/>
        </w:rPr>
        <w:t>如果第五年现金流仍然为负，</w:t>
      </w:r>
      <w:r w:rsidRPr="0012374B">
        <w:rPr>
          <w:lang w:eastAsia="zh-CN"/>
        </w:rPr>
        <w:lastRenderedPageBreak/>
        <w:t>说明要么收入假设过于乐观需要调整，要么成本结构需要进一步优化，要么需要在第三年左右启动新一轮融资以支撑后续增长</w:t>
      </w:r>
      <w:r w:rsidR="00000000">
        <w:rPr>
          <w:lang w:eastAsia="zh-CN"/>
        </w:rPr>
        <w:t>。</w:t>
      </w:r>
    </w:p>
    <w:p w14:paraId="42C9EDBF" w14:textId="77777777" w:rsidR="00735A9E" w:rsidRDefault="00000000">
      <w:pPr>
        <w:pStyle w:val="af7"/>
        <w:keepLines/>
        <w:spacing w:before="80" w:after="160"/>
        <w:rPr>
          <w:lang w:eastAsia="zh-CN"/>
        </w:rPr>
      </w:pPr>
      <w:r>
        <w:rPr>
          <w:noProof/>
        </w:rPr>
        <w:drawing>
          <wp:inline distT="0" distB="0" distL="0" distR="0" wp14:anchorId="3B6D5516" wp14:editId="7C48C22A">
            <wp:extent cx="5519005" cy="1481503"/>
            <wp:effectExtent l="0" t="0" r="5715" b="444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emo演示路径节点图.png"/>
                    <pic:cNvPicPr/>
                  </pic:nvPicPr>
                  <pic:blipFill>
                    <a:blip r:embed="rId19"/>
                    <a:stretch>
                      <a:fillRect/>
                    </a:stretch>
                  </pic:blipFill>
                  <pic:spPr>
                    <a:xfrm>
                      <a:off x="0" y="0"/>
                      <a:ext cx="5559337" cy="1492329"/>
                    </a:xfrm>
                    <a:prstGeom prst="rect">
                      <a:avLst/>
                    </a:prstGeom>
                  </pic:spPr>
                </pic:pic>
              </a:graphicData>
            </a:graphic>
          </wp:inline>
        </w:drawing>
      </w:r>
      <w:r>
        <w:rPr>
          <w:lang w:eastAsia="zh-CN"/>
        </w:rPr>
        <w:br/>
      </w:r>
      <w:r>
        <w:rPr>
          <w:lang w:eastAsia="zh-CN"/>
        </w:rPr>
        <w:t>图</w:t>
      </w:r>
      <w:r>
        <w:rPr>
          <w:lang w:eastAsia="zh-CN"/>
        </w:rPr>
        <w:t xml:space="preserve"> 126 </w:t>
      </w:r>
      <w:proofErr w:type="spellStart"/>
      <w:r>
        <w:rPr>
          <w:lang w:eastAsia="zh-CN"/>
        </w:rPr>
        <w:t>WebDemo</w:t>
      </w:r>
      <w:proofErr w:type="spellEnd"/>
      <w:r>
        <w:rPr>
          <w:lang w:eastAsia="zh-CN"/>
        </w:rPr>
        <w:t>演示路径节点图</w:t>
      </w:r>
      <w:r>
        <w:rPr>
          <w:lang w:eastAsia="zh-CN"/>
        </w:rPr>
        <w:t xml:space="preserve"> </w:t>
      </w:r>
      <w:r>
        <w:rPr>
          <w:lang w:eastAsia="zh-CN"/>
        </w:rPr>
        <w:t>资料来源：经营假设、平台演示样本与整理数据。要点：节点路径图把答辩时的点击顺序变成一条可复述脚本。</w:t>
      </w:r>
    </w:p>
    <w:p w14:paraId="57B29299" w14:textId="77777777" w:rsidR="00735A9E" w:rsidRDefault="00000000">
      <w:pPr>
        <w:rPr>
          <w:lang w:eastAsia="zh-CN"/>
        </w:rPr>
      </w:pPr>
      <w:proofErr w:type="spellStart"/>
      <w:r>
        <w:rPr>
          <w:lang w:eastAsia="zh-CN"/>
        </w:rPr>
        <w:t>WebDemo</w:t>
      </w:r>
      <w:proofErr w:type="spellEnd"/>
      <w:r>
        <w:rPr>
          <w:lang w:eastAsia="zh-CN"/>
        </w:rPr>
        <w:t>演示路径节点图对应的财务判断是：节点路径图把答辩时的点击顺序变成一条可复述脚本。资料口径来自经营假设、平台演示样本与整理数据。</w:t>
      </w:r>
    </w:p>
    <w:p w14:paraId="78AEEC18" w14:textId="77777777" w:rsidR="00735A9E" w:rsidRDefault="00000000">
      <w:pPr>
        <w:rPr>
          <w:lang w:eastAsia="zh-CN"/>
        </w:rPr>
      </w:pPr>
      <w:r>
        <w:rPr>
          <w:lang w:eastAsia="zh-CN"/>
        </w:rPr>
        <w:t>早期样板应优先选择责任主体清楚、边界稳定、记录可追溯的区域。</w:t>
      </w:r>
      <w:r>
        <w:rPr>
          <w:lang w:eastAsia="zh-CN"/>
        </w:rPr>
        <w:t xml:space="preserve"> </w:t>
      </w:r>
      <w:r>
        <w:rPr>
          <w:lang w:eastAsia="zh-CN"/>
        </w:rPr>
        <w:t>财务章节的重点不是把数字写大，而是说明假设之间如何相互支撑。</w:t>
      </w:r>
    </w:p>
    <w:p w14:paraId="69A43FDD" w14:textId="77777777" w:rsidR="00735A9E" w:rsidRDefault="00000000">
      <w:pPr>
        <w:rPr>
          <w:lang w:eastAsia="zh-CN"/>
        </w:rPr>
      </w:pPr>
      <w:r>
        <w:rPr>
          <w:lang w:eastAsia="zh-CN"/>
        </w:rPr>
        <w:t>财务章节处理现金流时，把增长、毛利、现金流和回款周期放在一起看。这样可以说明项目如何活下去，而不是只把未来收入写高。</w:t>
      </w:r>
    </w:p>
    <w:p w14:paraId="5D32F7E5" w14:textId="77777777" w:rsidR="00735A9E" w:rsidRDefault="00000000">
      <w:pPr>
        <w:pStyle w:val="a0"/>
        <w:rPr>
          <w:lang w:eastAsia="zh-CN"/>
        </w:rPr>
      </w:pPr>
      <w:r>
        <w:rPr>
          <w:color w:val="2D3748"/>
          <w:lang w:eastAsia="zh-CN"/>
        </w:rPr>
        <w:t>关注客单价、交付成本、续费率和回款周期</w:t>
      </w:r>
    </w:p>
    <w:p w14:paraId="075CFAA4" w14:textId="77777777" w:rsidR="00735A9E" w:rsidRDefault="00000000">
      <w:pPr>
        <w:pStyle w:val="a0"/>
        <w:rPr>
          <w:lang w:eastAsia="zh-CN"/>
        </w:rPr>
      </w:pPr>
      <w:r>
        <w:rPr>
          <w:color w:val="2D3748"/>
          <w:lang w:eastAsia="zh-CN"/>
        </w:rPr>
        <w:t>依据：经营假设、平台演示样本与整理数据</w:t>
      </w:r>
    </w:p>
    <w:p w14:paraId="15080F04" w14:textId="77777777" w:rsidR="00735A9E" w:rsidRDefault="00000000">
      <w:pPr>
        <w:pStyle w:val="a0"/>
        <w:rPr>
          <w:lang w:eastAsia="zh-CN"/>
        </w:rPr>
      </w:pPr>
      <w:r>
        <w:rPr>
          <w:color w:val="2D3748"/>
          <w:lang w:eastAsia="zh-CN"/>
        </w:rPr>
        <w:t>经营判断：节点路径图把答辩时的点击顺序变成一条可复述脚本。</w:t>
      </w:r>
    </w:p>
    <w:p w14:paraId="7134D116"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12462185" w14:textId="77777777" w:rsidR="00735A9E" w:rsidRDefault="00000000">
      <w:pPr>
        <w:pStyle w:val="21"/>
        <w:rPr>
          <w:lang w:eastAsia="zh-CN"/>
        </w:rPr>
      </w:pPr>
      <w:r>
        <w:rPr>
          <w:rFonts w:ascii="Times New Roman" w:eastAsia="仿宋" w:hAnsi="Times New Roman" w:cs="仿宋"/>
          <w:lang w:eastAsia="zh-CN"/>
        </w:rPr>
        <w:t xml:space="preserve">9.13 </w:t>
      </w:r>
      <w:r>
        <w:rPr>
          <w:rFonts w:ascii="Times New Roman" w:eastAsia="仿宋" w:hAnsi="Times New Roman" w:cs="仿宋"/>
          <w:lang w:eastAsia="zh-CN"/>
        </w:rPr>
        <w:t>现金安全边界</w:t>
      </w:r>
    </w:p>
    <w:p w14:paraId="2780ADC8" w14:textId="2EC30009" w:rsidR="00735A9E" w:rsidRDefault="0012374B">
      <w:pPr>
        <w:rPr>
          <w:lang w:eastAsia="zh-CN"/>
        </w:rPr>
      </w:pPr>
      <w:r w:rsidRPr="0012374B">
        <w:rPr>
          <w:lang w:eastAsia="zh-CN"/>
        </w:rPr>
        <w:t>现金安全边界是指在最坏情况下，企业账面现金能够支撑的最低运营时长。财务预测中常常隐含一个假设</w:t>
      </w:r>
      <w:r w:rsidRPr="0012374B">
        <w:rPr>
          <w:lang w:eastAsia="zh-CN"/>
        </w:rPr>
        <w:t>——</w:t>
      </w:r>
      <w:r w:rsidRPr="0012374B">
        <w:rPr>
          <w:lang w:eastAsia="zh-CN"/>
        </w:rPr>
        <w:t>收入会按照预测如期实现，回款会按照账期如期到账</w:t>
      </w:r>
      <w:r w:rsidRPr="0012374B">
        <w:rPr>
          <w:lang w:eastAsia="zh-CN"/>
        </w:rPr>
        <w:t>——</w:t>
      </w:r>
      <w:r w:rsidRPr="0012374B">
        <w:rPr>
          <w:lang w:eastAsia="zh-CN"/>
        </w:rPr>
        <w:t>但实际经营中总有意外发生：某个大客户的预算突然被削减、某个试点项目的验收推迟了一个季度、某笔回款因为财政审批流程变更而延后了两个月。现金安全边界就是为了应对这些意外而保留的缓冲空间，其计算公式为：现金安全边界</w:t>
      </w:r>
      <w:r w:rsidRPr="0012374B">
        <w:rPr>
          <w:lang w:eastAsia="zh-CN"/>
        </w:rPr>
        <w:t xml:space="preserve"> = </w:t>
      </w:r>
      <w:r w:rsidRPr="0012374B">
        <w:rPr>
          <w:lang w:eastAsia="zh-CN"/>
        </w:rPr>
        <w:t>账面可用现金</w:t>
      </w:r>
      <w:r w:rsidRPr="0012374B">
        <w:rPr>
          <w:lang w:eastAsia="zh-CN"/>
        </w:rPr>
        <w:t xml:space="preserve"> ÷ </w:t>
      </w:r>
      <w:r w:rsidRPr="0012374B">
        <w:rPr>
          <w:lang w:eastAsia="zh-CN"/>
        </w:rPr>
        <w:t>月均刚性支出。若安全边界低于</w:t>
      </w:r>
      <w:r w:rsidRPr="0012374B">
        <w:rPr>
          <w:lang w:eastAsia="zh-CN"/>
        </w:rPr>
        <w:t>6</w:t>
      </w:r>
      <w:r w:rsidRPr="0012374B">
        <w:rPr>
          <w:lang w:eastAsia="zh-CN"/>
        </w:rPr>
        <w:t>个月，则表明企业处于高风险状态，应暂缓一切非必要支出并加速回款</w:t>
      </w:r>
      <w:r w:rsidR="00000000">
        <w:rPr>
          <w:lang w:eastAsia="zh-CN"/>
        </w:rPr>
        <w:t>。</w:t>
      </w:r>
    </w:p>
    <w:p w14:paraId="0E97898E" w14:textId="2457A4EF" w:rsidR="00735A9E" w:rsidRDefault="0012374B">
      <w:pPr>
        <w:rPr>
          <w:lang w:eastAsia="zh-CN"/>
        </w:rPr>
      </w:pPr>
      <w:r w:rsidRPr="0012374B">
        <w:rPr>
          <w:lang w:eastAsia="zh-CN"/>
        </w:rPr>
        <w:t>资金使用应优先服务产品打磨、试点交付、数据治理、客户成功和必要伙伴接入，同时控制并行项目的数量。现金安全边界的维护需要贯穿经营的始终</w:t>
      </w:r>
      <w:r w:rsidRPr="0012374B">
        <w:rPr>
          <w:lang w:eastAsia="zh-CN"/>
        </w:rPr>
        <w:t>——</w:t>
      </w:r>
      <w:r w:rsidRPr="0012374B">
        <w:rPr>
          <w:lang w:eastAsia="zh-CN"/>
        </w:rPr>
        <w:t>不能因为融资到账就放松支出控制，也不能因为收入增长就加速扩张。每一次扩张决策都应该先检查现金安全边界是否仍然充足，再决定是否启动新项目</w:t>
      </w:r>
      <w:r w:rsidR="00000000">
        <w:rPr>
          <w:lang w:eastAsia="zh-CN"/>
        </w:rPr>
        <w:t>。</w:t>
      </w:r>
    </w:p>
    <w:p w14:paraId="6684D364" w14:textId="77777777" w:rsidR="00735A9E" w:rsidRDefault="00000000">
      <w:pPr>
        <w:pStyle w:val="af7"/>
        <w:keepLines/>
        <w:spacing w:before="80" w:after="160"/>
        <w:rPr>
          <w:lang w:eastAsia="zh-CN"/>
        </w:rPr>
      </w:pPr>
      <w:r>
        <w:rPr>
          <w:noProof/>
        </w:rPr>
        <w:lastRenderedPageBreak/>
        <w:drawing>
          <wp:inline distT="0" distB="0" distL="0" distR="0" wp14:anchorId="1D7D94F4" wp14:editId="67742CF1">
            <wp:extent cx="5443268" cy="3149258"/>
            <wp:effectExtent l="0" t="0" r="508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移动处置步骤进度条.png"/>
                    <pic:cNvPicPr/>
                  </pic:nvPicPr>
                  <pic:blipFill>
                    <a:blip r:embed="rId20"/>
                    <a:stretch>
                      <a:fillRect/>
                    </a:stretch>
                  </pic:blipFill>
                  <pic:spPr>
                    <a:xfrm>
                      <a:off x="0" y="0"/>
                      <a:ext cx="5457315" cy="3157385"/>
                    </a:xfrm>
                    <a:prstGeom prst="rect">
                      <a:avLst/>
                    </a:prstGeom>
                  </pic:spPr>
                </pic:pic>
              </a:graphicData>
            </a:graphic>
          </wp:inline>
        </w:drawing>
      </w:r>
      <w:r>
        <w:rPr>
          <w:lang w:eastAsia="zh-CN"/>
        </w:rPr>
        <w:br/>
      </w:r>
      <w:r>
        <w:rPr>
          <w:lang w:eastAsia="zh-CN"/>
        </w:rPr>
        <w:t>图</w:t>
      </w:r>
      <w:r>
        <w:rPr>
          <w:lang w:eastAsia="zh-CN"/>
        </w:rPr>
        <w:t xml:space="preserve"> 127 </w:t>
      </w:r>
      <w:r>
        <w:rPr>
          <w:lang w:eastAsia="zh-CN"/>
        </w:rPr>
        <w:t>移动处置步骤进度条</w:t>
      </w:r>
      <w:r>
        <w:rPr>
          <w:lang w:eastAsia="zh-CN"/>
        </w:rPr>
        <w:t xml:space="preserve"> </w:t>
      </w:r>
      <w:r>
        <w:rPr>
          <w:lang w:eastAsia="zh-CN"/>
        </w:rPr>
        <w:t>资料来源：经营假设、平台演示样本与整理数据。要点：进度条组能说明移动处置不是静态页面，而是连续状态。</w:t>
      </w:r>
    </w:p>
    <w:p w14:paraId="10AE961F" w14:textId="77777777" w:rsidR="00735A9E" w:rsidRDefault="00000000">
      <w:pPr>
        <w:rPr>
          <w:lang w:eastAsia="zh-CN"/>
        </w:rPr>
      </w:pPr>
      <w:r>
        <w:rPr>
          <w:lang w:eastAsia="zh-CN"/>
        </w:rPr>
        <w:t>移动处置步骤进度条对应的财务判断是：进度条组能说明移动处置不是静态页面，而是连续状态。资料口径来自经营假设、平台演示样本与整理数据。</w:t>
      </w:r>
    </w:p>
    <w:p w14:paraId="14C1E13B" w14:textId="77777777" w:rsidR="00735A9E" w:rsidRDefault="00000000">
      <w:pPr>
        <w:rPr>
          <w:lang w:eastAsia="zh-CN"/>
        </w:rPr>
      </w:pPr>
      <w:r>
        <w:rPr>
          <w:lang w:eastAsia="zh-CN"/>
        </w:rPr>
        <w:t>这个判断的价值在于把市场机会压到客户每天会处理的事务上。</w:t>
      </w:r>
      <w:r>
        <w:rPr>
          <w:lang w:eastAsia="zh-CN"/>
        </w:rPr>
        <w:t xml:space="preserve"> </w:t>
      </w:r>
      <w:r>
        <w:rPr>
          <w:lang w:eastAsia="zh-CN"/>
        </w:rPr>
        <w:t>财务章节的重点不是把数字写大，而是说明假设之间如何相互支撑。</w:t>
      </w:r>
    </w:p>
    <w:p w14:paraId="6CEA5039" w14:textId="77777777" w:rsidR="00735A9E" w:rsidRDefault="00000000">
      <w:pPr>
        <w:rPr>
          <w:lang w:eastAsia="zh-CN"/>
        </w:rPr>
      </w:pPr>
      <w:r>
        <w:rPr>
          <w:lang w:eastAsia="zh-CN"/>
        </w:rPr>
        <w:t>财务章节处理回款周期时，把增长、毛利、现金流和回款周期放在一起看。这样可以说明项目如何活下去，而不是只把未来收入写高。</w:t>
      </w:r>
    </w:p>
    <w:p w14:paraId="741498F5" w14:textId="77777777" w:rsidR="00735A9E" w:rsidRDefault="00000000">
      <w:pPr>
        <w:pStyle w:val="a0"/>
        <w:rPr>
          <w:lang w:eastAsia="zh-CN"/>
        </w:rPr>
      </w:pPr>
      <w:r>
        <w:rPr>
          <w:color w:val="2D3748"/>
          <w:lang w:eastAsia="zh-CN"/>
        </w:rPr>
        <w:t>关注客单价、交付成本、续费率和回款周期</w:t>
      </w:r>
    </w:p>
    <w:p w14:paraId="553CF1C1" w14:textId="77777777" w:rsidR="00735A9E" w:rsidRDefault="00000000">
      <w:pPr>
        <w:pStyle w:val="a0"/>
        <w:rPr>
          <w:lang w:eastAsia="zh-CN"/>
        </w:rPr>
      </w:pPr>
      <w:r>
        <w:rPr>
          <w:color w:val="2D3748"/>
          <w:lang w:eastAsia="zh-CN"/>
        </w:rPr>
        <w:t>依据：经营假设、平台演示样本与整理数据</w:t>
      </w:r>
    </w:p>
    <w:p w14:paraId="1E13519B" w14:textId="77777777" w:rsidR="00735A9E" w:rsidRDefault="00000000">
      <w:pPr>
        <w:pStyle w:val="a0"/>
        <w:rPr>
          <w:lang w:eastAsia="zh-CN"/>
        </w:rPr>
      </w:pPr>
      <w:r>
        <w:rPr>
          <w:color w:val="2D3748"/>
          <w:lang w:eastAsia="zh-CN"/>
        </w:rPr>
        <w:t>经营判断：进度条组能说明移动处置不是静态页面，而是连续状态。</w:t>
      </w:r>
    </w:p>
    <w:p w14:paraId="662E6EA3"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1E57606C" w14:textId="77777777" w:rsidR="00735A9E" w:rsidRDefault="00000000">
      <w:pPr>
        <w:pStyle w:val="21"/>
        <w:rPr>
          <w:lang w:eastAsia="zh-CN"/>
        </w:rPr>
      </w:pPr>
      <w:r>
        <w:rPr>
          <w:rFonts w:ascii="Times New Roman" w:eastAsia="仿宋" w:hAnsi="Times New Roman" w:cs="仿宋"/>
          <w:lang w:eastAsia="zh-CN"/>
        </w:rPr>
        <w:t xml:space="preserve">9.14 </w:t>
      </w:r>
      <w:r>
        <w:rPr>
          <w:rFonts w:ascii="Times New Roman" w:eastAsia="仿宋" w:hAnsi="Times New Roman" w:cs="仿宋"/>
          <w:lang w:eastAsia="zh-CN"/>
        </w:rPr>
        <w:t>账期承压判断</w:t>
      </w:r>
    </w:p>
    <w:p w14:paraId="191AD6B8" w14:textId="2F991045" w:rsidR="00735A9E" w:rsidRDefault="0012374B">
      <w:pPr>
        <w:rPr>
          <w:lang w:eastAsia="zh-CN"/>
        </w:rPr>
      </w:pPr>
      <w:r w:rsidRPr="0012374B">
        <w:rPr>
          <w:rFonts w:hint="eastAsia"/>
          <w:lang w:eastAsia="zh-CN"/>
        </w:rPr>
        <w:t>账期承压判断是回款周期分析的延伸和深化。如果说回款周期分析关注的是“回款需要多长时间”，那么账期承压判断关注的是“在回款到账之前，企业能否撑得住”。这两者的区别在于：前者是时间维度，后者是资金充足度维度。即使账期只有</w:t>
      </w:r>
      <w:r w:rsidRPr="0012374B">
        <w:rPr>
          <w:rFonts w:hint="eastAsia"/>
          <w:lang w:eastAsia="zh-CN"/>
        </w:rPr>
        <w:t>3</w:t>
      </w:r>
      <w:r w:rsidRPr="0012374B">
        <w:rPr>
          <w:rFonts w:hint="eastAsia"/>
          <w:lang w:eastAsia="zh-CN"/>
        </w:rPr>
        <w:t>个月，但如果企业在</w:t>
      </w:r>
      <w:r w:rsidRPr="0012374B">
        <w:rPr>
          <w:rFonts w:hint="eastAsia"/>
          <w:lang w:eastAsia="zh-CN"/>
        </w:rPr>
        <w:t>3</w:t>
      </w:r>
      <w:r w:rsidRPr="0012374B">
        <w:rPr>
          <w:rFonts w:hint="eastAsia"/>
          <w:lang w:eastAsia="zh-CN"/>
        </w:rPr>
        <w:t>个月内需要支付的刚性支出超过了账上现金，同样会面临流动性危机。因此，账期承压判断需要将回款周期与支出节奏进行匹配——哪些月份支出集中、哪些月份回款集中、两者之间的缺口有多大、如何通过融资或调整支出来填补缺口</w:t>
      </w:r>
      <w:r w:rsidR="00000000">
        <w:rPr>
          <w:lang w:eastAsia="zh-CN"/>
        </w:rPr>
        <w:t>。</w:t>
      </w:r>
    </w:p>
    <w:p w14:paraId="35AC0F43" w14:textId="50CDD7E7" w:rsidR="00735A9E" w:rsidRDefault="0012374B">
      <w:pPr>
        <w:rPr>
          <w:lang w:eastAsia="zh-CN"/>
        </w:rPr>
      </w:pPr>
      <w:r w:rsidRPr="0012374B">
        <w:rPr>
          <w:rFonts w:hint="eastAsia"/>
          <w:lang w:eastAsia="zh-CN"/>
        </w:rPr>
        <w:t>资金使用应优先服务产品打磨、试点交付、数据治理、客户成功和必要伙伴接入，同时控制并行项目的数量。账期承压判断的结果应当直接指导项目启动的时间安排——如果某一季度的现金缺口较大，则应将新项目的启动推迟到下一季度，或主动与客户协商更有利的付款节点，使回款与支出之间形成更平滑的匹配</w:t>
      </w:r>
      <w:r w:rsidR="00000000">
        <w:rPr>
          <w:lang w:eastAsia="zh-CN"/>
        </w:rPr>
        <w:t>。</w:t>
      </w:r>
    </w:p>
    <w:p w14:paraId="24D23C95" w14:textId="77777777" w:rsidR="00735A9E" w:rsidRDefault="00000000">
      <w:pPr>
        <w:pStyle w:val="af7"/>
        <w:keepLines/>
        <w:spacing w:before="80" w:after="160"/>
        <w:rPr>
          <w:lang w:eastAsia="zh-CN"/>
        </w:rPr>
      </w:pPr>
      <w:r>
        <w:rPr>
          <w:noProof/>
        </w:rPr>
        <w:lastRenderedPageBreak/>
        <w:drawing>
          <wp:inline distT="0" distB="0" distL="0" distR="0" wp14:anchorId="1A8103CF" wp14:editId="4297FBB2">
            <wp:extent cx="5331124" cy="3109134"/>
            <wp:effectExtent l="0" t="0" r="317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团队能力覆盖雷达组.png"/>
                    <pic:cNvPicPr/>
                  </pic:nvPicPr>
                  <pic:blipFill>
                    <a:blip r:embed="rId21"/>
                    <a:stretch>
                      <a:fillRect/>
                    </a:stretch>
                  </pic:blipFill>
                  <pic:spPr>
                    <a:xfrm>
                      <a:off x="0" y="0"/>
                      <a:ext cx="5347130" cy="3118469"/>
                    </a:xfrm>
                    <a:prstGeom prst="rect">
                      <a:avLst/>
                    </a:prstGeom>
                  </pic:spPr>
                </pic:pic>
              </a:graphicData>
            </a:graphic>
          </wp:inline>
        </w:drawing>
      </w:r>
      <w:r>
        <w:rPr>
          <w:lang w:eastAsia="zh-CN"/>
        </w:rPr>
        <w:br/>
      </w:r>
      <w:r>
        <w:rPr>
          <w:lang w:eastAsia="zh-CN"/>
        </w:rPr>
        <w:t>图</w:t>
      </w:r>
      <w:r>
        <w:rPr>
          <w:lang w:eastAsia="zh-CN"/>
        </w:rPr>
        <w:t xml:space="preserve"> 128 </w:t>
      </w:r>
      <w:r>
        <w:rPr>
          <w:lang w:eastAsia="zh-CN"/>
        </w:rPr>
        <w:t>团队能力覆盖雷达组</w:t>
      </w:r>
      <w:r>
        <w:rPr>
          <w:lang w:eastAsia="zh-CN"/>
        </w:rPr>
        <w:t xml:space="preserve"> </w:t>
      </w:r>
      <w:r>
        <w:rPr>
          <w:lang w:eastAsia="zh-CN"/>
        </w:rPr>
        <w:t>资料来源：经营假设、平台演示样本与整理数据。要点：雷达小倍数能展示团队能力从当前到试点期的补强方向。</w:t>
      </w:r>
    </w:p>
    <w:p w14:paraId="306ADF4B" w14:textId="77777777" w:rsidR="00735A9E" w:rsidRDefault="00000000">
      <w:pPr>
        <w:rPr>
          <w:lang w:eastAsia="zh-CN"/>
        </w:rPr>
      </w:pPr>
      <w:r>
        <w:rPr>
          <w:lang w:eastAsia="zh-CN"/>
        </w:rPr>
        <w:t>团队能力覆盖雷达组对应的财务判断是：雷达小倍数能展示团队能力从当前到试点期的补强方向。资料口径来自经营假设、平台演示样本与整理数据。</w:t>
      </w:r>
    </w:p>
    <w:p w14:paraId="0F051ECF" w14:textId="77777777" w:rsidR="00735A9E" w:rsidRDefault="00000000">
      <w:pPr>
        <w:rPr>
          <w:lang w:eastAsia="zh-CN"/>
        </w:rPr>
      </w:pPr>
      <w:r>
        <w:rPr>
          <w:lang w:eastAsia="zh-CN"/>
        </w:rPr>
        <w:t>它把外部资料、产品动作和交付边界连在一起，便于后续试点逐项核验。</w:t>
      </w:r>
      <w:r>
        <w:rPr>
          <w:lang w:eastAsia="zh-CN"/>
        </w:rPr>
        <w:t xml:space="preserve"> </w:t>
      </w:r>
      <w:r>
        <w:rPr>
          <w:lang w:eastAsia="zh-CN"/>
        </w:rPr>
        <w:t>财务章节的重点不是把数字写大，而是说明假设之间如何相互支撑。</w:t>
      </w:r>
    </w:p>
    <w:p w14:paraId="527BA784" w14:textId="77777777" w:rsidR="00735A9E" w:rsidRDefault="00000000">
      <w:pPr>
        <w:rPr>
          <w:lang w:eastAsia="zh-CN"/>
        </w:rPr>
      </w:pPr>
      <w:r>
        <w:rPr>
          <w:lang w:eastAsia="zh-CN"/>
        </w:rPr>
        <w:t>财务章节处理融资用途时，把增长、毛利、现金流和回款周期放在一起看。这样可以说明项目如何活下去，而不是只把未来收入写高。</w:t>
      </w:r>
    </w:p>
    <w:p w14:paraId="6CD65542" w14:textId="77777777" w:rsidR="00735A9E" w:rsidRDefault="00000000">
      <w:pPr>
        <w:pStyle w:val="a0"/>
        <w:rPr>
          <w:lang w:eastAsia="zh-CN"/>
        </w:rPr>
      </w:pPr>
      <w:r>
        <w:rPr>
          <w:color w:val="2D3748"/>
          <w:lang w:eastAsia="zh-CN"/>
        </w:rPr>
        <w:t>关注客单价、交付成本、续费率和回款周期</w:t>
      </w:r>
    </w:p>
    <w:p w14:paraId="7591AACD" w14:textId="77777777" w:rsidR="00735A9E" w:rsidRDefault="00000000">
      <w:pPr>
        <w:pStyle w:val="a0"/>
        <w:rPr>
          <w:lang w:eastAsia="zh-CN"/>
        </w:rPr>
      </w:pPr>
      <w:r>
        <w:rPr>
          <w:color w:val="2D3748"/>
          <w:lang w:eastAsia="zh-CN"/>
        </w:rPr>
        <w:t>依据：经营假设、平台演示样本与整理数据</w:t>
      </w:r>
    </w:p>
    <w:p w14:paraId="705274FA" w14:textId="77777777" w:rsidR="00735A9E" w:rsidRDefault="00000000">
      <w:pPr>
        <w:pStyle w:val="a0"/>
        <w:rPr>
          <w:lang w:eastAsia="zh-CN"/>
        </w:rPr>
      </w:pPr>
      <w:r>
        <w:rPr>
          <w:color w:val="2D3748"/>
          <w:lang w:eastAsia="zh-CN"/>
        </w:rPr>
        <w:t>经营判断：雷达小倍数能展示团队能力从当前到试点期的补强方向。</w:t>
      </w:r>
    </w:p>
    <w:p w14:paraId="265E9A6D" w14:textId="77777777" w:rsidR="00735A9E" w:rsidRDefault="00000000">
      <w:pPr>
        <w:spacing w:before="80" w:after="20"/>
        <w:ind w:firstLine="0"/>
        <w:rPr>
          <w:lang w:eastAsia="zh-CN"/>
        </w:rPr>
      </w:pPr>
      <w:r>
        <w:rPr>
          <w:b/>
          <w:color w:val="64748B"/>
          <w:sz w:val="17"/>
          <w:lang w:eastAsia="zh-CN"/>
        </w:rPr>
        <w:t>第九章</w:t>
      </w:r>
      <w:r>
        <w:rPr>
          <w:b/>
          <w:color w:val="64748B"/>
          <w:sz w:val="17"/>
          <w:lang w:eastAsia="zh-CN"/>
        </w:rPr>
        <w:t xml:space="preserve"> </w:t>
      </w:r>
      <w:r>
        <w:rPr>
          <w:b/>
          <w:color w:val="64748B"/>
          <w:sz w:val="17"/>
          <w:lang w:eastAsia="zh-CN"/>
        </w:rPr>
        <w:t>财务预测</w:t>
      </w:r>
    </w:p>
    <w:p w14:paraId="165707F7" w14:textId="77777777" w:rsidR="00735A9E" w:rsidRDefault="00000000">
      <w:pPr>
        <w:pStyle w:val="21"/>
        <w:rPr>
          <w:lang w:eastAsia="zh-CN"/>
        </w:rPr>
      </w:pPr>
      <w:r>
        <w:rPr>
          <w:rFonts w:ascii="Times New Roman" w:eastAsia="仿宋" w:hAnsi="Times New Roman" w:cs="仿宋"/>
          <w:lang w:eastAsia="zh-CN"/>
        </w:rPr>
        <w:t xml:space="preserve">9.15 </w:t>
      </w:r>
      <w:r>
        <w:rPr>
          <w:rFonts w:ascii="Times New Roman" w:eastAsia="仿宋" w:hAnsi="Times New Roman" w:cs="仿宋"/>
          <w:lang w:eastAsia="zh-CN"/>
        </w:rPr>
        <w:t>财务判断</w:t>
      </w:r>
    </w:p>
    <w:p w14:paraId="23D94355" w14:textId="0D79A2FD" w:rsidR="00735A9E" w:rsidRDefault="0012374B">
      <w:pPr>
        <w:rPr>
          <w:lang w:eastAsia="zh-CN"/>
        </w:rPr>
      </w:pPr>
      <w:r w:rsidRPr="0012374B">
        <w:rPr>
          <w:rFonts w:hint="eastAsia"/>
          <w:lang w:eastAsia="zh-CN"/>
        </w:rPr>
        <w:t>财务判断是全章财务预测的收束与总结。前面</w:t>
      </w:r>
      <w:r w:rsidRPr="0012374B">
        <w:rPr>
          <w:rFonts w:hint="eastAsia"/>
          <w:lang w:eastAsia="zh-CN"/>
        </w:rPr>
        <w:t>14</w:t>
      </w:r>
      <w:r w:rsidRPr="0012374B">
        <w:rPr>
          <w:rFonts w:hint="eastAsia"/>
          <w:lang w:eastAsia="zh-CN"/>
        </w:rPr>
        <w:t>个小节从融资方案、收入预测、成本结构、毛利路径、现金流约束、回款周期、融资用途、敏感性检验到单位经济，分别处理了财务预测的各个构成要素。财务判断的任务是将这些分散的要素整合成一个整体评价——这个项目的财务逻辑是否自洽？在多大程度上可信？最需要关注的风险点在哪里？</w:t>
      </w:r>
      <w:r w:rsidRPr="0012374B">
        <w:rPr>
          <w:rFonts w:hint="eastAsia"/>
          <w:lang w:eastAsia="zh-CN"/>
        </w:rPr>
        <w:t xml:space="preserve"> </w:t>
      </w:r>
      <w:r w:rsidRPr="0012374B">
        <w:rPr>
          <w:rFonts w:hint="eastAsia"/>
          <w:lang w:eastAsia="zh-CN"/>
        </w:rPr>
        <w:t>财务判断不应是对前面各节的简单重复，而是基于前面分析提炼出三条左右的“核心财务结论”，作为投资人对本章财务预测的快速参考</w:t>
      </w:r>
      <w:r w:rsidR="00000000">
        <w:rPr>
          <w:lang w:eastAsia="zh-CN"/>
        </w:rPr>
        <w:t>。</w:t>
      </w:r>
    </w:p>
    <w:p w14:paraId="60F8DAFC" w14:textId="410D7993" w:rsidR="00735A9E" w:rsidRDefault="0012374B">
      <w:pPr>
        <w:rPr>
          <w:lang w:eastAsia="zh-CN"/>
        </w:rPr>
      </w:pPr>
      <w:r w:rsidRPr="0012374B">
        <w:rPr>
          <w:lang w:eastAsia="zh-CN"/>
        </w:rPr>
        <w:t>资金使用应优先服务产品打磨、试点交付、数据治理、客户成功和必要伙伴接入，同时控制并行项目的数量。财务判断的质量直接取决于前面各节分析的深度和一致性</w:t>
      </w:r>
      <w:r w:rsidRPr="0012374B">
        <w:rPr>
          <w:lang w:eastAsia="zh-CN"/>
        </w:rPr>
        <w:t>——</w:t>
      </w:r>
      <w:r w:rsidRPr="0012374B">
        <w:rPr>
          <w:lang w:eastAsia="zh-CN"/>
        </w:rPr>
        <w:t>如果收入预测过于乐观而成本预测过于保守，最终的财务判断便缺乏说服力；如果现金流预测和回款周期分析相互矛盾，最终的整体判断便不可信</w:t>
      </w:r>
      <w:r w:rsidR="00000000">
        <w:rPr>
          <w:lang w:eastAsia="zh-CN"/>
        </w:rPr>
        <w:t>。</w:t>
      </w:r>
    </w:p>
    <w:p w14:paraId="45F5DDD9" w14:textId="77777777" w:rsidR="00735A9E" w:rsidRDefault="00000000">
      <w:pPr>
        <w:pStyle w:val="af7"/>
        <w:keepLines/>
        <w:spacing w:before="80" w:after="160"/>
        <w:rPr>
          <w:lang w:eastAsia="zh-CN"/>
        </w:rPr>
      </w:pPr>
      <w:r>
        <w:rPr>
          <w:noProof/>
        </w:rPr>
        <w:lastRenderedPageBreak/>
        <w:drawing>
          <wp:inline distT="0" distB="0" distL="0" distR="0" wp14:anchorId="43CC66A8" wp14:editId="01B8CD67">
            <wp:extent cx="5413531" cy="227559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社会价值指标仪表组.png"/>
                    <pic:cNvPicPr/>
                  </pic:nvPicPr>
                  <pic:blipFill>
                    <a:blip r:embed="rId22"/>
                    <a:stretch>
                      <a:fillRect/>
                    </a:stretch>
                  </pic:blipFill>
                  <pic:spPr>
                    <a:xfrm>
                      <a:off x="0" y="0"/>
                      <a:ext cx="5427943" cy="2281656"/>
                    </a:xfrm>
                    <a:prstGeom prst="rect">
                      <a:avLst/>
                    </a:prstGeom>
                  </pic:spPr>
                </pic:pic>
              </a:graphicData>
            </a:graphic>
          </wp:inline>
        </w:drawing>
      </w:r>
      <w:r>
        <w:rPr>
          <w:lang w:eastAsia="zh-CN"/>
        </w:rPr>
        <w:br/>
      </w:r>
      <w:r>
        <w:rPr>
          <w:lang w:eastAsia="zh-CN"/>
        </w:rPr>
        <w:t>图</w:t>
      </w:r>
      <w:r>
        <w:rPr>
          <w:lang w:eastAsia="zh-CN"/>
        </w:rPr>
        <w:t xml:space="preserve"> 129 </w:t>
      </w:r>
      <w:r>
        <w:rPr>
          <w:lang w:eastAsia="zh-CN"/>
        </w:rPr>
        <w:t>社会价值指标仪表组</w:t>
      </w:r>
      <w:r>
        <w:rPr>
          <w:lang w:eastAsia="zh-CN"/>
        </w:rPr>
        <w:t xml:space="preserve"> </w:t>
      </w:r>
      <w:r>
        <w:rPr>
          <w:lang w:eastAsia="zh-CN"/>
        </w:rPr>
        <w:t>资料来源：经营假设、平台演示样本与整理数据。要点：仪表组能把社会价值从口号转成可跟踪指标。</w:t>
      </w:r>
    </w:p>
    <w:p w14:paraId="044CA1AE" w14:textId="77777777" w:rsidR="00735A9E" w:rsidRDefault="00000000">
      <w:pPr>
        <w:rPr>
          <w:lang w:eastAsia="zh-CN"/>
        </w:rPr>
      </w:pPr>
      <w:r>
        <w:rPr>
          <w:lang w:eastAsia="zh-CN"/>
        </w:rPr>
        <w:t>社会价值指标仪表组对应的财务判断是：仪表组能把社会价值从口号转成可跟踪指标。资料口径来自经营假设、平台演示样本与整理数据。</w:t>
      </w:r>
    </w:p>
    <w:p w14:paraId="0AE34D81" w14:textId="77777777" w:rsidR="00735A9E" w:rsidRDefault="00000000">
      <w:pPr>
        <w:rPr>
          <w:lang w:eastAsia="zh-CN"/>
        </w:rPr>
      </w:pPr>
      <w:r>
        <w:rPr>
          <w:lang w:eastAsia="zh-CN"/>
        </w:rPr>
        <w:t>如果只看单个指标，容易把机会写成赛道热度；放回工作流，才能看到可收费的服务。</w:t>
      </w:r>
      <w:r>
        <w:rPr>
          <w:lang w:eastAsia="zh-CN"/>
        </w:rPr>
        <w:t xml:space="preserve"> </w:t>
      </w:r>
      <w:r>
        <w:rPr>
          <w:lang w:eastAsia="zh-CN"/>
        </w:rPr>
        <w:t>财务章节的重点不是把数字写大，而是说明假设之间如何相互支撑。</w:t>
      </w:r>
    </w:p>
    <w:p w14:paraId="4D2117AB" w14:textId="77777777" w:rsidR="00735A9E" w:rsidRDefault="00000000">
      <w:pPr>
        <w:rPr>
          <w:lang w:eastAsia="zh-CN"/>
        </w:rPr>
      </w:pPr>
      <w:r>
        <w:rPr>
          <w:lang w:eastAsia="zh-CN"/>
        </w:rPr>
        <w:t>财务章节处理敏感性时，把增长、毛利、现金流和回款周期放在一起看。这样可以说明项目如何活下去，而不是只把未来收入写高。</w:t>
      </w:r>
    </w:p>
    <w:p w14:paraId="0995D1BE" w14:textId="77777777" w:rsidR="00735A9E" w:rsidRDefault="00000000">
      <w:pPr>
        <w:pStyle w:val="a0"/>
        <w:rPr>
          <w:lang w:eastAsia="zh-CN"/>
        </w:rPr>
      </w:pPr>
      <w:r>
        <w:rPr>
          <w:color w:val="2D3748"/>
          <w:lang w:eastAsia="zh-CN"/>
        </w:rPr>
        <w:t>关注客单价、交付成本、续费率和回款周期</w:t>
      </w:r>
    </w:p>
    <w:p w14:paraId="539C1899" w14:textId="77777777" w:rsidR="00735A9E" w:rsidRDefault="00000000">
      <w:pPr>
        <w:pStyle w:val="a0"/>
        <w:rPr>
          <w:lang w:eastAsia="zh-CN"/>
        </w:rPr>
      </w:pPr>
      <w:r>
        <w:rPr>
          <w:color w:val="2D3748"/>
          <w:lang w:eastAsia="zh-CN"/>
        </w:rPr>
        <w:t>依据：经营假设、平台演示样本与整理数据</w:t>
      </w:r>
    </w:p>
    <w:p w14:paraId="266896BA" w14:textId="77777777" w:rsidR="00735A9E" w:rsidRDefault="00000000">
      <w:pPr>
        <w:pStyle w:val="a0"/>
        <w:rPr>
          <w:lang w:eastAsia="zh-CN"/>
        </w:rPr>
      </w:pPr>
      <w:r>
        <w:rPr>
          <w:color w:val="2D3748"/>
          <w:lang w:eastAsia="zh-CN"/>
        </w:rPr>
        <w:t>经营判断：仪表组能把社会价值从口号转成可跟踪指标。</w:t>
      </w:r>
    </w:p>
    <w:p w14:paraId="156B1BB0" w14:textId="77777777" w:rsidR="00735A9E" w:rsidRDefault="00000000">
      <w:pPr>
        <w:rPr>
          <w:lang w:eastAsia="zh-CN"/>
        </w:rPr>
      </w:pPr>
      <w:r>
        <w:rPr>
          <w:lang w:eastAsia="zh-CN"/>
        </w:rPr>
        <w:br w:type="page"/>
      </w:r>
    </w:p>
    <w:p w14:paraId="4911F8AB" w14:textId="77777777" w:rsidR="00735A9E" w:rsidRDefault="00000000">
      <w:pPr>
        <w:spacing w:before="320" w:after="80"/>
        <w:ind w:firstLine="0"/>
        <w:rPr>
          <w:lang w:eastAsia="zh-CN"/>
        </w:rPr>
      </w:pPr>
      <w:r>
        <w:rPr>
          <w:b/>
          <w:color w:val="9B6A2F"/>
          <w:sz w:val="20"/>
          <w:lang w:eastAsia="zh-CN"/>
        </w:rPr>
        <w:lastRenderedPageBreak/>
        <w:t>章节导读</w:t>
      </w:r>
    </w:p>
    <w:p w14:paraId="517D87C5" w14:textId="77777777" w:rsidR="00735A9E" w:rsidRDefault="00000000">
      <w:pPr>
        <w:pStyle w:val="1"/>
        <w:rPr>
          <w:lang w:eastAsia="zh-CN"/>
        </w:rPr>
      </w:pPr>
      <w:r>
        <w:rPr>
          <w:rFonts w:ascii="Times New Roman" w:eastAsia="仿宋" w:hAnsi="Times New Roman" w:cs="仿宋"/>
          <w:sz w:val="36"/>
          <w:lang w:eastAsia="zh-CN"/>
        </w:rPr>
        <w:t>第十章</w:t>
      </w:r>
      <w:r>
        <w:rPr>
          <w:rFonts w:ascii="Times New Roman" w:eastAsia="仿宋" w:hAnsi="Times New Roman" w:cs="仿宋"/>
          <w:sz w:val="36"/>
          <w:lang w:eastAsia="zh-CN"/>
        </w:rPr>
        <w:t xml:space="preserve"> </w:t>
      </w:r>
      <w:r>
        <w:rPr>
          <w:rFonts w:ascii="Times New Roman" w:eastAsia="仿宋" w:hAnsi="Times New Roman" w:cs="仿宋"/>
          <w:sz w:val="36"/>
          <w:lang w:eastAsia="zh-CN"/>
        </w:rPr>
        <w:t>风险应对</w:t>
      </w:r>
    </w:p>
    <w:p w14:paraId="57CE6DA0" w14:textId="77777777" w:rsidR="00735A9E" w:rsidRDefault="00000000">
      <w:pPr>
        <w:pBdr>
          <w:bottom w:val="single" w:sz="8" w:space="6" w:color="D7DEE8"/>
        </w:pBdr>
        <w:spacing w:after="200"/>
        <w:ind w:firstLine="0"/>
        <w:rPr>
          <w:lang w:eastAsia="zh-CN"/>
        </w:rPr>
      </w:pPr>
      <w:r>
        <w:rPr>
          <w:b/>
          <w:color w:val="124E6B"/>
          <w:sz w:val="24"/>
          <w:lang w:eastAsia="zh-CN"/>
        </w:rPr>
        <w:t>风险按阻断项目、拖慢节奏、增加成本三类处理。</w:t>
      </w:r>
    </w:p>
    <w:p w14:paraId="255083E5" w14:textId="3F3910FD" w:rsidR="00735A9E" w:rsidRDefault="00000000">
      <w:pPr>
        <w:rPr>
          <w:lang w:eastAsia="zh-CN"/>
        </w:rPr>
      </w:pPr>
      <w:r>
        <w:rPr>
          <w:lang w:eastAsia="zh-CN"/>
        </w:rPr>
        <w:t>低空项目最容易失分的地方是边界不清。</w:t>
      </w:r>
      <w:proofErr w:type="spellStart"/>
      <w:r w:rsidR="0012374B" w:rsidRPr="0012374B">
        <w:rPr>
          <w:rFonts w:hint="eastAsia"/>
          <w:lang w:eastAsia="zh-CN"/>
        </w:rPr>
        <w:t>SkyGuard</w:t>
      </w:r>
      <w:proofErr w:type="spellEnd"/>
      <w:r w:rsidR="0012374B" w:rsidRPr="0012374B">
        <w:rPr>
          <w:rFonts w:hint="eastAsia"/>
          <w:lang w:eastAsia="zh-CN"/>
        </w:rPr>
        <w:t>所处的低空领域，政策、技术、客户、竞争等多个维度都存在不确定性，但最核心的风险始终只有一个：边界不清。</w:t>
      </w:r>
      <w:r w:rsidR="0012374B" w:rsidRPr="0012374B">
        <w:rPr>
          <w:rFonts w:hint="eastAsia"/>
          <w:lang w:eastAsia="zh-CN"/>
        </w:rPr>
        <w:t xml:space="preserve"> </w:t>
      </w:r>
      <w:r w:rsidR="0012374B" w:rsidRPr="0012374B">
        <w:rPr>
          <w:rFonts w:hint="eastAsia"/>
          <w:lang w:eastAsia="zh-CN"/>
        </w:rPr>
        <w:t>一旦向客户承诺了超出能力范围的交付，或将产品定位从“辅助感知”模糊为“自动处置”，便可能在合同验收、合规审查和客户信任三个层面同时遭遇失败</w:t>
      </w:r>
      <w:r>
        <w:rPr>
          <w:lang w:eastAsia="zh-CN"/>
        </w:rPr>
        <w:t>。</w:t>
      </w:r>
    </w:p>
    <w:p w14:paraId="1CE0A9D5" w14:textId="77777777" w:rsidR="00735A9E" w:rsidRDefault="00000000">
      <w:pPr>
        <w:pStyle w:val="af7"/>
        <w:keepLines/>
        <w:spacing w:before="80" w:after="160"/>
        <w:rPr>
          <w:lang w:eastAsia="zh-CN"/>
        </w:rPr>
      </w:pPr>
      <w:r>
        <w:rPr>
          <w:noProof/>
        </w:rPr>
        <w:drawing>
          <wp:inline distT="0" distB="0" distL="0" distR="0" wp14:anchorId="5978C303" wp14:editId="36E173D3">
            <wp:extent cx="5503653" cy="3188794"/>
            <wp:effectExtent l="0" t="0" r="190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答辩追问准备矩阵.png"/>
                    <pic:cNvPicPr/>
                  </pic:nvPicPr>
                  <pic:blipFill>
                    <a:blip r:embed="rId23"/>
                    <a:stretch>
                      <a:fillRect/>
                    </a:stretch>
                  </pic:blipFill>
                  <pic:spPr>
                    <a:xfrm>
                      <a:off x="0" y="0"/>
                      <a:ext cx="5515163" cy="3195463"/>
                    </a:xfrm>
                    <a:prstGeom prst="rect">
                      <a:avLst/>
                    </a:prstGeom>
                  </pic:spPr>
                </pic:pic>
              </a:graphicData>
            </a:graphic>
          </wp:inline>
        </w:drawing>
      </w:r>
      <w:r>
        <w:rPr>
          <w:lang w:eastAsia="zh-CN"/>
        </w:rPr>
        <w:br/>
      </w:r>
      <w:r>
        <w:rPr>
          <w:lang w:eastAsia="zh-CN"/>
        </w:rPr>
        <w:t>图</w:t>
      </w:r>
      <w:r>
        <w:rPr>
          <w:lang w:eastAsia="zh-CN"/>
        </w:rPr>
        <w:t xml:space="preserve"> 130 </w:t>
      </w:r>
      <w:r>
        <w:rPr>
          <w:lang w:eastAsia="zh-CN"/>
        </w:rPr>
        <w:t>答辩追问准备矩阵</w:t>
      </w:r>
      <w:r>
        <w:rPr>
          <w:lang w:eastAsia="zh-CN"/>
        </w:rPr>
        <w:t xml:space="preserve"> </w:t>
      </w:r>
      <w:r>
        <w:rPr>
          <w:lang w:eastAsia="zh-CN"/>
        </w:rPr>
        <w:t>资料来源：经营假设、平台演示样本与整理数据。要点：准备矩阵能帮助答辩时快速定位追问证据。</w:t>
      </w:r>
    </w:p>
    <w:p w14:paraId="71E00859" w14:textId="77777777" w:rsidR="00735A9E" w:rsidRDefault="00000000">
      <w:pPr>
        <w:pStyle w:val="a0"/>
        <w:rPr>
          <w:lang w:eastAsia="zh-CN"/>
        </w:rPr>
      </w:pPr>
      <w:r>
        <w:rPr>
          <w:color w:val="2D3748"/>
          <w:lang w:eastAsia="zh-CN"/>
        </w:rPr>
        <w:t>本章回答：风险按阻断项目、拖慢节奏、增加成本三类处理。</w:t>
      </w:r>
    </w:p>
    <w:p w14:paraId="3AAD3279" w14:textId="77777777" w:rsidR="00735A9E" w:rsidRDefault="00000000">
      <w:pPr>
        <w:pStyle w:val="a0"/>
        <w:rPr>
          <w:lang w:eastAsia="zh-CN"/>
        </w:rPr>
      </w:pPr>
      <w:r>
        <w:rPr>
          <w:color w:val="2D3748"/>
          <w:lang w:eastAsia="zh-CN"/>
        </w:rPr>
        <w:t>重点内容：政策边界</w:t>
      </w:r>
      <w:r>
        <w:rPr>
          <w:color w:val="2D3748"/>
          <w:lang w:eastAsia="zh-CN"/>
        </w:rPr>
        <w:t xml:space="preserve">, </w:t>
      </w:r>
      <w:r>
        <w:rPr>
          <w:color w:val="2D3748"/>
          <w:lang w:eastAsia="zh-CN"/>
        </w:rPr>
        <w:t>数据合规</w:t>
      </w:r>
      <w:r>
        <w:rPr>
          <w:color w:val="2D3748"/>
          <w:lang w:eastAsia="zh-CN"/>
        </w:rPr>
        <w:t xml:space="preserve">, </w:t>
      </w:r>
      <w:r>
        <w:rPr>
          <w:color w:val="2D3748"/>
          <w:lang w:eastAsia="zh-CN"/>
        </w:rPr>
        <w:t>误报漏报</w:t>
      </w:r>
      <w:r>
        <w:rPr>
          <w:color w:val="2D3748"/>
          <w:lang w:eastAsia="zh-CN"/>
        </w:rPr>
        <w:t xml:space="preserve">, </w:t>
      </w:r>
      <w:r>
        <w:rPr>
          <w:color w:val="2D3748"/>
          <w:lang w:eastAsia="zh-CN"/>
        </w:rPr>
        <w:t>硬件依赖</w:t>
      </w:r>
      <w:r>
        <w:rPr>
          <w:color w:val="2D3748"/>
          <w:lang w:eastAsia="zh-CN"/>
        </w:rPr>
        <w:t xml:space="preserve">, </w:t>
      </w:r>
      <w:r>
        <w:rPr>
          <w:color w:val="2D3748"/>
          <w:lang w:eastAsia="zh-CN"/>
        </w:rPr>
        <w:t>采购周期</w:t>
      </w:r>
    </w:p>
    <w:p w14:paraId="2176146A" w14:textId="77777777" w:rsidR="00735A9E" w:rsidRDefault="00000000">
      <w:pPr>
        <w:pStyle w:val="a0"/>
      </w:pPr>
      <w:r>
        <w:rPr>
          <w:color w:val="2D3748"/>
        </w:rPr>
        <w:t>关联图表：</w:t>
      </w:r>
      <w:r>
        <w:rPr>
          <w:color w:val="2D3748"/>
        </w:rPr>
        <w:t xml:space="preserve">8 </w:t>
      </w:r>
      <w:r>
        <w:rPr>
          <w:color w:val="2D3748"/>
        </w:rPr>
        <w:t>张</w:t>
      </w:r>
    </w:p>
    <w:p w14:paraId="49F9F2C9" w14:textId="77777777" w:rsidR="00735A9E" w:rsidRDefault="00000000">
      <w:r>
        <w:br w:type="page"/>
      </w:r>
    </w:p>
    <w:p w14:paraId="14E3DF6A" w14:textId="77777777" w:rsidR="00735A9E" w:rsidRDefault="00000000">
      <w:pPr>
        <w:spacing w:before="80" w:after="20"/>
        <w:ind w:firstLine="0"/>
      </w:pPr>
      <w:proofErr w:type="spellStart"/>
      <w:r>
        <w:rPr>
          <w:b/>
          <w:color w:val="64748B"/>
          <w:sz w:val="17"/>
        </w:rPr>
        <w:lastRenderedPageBreak/>
        <w:t>第十章</w:t>
      </w:r>
      <w:proofErr w:type="spellEnd"/>
      <w:r>
        <w:rPr>
          <w:b/>
          <w:color w:val="64748B"/>
          <w:sz w:val="17"/>
        </w:rPr>
        <w:t xml:space="preserve"> </w:t>
      </w:r>
      <w:proofErr w:type="spellStart"/>
      <w:r>
        <w:rPr>
          <w:b/>
          <w:color w:val="64748B"/>
          <w:sz w:val="17"/>
        </w:rPr>
        <w:t>风险应对</w:t>
      </w:r>
      <w:proofErr w:type="spellEnd"/>
    </w:p>
    <w:p w14:paraId="04FEA98C" w14:textId="77777777" w:rsidR="00735A9E" w:rsidRDefault="00000000">
      <w:pPr>
        <w:pStyle w:val="21"/>
      </w:pPr>
      <w:r>
        <w:rPr>
          <w:rFonts w:ascii="Times New Roman" w:eastAsia="仿宋" w:hAnsi="Times New Roman" w:cs="仿宋"/>
        </w:rPr>
        <w:t xml:space="preserve">10.1 </w:t>
      </w:r>
      <w:proofErr w:type="spellStart"/>
      <w:r>
        <w:rPr>
          <w:rFonts w:ascii="Times New Roman" w:eastAsia="仿宋" w:hAnsi="Times New Roman" w:cs="仿宋"/>
        </w:rPr>
        <w:t>政策边界风险</w:t>
      </w:r>
      <w:proofErr w:type="spellEnd"/>
    </w:p>
    <w:p w14:paraId="38BB10A3" w14:textId="71880A1D" w:rsidR="00735A9E" w:rsidRDefault="0012374B">
      <w:pPr>
        <w:rPr>
          <w:lang w:eastAsia="zh-CN"/>
        </w:rPr>
      </w:pPr>
      <w:r w:rsidRPr="0012374B">
        <w:rPr>
          <w:rFonts w:hint="eastAsia"/>
          <w:lang w:eastAsia="zh-CN"/>
        </w:rPr>
        <w:t>政策边界是低空领域项目最需要主动写清的外部约束。中国低空经济正处于政策快速演进的阶段——中央层面有《无人驾驶航空器飞行管理暂行条例》等法规，地方层面有各省市低空经济发展规划和试运行管理办法，行业层面有各类标准和规范在陆续出台。政策的快速演进既是机遇也是风险：一方面，政策完善为商业化落地提供了合法合规的框架；另一方面，政策变动可能导致已投入的开发工作需要调整，或已签合同的验收标准发生变化。</w:t>
      </w:r>
      <w:proofErr w:type="spellStart"/>
      <w:r w:rsidRPr="0012374B">
        <w:rPr>
          <w:rFonts w:hint="eastAsia"/>
          <w:lang w:eastAsia="zh-CN"/>
        </w:rPr>
        <w:t>SkyGuard</w:t>
      </w:r>
      <w:proofErr w:type="spellEnd"/>
      <w:r w:rsidRPr="0012374B">
        <w:rPr>
          <w:rFonts w:hint="eastAsia"/>
          <w:lang w:eastAsia="zh-CN"/>
        </w:rPr>
        <w:t>的政策边界风险应对，核心在于主动框定能力的法律属性——辅助而非替代，建议而非决定，预警而非处置</w:t>
      </w:r>
      <w:r w:rsidR="00000000">
        <w:rPr>
          <w:lang w:eastAsia="zh-CN"/>
        </w:rPr>
        <w:t>。</w:t>
      </w:r>
    </w:p>
    <w:p w14:paraId="7B7A2091" w14:textId="3D8D9D9F" w:rsidR="00735A9E" w:rsidRDefault="0012374B">
      <w:pPr>
        <w:rPr>
          <w:lang w:eastAsia="zh-CN"/>
        </w:rPr>
      </w:pPr>
      <w:proofErr w:type="spellStart"/>
      <w:r w:rsidRPr="0012374B">
        <w:rPr>
          <w:rFonts w:hint="eastAsia"/>
          <w:lang w:eastAsia="zh-CN"/>
        </w:rPr>
        <w:t>SkyGuard</w:t>
      </w:r>
      <w:proofErr w:type="spellEnd"/>
      <w:r w:rsidRPr="0012374B">
        <w:rPr>
          <w:rFonts w:hint="eastAsia"/>
          <w:lang w:eastAsia="zh-CN"/>
        </w:rPr>
        <w:t>的边界是辅助感知、风险预警、事件协同和报表复盘，不替代审批或执法，也不承诺干扰、捕获和打击能力。边界越清楚，客户沟通和合同验收越稳。在合同条款中，应明确将产品定位为“决策支持工具”而非“自动决策系统”，所有预警信息必须经过人工复核后方可作为处置依据，避免因产品建议与实际处置结果不符而产生法律纠纷</w:t>
      </w:r>
      <w:r w:rsidR="00000000">
        <w:rPr>
          <w:lang w:eastAsia="zh-CN"/>
        </w:rPr>
        <w:t>。</w:t>
      </w:r>
    </w:p>
    <w:p w14:paraId="17405556" w14:textId="77777777" w:rsidR="00735A9E" w:rsidRDefault="00000000">
      <w:pPr>
        <w:pStyle w:val="af7"/>
        <w:keepLines/>
        <w:spacing w:before="80" w:after="160"/>
        <w:rPr>
          <w:lang w:eastAsia="zh-CN"/>
        </w:rPr>
      </w:pPr>
      <w:r>
        <w:rPr>
          <w:noProof/>
        </w:rPr>
        <w:drawing>
          <wp:inline distT="0" distB="0" distL="0" distR="0" wp14:anchorId="4CA2384E" wp14:editId="0B93F3CA">
            <wp:extent cx="5374256" cy="310725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验收差距条形图.png"/>
                    <pic:cNvPicPr/>
                  </pic:nvPicPr>
                  <pic:blipFill>
                    <a:blip r:embed="rId24"/>
                    <a:stretch>
                      <a:fillRect/>
                    </a:stretch>
                  </pic:blipFill>
                  <pic:spPr>
                    <a:xfrm>
                      <a:off x="0" y="0"/>
                      <a:ext cx="5388239" cy="3115337"/>
                    </a:xfrm>
                    <a:prstGeom prst="rect">
                      <a:avLst/>
                    </a:prstGeom>
                  </pic:spPr>
                </pic:pic>
              </a:graphicData>
            </a:graphic>
          </wp:inline>
        </w:drawing>
      </w:r>
      <w:r>
        <w:rPr>
          <w:lang w:eastAsia="zh-CN"/>
        </w:rPr>
        <w:br/>
      </w:r>
      <w:r>
        <w:rPr>
          <w:lang w:eastAsia="zh-CN"/>
        </w:rPr>
        <w:t>图</w:t>
      </w:r>
      <w:r>
        <w:rPr>
          <w:lang w:eastAsia="zh-CN"/>
        </w:rPr>
        <w:t xml:space="preserve"> 131 Demo</w:t>
      </w:r>
      <w:r>
        <w:rPr>
          <w:lang w:eastAsia="zh-CN"/>
        </w:rPr>
        <w:t>验收差距条形图</w:t>
      </w:r>
      <w:r>
        <w:rPr>
          <w:lang w:eastAsia="zh-CN"/>
        </w:rPr>
        <w:t xml:space="preserve"> </w:t>
      </w:r>
      <w:r>
        <w:rPr>
          <w:lang w:eastAsia="zh-CN"/>
        </w:rPr>
        <w:t>资料来源：经营假设、平台演示样本与整理数据。要点：对照条形图能说明</w:t>
      </w:r>
      <w:r>
        <w:rPr>
          <w:lang w:eastAsia="zh-CN"/>
        </w:rPr>
        <w:t>Demo</w:t>
      </w:r>
      <w:r>
        <w:rPr>
          <w:lang w:eastAsia="zh-CN"/>
        </w:rPr>
        <w:t>当前完成度和下一步补强项。</w:t>
      </w:r>
    </w:p>
    <w:p w14:paraId="1A16850F" w14:textId="77777777" w:rsidR="00735A9E" w:rsidRDefault="00000000">
      <w:pPr>
        <w:rPr>
          <w:lang w:eastAsia="zh-CN"/>
        </w:rPr>
      </w:pPr>
      <w:r>
        <w:rPr>
          <w:lang w:eastAsia="zh-CN"/>
        </w:rPr>
        <w:t>Demo</w:t>
      </w:r>
      <w:r>
        <w:rPr>
          <w:lang w:eastAsia="zh-CN"/>
        </w:rPr>
        <w:t>验收差距条形图支持的风险判断是：对照条形图能说明</w:t>
      </w:r>
      <w:r>
        <w:rPr>
          <w:lang w:eastAsia="zh-CN"/>
        </w:rPr>
        <w:t>Demo</w:t>
      </w:r>
      <w:r>
        <w:rPr>
          <w:lang w:eastAsia="zh-CN"/>
        </w:rPr>
        <w:t>当前完成度和下一步补强项。资料口径来自经营假设、平台演示样本与整理数据。</w:t>
      </w:r>
    </w:p>
    <w:p w14:paraId="6CFB487E" w14:textId="77777777" w:rsidR="00735A9E" w:rsidRDefault="00000000">
      <w:pPr>
        <w:rPr>
          <w:lang w:eastAsia="zh-CN"/>
        </w:rPr>
      </w:pPr>
      <w:r>
        <w:rPr>
          <w:lang w:eastAsia="zh-CN"/>
        </w:rPr>
        <w:t>这个判断的价值在于把市场机会压到客户每天会处理的事务上。</w:t>
      </w:r>
      <w:r>
        <w:rPr>
          <w:lang w:eastAsia="zh-CN"/>
        </w:rPr>
        <w:t xml:space="preserve"> </w:t>
      </w:r>
      <w:r>
        <w:rPr>
          <w:lang w:eastAsia="zh-CN"/>
        </w:rPr>
        <w:t>风险应对要写出触发信号、影响范围和处理动作，不能只停留在风险清单。</w:t>
      </w:r>
    </w:p>
    <w:p w14:paraId="7F1904E1" w14:textId="77777777" w:rsidR="00735A9E" w:rsidRDefault="00000000">
      <w:pPr>
        <w:rPr>
          <w:lang w:eastAsia="zh-CN"/>
        </w:rPr>
      </w:pPr>
      <w:r>
        <w:rPr>
          <w:lang w:eastAsia="zh-CN"/>
        </w:rPr>
        <w:t>风险应对中的政策边界需要写出触发信号和处理动作。提前划清辅助监管、人工确认、数据合规和硬件伙伴边界，能让试点合同和演示口径更稳。</w:t>
      </w:r>
    </w:p>
    <w:p w14:paraId="7DDD165C" w14:textId="77777777" w:rsidR="00735A9E" w:rsidRDefault="00000000">
      <w:pPr>
        <w:pStyle w:val="a0"/>
        <w:rPr>
          <w:lang w:eastAsia="zh-CN"/>
        </w:rPr>
      </w:pPr>
      <w:r>
        <w:rPr>
          <w:color w:val="2D3748"/>
          <w:lang w:eastAsia="zh-CN"/>
        </w:rPr>
        <w:t>边界清楚：辅助监管，不替代审批或执法</w:t>
      </w:r>
    </w:p>
    <w:p w14:paraId="25AFB38C" w14:textId="77777777" w:rsidR="00735A9E" w:rsidRDefault="00000000">
      <w:pPr>
        <w:pStyle w:val="a0"/>
        <w:rPr>
          <w:lang w:eastAsia="zh-CN"/>
        </w:rPr>
      </w:pPr>
      <w:r>
        <w:rPr>
          <w:color w:val="2D3748"/>
          <w:lang w:eastAsia="zh-CN"/>
        </w:rPr>
        <w:t>依据：经营假设、平台演示样本与整理数据</w:t>
      </w:r>
    </w:p>
    <w:p w14:paraId="6087B988" w14:textId="77777777" w:rsidR="00735A9E" w:rsidRDefault="00000000">
      <w:pPr>
        <w:pStyle w:val="a0"/>
        <w:rPr>
          <w:lang w:eastAsia="zh-CN"/>
        </w:rPr>
      </w:pPr>
      <w:r>
        <w:rPr>
          <w:color w:val="2D3748"/>
          <w:lang w:eastAsia="zh-CN"/>
        </w:rPr>
        <w:t>处置重点：对照条形图能说明</w:t>
      </w:r>
      <w:r>
        <w:rPr>
          <w:color w:val="2D3748"/>
          <w:lang w:eastAsia="zh-CN"/>
        </w:rPr>
        <w:t>Demo</w:t>
      </w:r>
      <w:r>
        <w:rPr>
          <w:color w:val="2D3748"/>
          <w:lang w:eastAsia="zh-CN"/>
        </w:rPr>
        <w:t>当前完成度和下一步补强项。</w:t>
      </w:r>
    </w:p>
    <w:p w14:paraId="51E56EAC" w14:textId="77777777" w:rsidR="00735A9E" w:rsidRDefault="00000000">
      <w:pPr>
        <w:spacing w:before="80" w:after="20"/>
        <w:ind w:firstLine="0"/>
        <w:rPr>
          <w:lang w:eastAsia="zh-CN"/>
        </w:rPr>
      </w:pPr>
      <w:r>
        <w:rPr>
          <w:b/>
          <w:color w:val="64748B"/>
          <w:sz w:val="17"/>
          <w:lang w:eastAsia="zh-CN"/>
        </w:rPr>
        <w:lastRenderedPageBreak/>
        <w:t>第十章</w:t>
      </w:r>
      <w:r>
        <w:rPr>
          <w:b/>
          <w:color w:val="64748B"/>
          <w:sz w:val="17"/>
          <w:lang w:eastAsia="zh-CN"/>
        </w:rPr>
        <w:t xml:space="preserve"> </w:t>
      </w:r>
      <w:r>
        <w:rPr>
          <w:b/>
          <w:color w:val="64748B"/>
          <w:sz w:val="17"/>
          <w:lang w:eastAsia="zh-CN"/>
        </w:rPr>
        <w:t>风险应对</w:t>
      </w:r>
    </w:p>
    <w:p w14:paraId="69D39546" w14:textId="77777777" w:rsidR="00735A9E" w:rsidRDefault="00000000">
      <w:pPr>
        <w:pStyle w:val="21"/>
        <w:rPr>
          <w:lang w:eastAsia="zh-CN"/>
        </w:rPr>
      </w:pPr>
      <w:r>
        <w:rPr>
          <w:rFonts w:ascii="Times New Roman" w:eastAsia="仿宋" w:hAnsi="Times New Roman" w:cs="仿宋"/>
          <w:lang w:eastAsia="zh-CN"/>
        </w:rPr>
        <w:t xml:space="preserve">10.2 </w:t>
      </w:r>
      <w:r>
        <w:rPr>
          <w:rFonts w:ascii="Times New Roman" w:eastAsia="仿宋" w:hAnsi="Times New Roman" w:cs="仿宋"/>
          <w:lang w:eastAsia="zh-CN"/>
        </w:rPr>
        <w:t>数据合规风险</w:t>
      </w:r>
    </w:p>
    <w:p w14:paraId="751281A2" w14:textId="09936556" w:rsidR="00735A9E" w:rsidRDefault="0012374B">
      <w:pPr>
        <w:rPr>
          <w:lang w:eastAsia="zh-CN"/>
        </w:rPr>
      </w:pPr>
      <w:r w:rsidRPr="0012374B">
        <w:rPr>
          <w:rFonts w:hint="eastAsia"/>
          <w:lang w:eastAsia="zh-CN"/>
        </w:rPr>
        <w:t>数据合规是低空领域项目不可回避的法律底线。</w:t>
      </w:r>
      <w:proofErr w:type="spellStart"/>
      <w:r w:rsidRPr="0012374B">
        <w:rPr>
          <w:rFonts w:hint="eastAsia"/>
          <w:lang w:eastAsia="zh-CN"/>
        </w:rPr>
        <w:t>SkyGuard</w:t>
      </w:r>
      <w:proofErr w:type="spellEnd"/>
      <w:r w:rsidRPr="0012374B">
        <w:rPr>
          <w:rFonts w:hint="eastAsia"/>
          <w:lang w:eastAsia="zh-CN"/>
        </w:rPr>
        <w:t>的业务运行依赖于对飞行数据、空域数据、地理信息数据和视频流数据的采集、存储、处理和分析，这些数据中相当一部分可能涉及敏感信息——飞行轨迹可能暴露基础设施位置，视频流可能涉及人员面部信息，空域数据可能与国防安全相关。一旦数据合规出现问题，不仅面临罚款和法律诉讼的风险，更严重的是客户信任的彻底丧失——政府客户对数据安全的要求远高于商业客户，一次数据泄露或违规使用事件便可能导致所有政府项目被暂停</w:t>
      </w:r>
      <w:r w:rsidR="00000000">
        <w:rPr>
          <w:lang w:eastAsia="zh-CN"/>
        </w:rPr>
        <w:t>。</w:t>
      </w:r>
    </w:p>
    <w:p w14:paraId="62041092" w14:textId="222CB7FB" w:rsidR="00735A9E" w:rsidRDefault="0012374B">
      <w:pPr>
        <w:rPr>
          <w:lang w:eastAsia="zh-CN"/>
        </w:rPr>
      </w:pPr>
      <w:proofErr w:type="spellStart"/>
      <w:r w:rsidRPr="0012374B">
        <w:rPr>
          <w:rFonts w:hint="eastAsia"/>
          <w:lang w:eastAsia="zh-CN"/>
        </w:rPr>
        <w:t>SkyGuard</w:t>
      </w:r>
      <w:proofErr w:type="spellEnd"/>
      <w:r w:rsidRPr="0012374B">
        <w:rPr>
          <w:rFonts w:hint="eastAsia"/>
          <w:lang w:eastAsia="zh-CN"/>
        </w:rPr>
        <w:t>的边界是辅助感知、风险预警、事件协同和报表复盘，不替代审批或执法，也不承诺干扰、捕获和打击能力。边界越清楚，客户沟通和合同验收越稳。在数据合规方面，应从三个层面建立防护体系：制度层面（制定数据分类分级管理制度和操作规范）、技术层面（实施数据加密、脱敏和访问审计）、合同层面（与客户明确数据所有权、使用权和保管责任）</w:t>
      </w:r>
      <w:r w:rsidR="00000000">
        <w:rPr>
          <w:lang w:eastAsia="zh-CN"/>
        </w:rPr>
        <w:t>。</w:t>
      </w:r>
    </w:p>
    <w:p w14:paraId="50FCA075" w14:textId="77777777" w:rsidR="00735A9E" w:rsidRDefault="00000000">
      <w:pPr>
        <w:pStyle w:val="af7"/>
        <w:keepLines/>
        <w:spacing w:before="80" w:after="160"/>
        <w:rPr>
          <w:lang w:eastAsia="zh-CN"/>
        </w:rPr>
      </w:pPr>
      <w:r>
        <w:rPr>
          <w:noProof/>
        </w:rPr>
        <w:drawing>
          <wp:inline distT="0" distB="0" distL="0" distR="0" wp14:anchorId="4FD35723" wp14:editId="31CEE67F">
            <wp:extent cx="5408762" cy="3053662"/>
            <wp:effectExtent l="0" t="0" r="190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团队能力差距哑铃.png"/>
                    <pic:cNvPicPr/>
                  </pic:nvPicPr>
                  <pic:blipFill>
                    <a:blip r:embed="rId25"/>
                    <a:stretch>
                      <a:fillRect/>
                    </a:stretch>
                  </pic:blipFill>
                  <pic:spPr>
                    <a:xfrm>
                      <a:off x="0" y="0"/>
                      <a:ext cx="5428467" cy="3064787"/>
                    </a:xfrm>
                    <a:prstGeom prst="rect">
                      <a:avLst/>
                    </a:prstGeom>
                  </pic:spPr>
                </pic:pic>
              </a:graphicData>
            </a:graphic>
          </wp:inline>
        </w:drawing>
      </w:r>
      <w:r>
        <w:rPr>
          <w:lang w:eastAsia="zh-CN"/>
        </w:rPr>
        <w:br/>
      </w:r>
      <w:r>
        <w:rPr>
          <w:lang w:eastAsia="zh-CN"/>
        </w:rPr>
        <w:t>图</w:t>
      </w:r>
      <w:r>
        <w:rPr>
          <w:lang w:eastAsia="zh-CN"/>
        </w:rPr>
        <w:t xml:space="preserve"> 132 </w:t>
      </w:r>
      <w:r>
        <w:rPr>
          <w:lang w:eastAsia="zh-CN"/>
        </w:rPr>
        <w:t>团队能力差距哑铃</w:t>
      </w:r>
      <w:r>
        <w:rPr>
          <w:lang w:eastAsia="zh-CN"/>
        </w:rPr>
        <w:t xml:space="preserve"> </w:t>
      </w:r>
      <w:r>
        <w:rPr>
          <w:lang w:eastAsia="zh-CN"/>
        </w:rPr>
        <w:t>资料来源：经营假设、平台演示样本与整理数据。要点：能力差距哑铃图能把岗位补强写成具体能力差，而不是泛泛扩招。</w:t>
      </w:r>
    </w:p>
    <w:p w14:paraId="06A4862B" w14:textId="77777777" w:rsidR="00735A9E" w:rsidRDefault="00000000">
      <w:pPr>
        <w:rPr>
          <w:lang w:eastAsia="zh-CN"/>
        </w:rPr>
      </w:pPr>
      <w:r>
        <w:rPr>
          <w:lang w:eastAsia="zh-CN"/>
        </w:rPr>
        <w:t>团队能力差距哑铃支持的风险判断是：能力差距哑铃图能把岗位补强写成具体能力差，而不是泛泛扩招。资料口径来自经营假设、平台演示样本与整理数据。</w:t>
      </w:r>
    </w:p>
    <w:p w14:paraId="70BBD50B" w14:textId="672D587F" w:rsidR="00735A9E" w:rsidRDefault="0012374B">
      <w:pPr>
        <w:rPr>
          <w:lang w:eastAsia="zh-CN"/>
        </w:rPr>
      </w:pPr>
      <w:r w:rsidRPr="0012374B">
        <w:rPr>
          <w:lang w:eastAsia="zh-CN"/>
        </w:rPr>
        <w:t>它将外部市场资料、产品迭代动作和交付能力边界连接在一起，便于后续试点过程中逐项核验</w:t>
      </w:r>
      <w:r w:rsidRPr="0012374B">
        <w:rPr>
          <w:lang w:eastAsia="zh-CN"/>
        </w:rPr>
        <w:t>——</w:t>
      </w:r>
      <w:r w:rsidRPr="0012374B">
        <w:rPr>
          <w:lang w:eastAsia="zh-CN"/>
        </w:rPr>
        <w:t>数据合规不仅仅是法务部门的事，它需要产品部门在功能设计中嵌入隐私保护机制（如数据最小化采集、匿名化处理），需要技术部门在系统架构中部署安全防护措施（如加密存储、访问控制），需要交付部门在项目实施中执行合规操作流程（如数据使用授权、留存期限管理）。风险应对要写出触发信号、影响范围和处理动作，不能只停留在风险清单</w:t>
      </w:r>
      <w:r w:rsidR="00000000">
        <w:rPr>
          <w:lang w:eastAsia="zh-CN"/>
        </w:rPr>
        <w:t>。</w:t>
      </w:r>
    </w:p>
    <w:p w14:paraId="70E8F464" w14:textId="77777777" w:rsidR="00735A9E" w:rsidRDefault="00000000">
      <w:pPr>
        <w:rPr>
          <w:lang w:eastAsia="zh-CN"/>
        </w:rPr>
      </w:pPr>
      <w:r>
        <w:rPr>
          <w:lang w:eastAsia="zh-CN"/>
        </w:rPr>
        <w:t>风险应对中的数据合规需要写出触发信号和处理动作。提前划清辅助监管、人工确认、数据合规和硬件伙伴边界，能让试点合同和演示口径更稳。</w:t>
      </w:r>
    </w:p>
    <w:p w14:paraId="33F481A9" w14:textId="77777777" w:rsidR="00735A9E" w:rsidRDefault="00000000">
      <w:pPr>
        <w:pStyle w:val="a0"/>
        <w:rPr>
          <w:lang w:eastAsia="zh-CN"/>
        </w:rPr>
      </w:pPr>
      <w:r>
        <w:rPr>
          <w:color w:val="2D3748"/>
          <w:lang w:eastAsia="zh-CN"/>
        </w:rPr>
        <w:lastRenderedPageBreak/>
        <w:t>边界清楚：辅助监管，不替代审批或执法</w:t>
      </w:r>
    </w:p>
    <w:p w14:paraId="461F086F" w14:textId="77777777" w:rsidR="00735A9E" w:rsidRDefault="00000000">
      <w:pPr>
        <w:pStyle w:val="a0"/>
        <w:rPr>
          <w:lang w:eastAsia="zh-CN"/>
        </w:rPr>
      </w:pPr>
      <w:r>
        <w:rPr>
          <w:color w:val="2D3748"/>
          <w:lang w:eastAsia="zh-CN"/>
        </w:rPr>
        <w:t>依据：经营假设、平台演示样本与整理数据</w:t>
      </w:r>
    </w:p>
    <w:p w14:paraId="2F937493" w14:textId="77777777" w:rsidR="00735A9E" w:rsidRDefault="00000000">
      <w:pPr>
        <w:pStyle w:val="a0"/>
        <w:rPr>
          <w:lang w:eastAsia="zh-CN"/>
        </w:rPr>
      </w:pPr>
      <w:r>
        <w:rPr>
          <w:color w:val="2D3748"/>
          <w:lang w:eastAsia="zh-CN"/>
        </w:rPr>
        <w:t>处置重点：能力差距哑铃图能把岗位补强写成具体能力差，而不是泛泛扩招。</w:t>
      </w:r>
    </w:p>
    <w:p w14:paraId="46EBF49B" w14:textId="77777777" w:rsidR="00735A9E" w:rsidRDefault="00000000">
      <w:pPr>
        <w:spacing w:before="80" w:after="20"/>
        <w:ind w:firstLine="0"/>
        <w:rPr>
          <w:lang w:eastAsia="zh-CN"/>
        </w:rPr>
      </w:pPr>
      <w:r>
        <w:rPr>
          <w:b/>
          <w:color w:val="64748B"/>
          <w:sz w:val="17"/>
          <w:lang w:eastAsia="zh-CN"/>
        </w:rPr>
        <w:t>第十章</w:t>
      </w:r>
      <w:r>
        <w:rPr>
          <w:b/>
          <w:color w:val="64748B"/>
          <w:sz w:val="17"/>
          <w:lang w:eastAsia="zh-CN"/>
        </w:rPr>
        <w:t xml:space="preserve"> </w:t>
      </w:r>
      <w:r>
        <w:rPr>
          <w:b/>
          <w:color w:val="64748B"/>
          <w:sz w:val="17"/>
          <w:lang w:eastAsia="zh-CN"/>
        </w:rPr>
        <w:t>风险应对</w:t>
      </w:r>
    </w:p>
    <w:p w14:paraId="6513C9E7" w14:textId="77777777" w:rsidR="00735A9E" w:rsidRDefault="00000000">
      <w:pPr>
        <w:pStyle w:val="21"/>
        <w:rPr>
          <w:lang w:eastAsia="zh-CN"/>
        </w:rPr>
      </w:pPr>
      <w:r>
        <w:rPr>
          <w:rFonts w:ascii="Times New Roman" w:eastAsia="仿宋" w:hAnsi="Times New Roman" w:cs="仿宋"/>
          <w:lang w:eastAsia="zh-CN"/>
        </w:rPr>
        <w:t xml:space="preserve">10.3 </w:t>
      </w:r>
      <w:r>
        <w:rPr>
          <w:rFonts w:ascii="Times New Roman" w:eastAsia="仿宋" w:hAnsi="Times New Roman" w:cs="仿宋"/>
          <w:lang w:eastAsia="zh-CN"/>
        </w:rPr>
        <w:t>误报漏报风险</w:t>
      </w:r>
    </w:p>
    <w:p w14:paraId="43359CD4" w14:textId="04A0AC8E" w:rsidR="00735A9E" w:rsidRDefault="0012374B">
      <w:pPr>
        <w:rPr>
          <w:lang w:eastAsia="zh-CN"/>
        </w:rPr>
      </w:pPr>
      <w:r w:rsidRPr="0012374B">
        <w:rPr>
          <w:lang w:eastAsia="zh-CN"/>
        </w:rPr>
        <w:t>误报漏报是低空预警类产品最核心的技术风险。</w:t>
      </w:r>
      <w:proofErr w:type="spellStart"/>
      <w:r w:rsidRPr="0012374B">
        <w:rPr>
          <w:lang w:eastAsia="zh-CN"/>
        </w:rPr>
        <w:t>SkyGuard</w:t>
      </w:r>
      <w:proofErr w:type="spellEnd"/>
      <w:r w:rsidRPr="0012374B">
        <w:rPr>
          <w:lang w:eastAsia="zh-CN"/>
        </w:rPr>
        <w:t>的核心价值在于提供准确、及时的风险预警</w:t>
      </w:r>
      <w:r w:rsidRPr="0012374B">
        <w:rPr>
          <w:lang w:eastAsia="zh-CN"/>
        </w:rPr>
        <w:t>——</w:t>
      </w:r>
      <w:r w:rsidRPr="0012374B">
        <w:rPr>
          <w:lang w:eastAsia="zh-CN"/>
        </w:rPr>
        <w:t>如果误报率过高，客户将逐渐丧失对产品的信任，最终弃用系统；如果漏报率过高，客户将面临真实风险未被及时发现的安全隐患，一旦发生事故，产品可能承担法律责任。误报和漏报之间存在天然的制衡关系</w:t>
      </w:r>
      <w:r w:rsidRPr="0012374B">
        <w:rPr>
          <w:lang w:eastAsia="zh-CN"/>
        </w:rPr>
        <w:t>——</w:t>
      </w:r>
      <w:r w:rsidRPr="0012374B">
        <w:rPr>
          <w:lang w:eastAsia="zh-CN"/>
        </w:rPr>
        <w:t>降低漏报率通常会推高误报率，反之亦然。</w:t>
      </w:r>
      <w:proofErr w:type="spellStart"/>
      <w:r w:rsidRPr="0012374B">
        <w:rPr>
          <w:lang w:eastAsia="zh-CN"/>
        </w:rPr>
        <w:t>SkyGuard</w:t>
      </w:r>
      <w:proofErr w:type="spellEnd"/>
      <w:r w:rsidRPr="0012374B">
        <w:rPr>
          <w:lang w:eastAsia="zh-CN"/>
        </w:rPr>
        <w:t>需要在两者之间找到适合客户场景的平衡点，并在不同场景中设置不同的阈值偏好（如重大活动保障场景中宁可误报也不可漏报，日常巡检场景中则需严格控制误报率以减少人工复核负担）</w:t>
      </w:r>
      <w:r w:rsidR="00000000">
        <w:rPr>
          <w:lang w:eastAsia="zh-CN"/>
        </w:rPr>
        <w:t>。</w:t>
      </w:r>
    </w:p>
    <w:p w14:paraId="7ACE38CB" w14:textId="39DEB8B1" w:rsidR="00735A9E" w:rsidRDefault="0012374B">
      <w:pPr>
        <w:rPr>
          <w:lang w:eastAsia="zh-CN"/>
        </w:rPr>
      </w:pPr>
      <w:proofErr w:type="spellStart"/>
      <w:r w:rsidRPr="0012374B">
        <w:rPr>
          <w:lang w:eastAsia="zh-CN"/>
        </w:rPr>
        <w:t>SkyGuard</w:t>
      </w:r>
      <w:proofErr w:type="spellEnd"/>
      <w:r w:rsidRPr="0012374B">
        <w:rPr>
          <w:lang w:eastAsia="zh-CN"/>
        </w:rPr>
        <w:t>的边界是辅助感知、风险预警、事件协同和报表复盘，不替代审批或执法，也不承诺干扰、捕获和打击能力。边界越清楚，客户沟通和合同验收越稳。在误报漏报风险的应对上，应建立分级预警机制（高风险事件触发人工复核流程、低风险事件仅记录不推送）、引入人机协同的闭环验证（每次预警反馈都用于优化模型）、以及定期复盘会议（每季度审查误报漏报统计数据，调整阈值参数）</w:t>
      </w:r>
      <w:r w:rsidR="00000000">
        <w:rPr>
          <w:lang w:eastAsia="zh-CN"/>
        </w:rPr>
        <w:t>。</w:t>
      </w:r>
    </w:p>
    <w:p w14:paraId="5465C466" w14:textId="77777777" w:rsidR="00735A9E" w:rsidRDefault="00000000">
      <w:pPr>
        <w:pStyle w:val="af7"/>
        <w:keepLines/>
        <w:spacing w:before="80" w:after="160"/>
        <w:rPr>
          <w:lang w:eastAsia="zh-CN"/>
        </w:rPr>
      </w:pPr>
      <w:r>
        <w:rPr>
          <w:noProof/>
        </w:rPr>
        <w:drawing>
          <wp:inline distT="0" distB="0" distL="0" distR="0" wp14:anchorId="3F2F8C15" wp14:editId="0FC5A537">
            <wp:extent cx="5546785" cy="320700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因素贡献发散条.png"/>
                    <pic:cNvPicPr/>
                  </pic:nvPicPr>
                  <pic:blipFill>
                    <a:blip r:embed="rId26"/>
                    <a:stretch>
                      <a:fillRect/>
                    </a:stretch>
                  </pic:blipFill>
                  <pic:spPr>
                    <a:xfrm>
                      <a:off x="0" y="0"/>
                      <a:ext cx="5561130" cy="3215298"/>
                    </a:xfrm>
                    <a:prstGeom prst="rect">
                      <a:avLst/>
                    </a:prstGeom>
                  </pic:spPr>
                </pic:pic>
              </a:graphicData>
            </a:graphic>
          </wp:inline>
        </w:drawing>
      </w:r>
      <w:r>
        <w:rPr>
          <w:lang w:eastAsia="zh-CN"/>
        </w:rPr>
        <w:br/>
      </w:r>
      <w:r>
        <w:rPr>
          <w:lang w:eastAsia="zh-CN"/>
        </w:rPr>
        <w:t>图</w:t>
      </w:r>
      <w:r>
        <w:rPr>
          <w:lang w:eastAsia="zh-CN"/>
        </w:rPr>
        <w:t xml:space="preserve"> 133 </w:t>
      </w:r>
      <w:r>
        <w:rPr>
          <w:lang w:eastAsia="zh-CN"/>
        </w:rPr>
        <w:t>风险因素贡献发散条</w:t>
      </w:r>
      <w:r>
        <w:rPr>
          <w:lang w:eastAsia="zh-CN"/>
        </w:rPr>
        <w:t xml:space="preserve"> </w:t>
      </w:r>
      <w:r>
        <w:rPr>
          <w:lang w:eastAsia="zh-CN"/>
        </w:rPr>
        <w:t>资料来源：经营假设、平台演示样本与整理数据。要点：发散条形图能把风险与正向缓释因素放在同一尺度中。</w:t>
      </w:r>
    </w:p>
    <w:p w14:paraId="5F2C523F" w14:textId="77777777" w:rsidR="00735A9E" w:rsidRDefault="00000000">
      <w:pPr>
        <w:rPr>
          <w:lang w:eastAsia="zh-CN"/>
        </w:rPr>
      </w:pPr>
      <w:r>
        <w:rPr>
          <w:lang w:eastAsia="zh-CN"/>
        </w:rPr>
        <w:t xml:space="preserve">10.3 </w:t>
      </w:r>
      <w:r>
        <w:rPr>
          <w:lang w:eastAsia="zh-CN"/>
        </w:rPr>
        <w:t>误报漏报风险支持的风险判断是：小倍数折线图能说明</w:t>
      </w:r>
      <w:r>
        <w:rPr>
          <w:lang w:eastAsia="zh-CN"/>
        </w:rPr>
        <w:t xml:space="preserve"> Web Demo </w:t>
      </w:r>
      <w:r>
        <w:rPr>
          <w:lang w:eastAsia="zh-CN"/>
        </w:rPr>
        <w:t>不是静态展示，而是逐步接近试点部署的产品。资料口径来自经营假设、平台演示样本与整理数据。</w:t>
      </w:r>
    </w:p>
    <w:p w14:paraId="425C28E2" w14:textId="77777777" w:rsidR="00735A9E" w:rsidRDefault="00000000">
      <w:pPr>
        <w:rPr>
          <w:lang w:eastAsia="zh-CN"/>
        </w:rPr>
      </w:pPr>
      <w:r>
        <w:rPr>
          <w:lang w:eastAsia="zh-CN"/>
        </w:rPr>
        <w:t>如果只看单个指标，容易把机会写成赛道热度；放回工作流，才能看到可收费的服务。</w:t>
      </w:r>
      <w:r>
        <w:rPr>
          <w:lang w:eastAsia="zh-CN"/>
        </w:rPr>
        <w:t xml:space="preserve"> </w:t>
      </w:r>
      <w:r>
        <w:rPr>
          <w:lang w:eastAsia="zh-CN"/>
        </w:rPr>
        <w:t>风险应对要写出触发信号、影响范围和处理动作，不能只停留在风险清单。</w:t>
      </w:r>
    </w:p>
    <w:p w14:paraId="64993274" w14:textId="77777777" w:rsidR="00735A9E" w:rsidRDefault="00000000">
      <w:pPr>
        <w:rPr>
          <w:lang w:eastAsia="zh-CN"/>
        </w:rPr>
      </w:pPr>
      <w:r>
        <w:rPr>
          <w:lang w:eastAsia="zh-CN"/>
        </w:rPr>
        <w:lastRenderedPageBreak/>
        <w:t>风险应对中的误报漏报需要写出触发信号和处理动作。提前划清辅助监管、人工确认、数据合规和硬件伙伴边界，能让试点合同和演示口径更稳。</w:t>
      </w:r>
    </w:p>
    <w:p w14:paraId="64316980" w14:textId="77777777" w:rsidR="00735A9E" w:rsidRDefault="00000000">
      <w:pPr>
        <w:pStyle w:val="a0"/>
        <w:rPr>
          <w:lang w:eastAsia="zh-CN"/>
        </w:rPr>
      </w:pPr>
      <w:r>
        <w:rPr>
          <w:color w:val="2D3748"/>
          <w:lang w:eastAsia="zh-CN"/>
        </w:rPr>
        <w:t>边界清楚：辅助监管，不替代审批或执法</w:t>
      </w:r>
    </w:p>
    <w:p w14:paraId="56A939C7" w14:textId="77777777" w:rsidR="00735A9E" w:rsidRDefault="00000000">
      <w:pPr>
        <w:pStyle w:val="a0"/>
        <w:rPr>
          <w:lang w:eastAsia="zh-CN"/>
        </w:rPr>
      </w:pPr>
      <w:r>
        <w:rPr>
          <w:color w:val="2D3748"/>
          <w:lang w:eastAsia="zh-CN"/>
        </w:rPr>
        <w:t>依据：经营假设、平台演示样本与整理数据</w:t>
      </w:r>
    </w:p>
    <w:p w14:paraId="351A5ECF" w14:textId="77777777" w:rsidR="00735A9E" w:rsidRDefault="00000000">
      <w:pPr>
        <w:pStyle w:val="a0"/>
        <w:rPr>
          <w:lang w:eastAsia="zh-CN"/>
        </w:rPr>
      </w:pPr>
      <w:r>
        <w:rPr>
          <w:color w:val="2D3748"/>
          <w:lang w:eastAsia="zh-CN"/>
        </w:rPr>
        <w:t>处置重点：小倍数折线图能说明</w:t>
      </w:r>
      <w:r>
        <w:rPr>
          <w:color w:val="2D3748"/>
          <w:lang w:eastAsia="zh-CN"/>
        </w:rPr>
        <w:t xml:space="preserve"> Web Demo </w:t>
      </w:r>
      <w:r>
        <w:rPr>
          <w:color w:val="2D3748"/>
          <w:lang w:eastAsia="zh-CN"/>
        </w:rPr>
        <w:t>不是静态展示，而是逐步接近试点部署的产品。</w:t>
      </w:r>
    </w:p>
    <w:p w14:paraId="4FB40B08" w14:textId="77777777" w:rsidR="00735A9E" w:rsidRDefault="00000000">
      <w:pPr>
        <w:spacing w:before="80" w:after="20"/>
        <w:ind w:firstLine="0"/>
        <w:rPr>
          <w:lang w:eastAsia="zh-CN"/>
        </w:rPr>
      </w:pPr>
      <w:r>
        <w:rPr>
          <w:b/>
          <w:color w:val="64748B"/>
          <w:sz w:val="17"/>
          <w:lang w:eastAsia="zh-CN"/>
        </w:rPr>
        <w:t>第十章</w:t>
      </w:r>
      <w:r>
        <w:rPr>
          <w:b/>
          <w:color w:val="64748B"/>
          <w:sz w:val="17"/>
          <w:lang w:eastAsia="zh-CN"/>
        </w:rPr>
        <w:t xml:space="preserve"> </w:t>
      </w:r>
      <w:r>
        <w:rPr>
          <w:b/>
          <w:color w:val="64748B"/>
          <w:sz w:val="17"/>
          <w:lang w:eastAsia="zh-CN"/>
        </w:rPr>
        <w:t>风险应对</w:t>
      </w:r>
    </w:p>
    <w:p w14:paraId="491817F5" w14:textId="77777777" w:rsidR="00735A9E" w:rsidRDefault="00000000">
      <w:pPr>
        <w:pStyle w:val="21"/>
        <w:rPr>
          <w:lang w:eastAsia="zh-CN"/>
        </w:rPr>
      </w:pPr>
      <w:r>
        <w:rPr>
          <w:rFonts w:ascii="Times New Roman" w:eastAsia="仿宋" w:hAnsi="Times New Roman" w:cs="仿宋"/>
          <w:lang w:eastAsia="zh-CN"/>
        </w:rPr>
        <w:t xml:space="preserve">10.4 </w:t>
      </w:r>
      <w:r>
        <w:rPr>
          <w:rFonts w:ascii="Times New Roman" w:eastAsia="仿宋" w:hAnsi="Times New Roman" w:cs="仿宋"/>
          <w:lang w:eastAsia="zh-CN"/>
        </w:rPr>
        <w:t>硬件依赖风险</w:t>
      </w:r>
    </w:p>
    <w:p w14:paraId="3C5BFAFB" w14:textId="4DDA4682" w:rsidR="00735A9E" w:rsidRDefault="0012374B">
      <w:pPr>
        <w:rPr>
          <w:lang w:eastAsia="zh-CN"/>
        </w:rPr>
      </w:pPr>
      <w:r w:rsidRPr="0012374B">
        <w:rPr>
          <w:lang w:eastAsia="zh-CN"/>
        </w:rPr>
        <w:t>硬件依赖是</w:t>
      </w:r>
      <w:r w:rsidRPr="0012374B">
        <w:rPr>
          <w:lang w:eastAsia="zh-CN"/>
        </w:rPr>
        <w:t>SaaS</w:t>
      </w:r>
      <w:r w:rsidRPr="0012374B">
        <w:rPr>
          <w:lang w:eastAsia="zh-CN"/>
        </w:rPr>
        <w:t>平台型项目中最容易被低估的风险之一。许多</w:t>
      </w:r>
      <w:r w:rsidRPr="0012374B">
        <w:rPr>
          <w:lang w:eastAsia="zh-CN"/>
        </w:rPr>
        <w:t>SaaS</w:t>
      </w:r>
      <w:r w:rsidRPr="0012374B">
        <w:rPr>
          <w:lang w:eastAsia="zh-CN"/>
        </w:rPr>
        <w:t>项目天然假设硬件环境已经存在或可以快速部署，但在低空领域这一假设往往不成立</w:t>
      </w:r>
      <w:r w:rsidRPr="0012374B">
        <w:rPr>
          <w:lang w:eastAsia="zh-CN"/>
        </w:rPr>
        <w:t>——</w:t>
      </w:r>
      <w:r w:rsidRPr="0012374B">
        <w:rPr>
          <w:lang w:eastAsia="zh-CN"/>
        </w:rPr>
        <w:t>客户可能尚未部署必要的感知硬件（如雷达、光电、无线电监测设备），或已部署的硬件型号老旧、数据格式不兼容，或不同厂商的硬件之间缺乏统一的数据接口标准。</w:t>
      </w:r>
      <w:proofErr w:type="spellStart"/>
      <w:r w:rsidRPr="0012374B">
        <w:rPr>
          <w:lang w:eastAsia="zh-CN"/>
        </w:rPr>
        <w:t>SkyGuard</w:t>
      </w:r>
      <w:proofErr w:type="spellEnd"/>
      <w:r w:rsidRPr="0012374B">
        <w:rPr>
          <w:lang w:eastAsia="zh-CN"/>
        </w:rPr>
        <w:t>作为软件平台，其预警能力高度依赖于底层硬件数据的质量和实时性</w:t>
      </w:r>
      <w:r w:rsidRPr="0012374B">
        <w:rPr>
          <w:lang w:eastAsia="zh-CN"/>
        </w:rPr>
        <w:t>——</w:t>
      </w:r>
      <w:r w:rsidRPr="0012374B">
        <w:rPr>
          <w:lang w:eastAsia="zh-CN"/>
        </w:rPr>
        <w:t>如果硬件数据缺失或延迟，平台便如同</w:t>
      </w:r>
      <w:r w:rsidRPr="0012374B">
        <w:rPr>
          <w:lang w:eastAsia="zh-CN"/>
        </w:rPr>
        <w:t>“</w:t>
      </w:r>
      <w:r w:rsidRPr="0012374B">
        <w:rPr>
          <w:lang w:eastAsia="zh-CN"/>
        </w:rPr>
        <w:t>巧妇难为无米之炊</w:t>
      </w:r>
      <w:r w:rsidRPr="0012374B">
        <w:rPr>
          <w:lang w:eastAsia="zh-CN"/>
        </w:rPr>
        <w:t>”</w:t>
      </w:r>
      <w:r w:rsidR="00000000">
        <w:rPr>
          <w:lang w:eastAsia="zh-CN"/>
        </w:rPr>
        <w:t>。</w:t>
      </w:r>
    </w:p>
    <w:p w14:paraId="2FB83505" w14:textId="6066BD0C" w:rsidR="00735A9E" w:rsidRDefault="0012374B">
      <w:pPr>
        <w:rPr>
          <w:lang w:eastAsia="zh-CN"/>
        </w:rPr>
      </w:pPr>
      <w:proofErr w:type="spellStart"/>
      <w:r w:rsidRPr="0012374B">
        <w:rPr>
          <w:lang w:eastAsia="zh-CN"/>
        </w:rPr>
        <w:t>SkyGuard</w:t>
      </w:r>
      <w:proofErr w:type="spellEnd"/>
      <w:r w:rsidRPr="0012374B">
        <w:rPr>
          <w:lang w:eastAsia="zh-CN"/>
        </w:rPr>
        <w:t>的边界是辅助感知、风险预警、事件协同和报表复盘，不替代审批或执法，也不承诺干扰、捕获和打击能力。边界越清楚，客户沟通和合同验收越稳。在硬件依赖风险的应对上，应采取三方面策略：一是提前与主流硬件厂商建立技术对接，确保平台能够兼容市面上大多数常用设备；二是在项目合同中明确硬件责任归属</w:t>
      </w:r>
      <w:r w:rsidRPr="0012374B">
        <w:rPr>
          <w:lang w:eastAsia="zh-CN"/>
        </w:rPr>
        <w:t>——</w:t>
      </w:r>
      <w:r w:rsidRPr="0012374B">
        <w:rPr>
          <w:lang w:eastAsia="zh-CN"/>
        </w:rPr>
        <w:t>客户需确保提供符合要求的硬件数据接口，若因硬件问题导致平台无法正常运行，不应视为</w:t>
      </w:r>
      <w:proofErr w:type="spellStart"/>
      <w:r w:rsidRPr="0012374B">
        <w:rPr>
          <w:lang w:eastAsia="zh-CN"/>
        </w:rPr>
        <w:t>SkyGuard</w:t>
      </w:r>
      <w:proofErr w:type="spellEnd"/>
      <w:r w:rsidRPr="0012374B">
        <w:rPr>
          <w:lang w:eastAsia="zh-CN"/>
        </w:rPr>
        <w:t>违约；三是建立硬件适配的标准化流程，降低每个新项目的硬件对接成本</w:t>
      </w:r>
      <w:r w:rsidR="00000000">
        <w:rPr>
          <w:lang w:eastAsia="zh-CN"/>
        </w:rPr>
        <w:t>。</w:t>
      </w:r>
    </w:p>
    <w:p w14:paraId="48D6BF62" w14:textId="77777777" w:rsidR="00735A9E" w:rsidRDefault="00000000">
      <w:pPr>
        <w:pStyle w:val="af7"/>
        <w:keepLines/>
        <w:spacing w:before="80" w:after="160"/>
        <w:rPr>
          <w:lang w:eastAsia="zh-CN"/>
        </w:rPr>
      </w:pPr>
      <w:r>
        <w:rPr>
          <w:noProof/>
        </w:rPr>
        <w:drawing>
          <wp:inline distT="0" distB="0" distL="0" distR="0" wp14:anchorId="7BD24CBE" wp14:editId="3AA7EED0">
            <wp:extent cx="5481112" cy="3016981"/>
            <wp:effectExtent l="0" t="0" r="571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emo演示泳道.png"/>
                    <pic:cNvPicPr/>
                  </pic:nvPicPr>
                  <pic:blipFill>
                    <a:blip r:embed="rId27"/>
                    <a:stretch>
                      <a:fillRect/>
                    </a:stretch>
                  </pic:blipFill>
                  <pic:spPr>
                    <a:xfrm>
                      <a:off x="0" y="0"/>
                      <a:ext cx="5503691" cy="3029409"/>
                    </a:xfrm>
                    <a:prstGeom prst="rect">
                      <a:avLst/>
                    </a:prstGeom>
                  </pic:spPr>
                </pic:pic>
              </a:graphicData>
            </a:graphic>
          </wp:inline>
        </w:drawing>
      </w:r>
      <w:r>
        <w:rPr>
          <w:lang w:eastAsia="zh-CN"/>
        </w:rPr>
        <w:br/>
      </w:r>
      <w:r>
        <w:rPr>
          <w:lang w:eastAsia="zh-CN"/>
        </w:rPr>
        <w:t>图</w:t>
      </w:r>
      <w:r>
        <w:rPr>
          <w:lang w:eastAsia="zh-CN"/>
        </w:rPr>
        <w:t xml:space="preserve"> 134 </w:t>
      </w:r>
      <w:proofErr w:type="spellStart"/>
      <w:r>
        <w:rPr>
          <w:lang w:eastAsia="zh-CN"/>
        </w:rPr>
        <w:t>WebDemo</w:t>
      </w:r>
      <w:proofErr w:type="spellEnd"/>
      <w:r>
        <w:rPr>
          <w:lang w:eastAsia="zh-CN"/>
        </w:rPr>
        <w:t>演示泳道</w:t>
      </w:r>
      <w:r>
        <w:rPr>
          <w:lang w:eastAsia="zh-CN"/>
        </w:rPr>
        <w:t xml:space="preserve"> </w:t>
      </w:r>
      <w:r>
        <w:rPr>
          <w:lang w:eastAsia="zh-CN"/>
        </w:rPr>
        <w:t>资料来源：经营假设、平台演示样本与整理数据。要点：泳道图能把脚本入口、态势判断、计划核验、现场处置和报表归档连接成一条演示路径。</w:t>
      </w:r>
    </w:p>
    <w:p w14:paraId="7178DFC6" w14:textId="77777777" w:rsidR="00735A9E" w:rsidRDefault="00000000">
      <w:pPr>
        <w:rPr>
          <w:lang w:eastAsia="zh-CN"/>
        </w:rPr>
      </w:pPr>
      <w:proofErr w:type="spellStart"/>
      <w:r>
        <w:rPr>
          <w:lang w:eastAsia="zh-CN"/>
        </w:rPr>
        <w:t>WebDemo</w:t>
      </w:r>
      <w:proofErr w:type="spellEnd"/>
      <w:r>
        <w:rPr>
          <w:lang w:eastAsia="zh-CN"/>
        </w:rPr>
        <w:t>演示泳道支持的风险判断是：泳道图能把脚本入口、态势判断、计划核验、现场处置和报表归档连接成一条演示路径。资料口径来自经营假设、平台演示样本与整理数据。</w:t>
      </w:r>
    </w:p>
    <w:p w14:paraId="452DB294" w14:textId="77777777" w:rsidR="00735A9E" w:rsidRDefault="00000000">
      <w:pPr>
        <w:rPr>
          <w:lang w:eastAsia="zh-CN"/>
        </w:rPr>
      </w:pPr>
      <w:r>
        <w:rPr>
          <w:lang w:eastAsia="zh-CN"/>
        </w:rPr>
        <w:lastRenderedPageBreak/>
        <w:t>早期样板应优先选择责任主体清楚、边界稳定、记录可追溯的区域。</w:t>
      </w:r>
      <w:r>
        <w:rPr>
          <w:lang w:eastAsia="zh-CN"/>
        </w:rPr>
        <w:t xml:space="preserve"> </w:t>
      </w:r>
      <w:r>
        <w:rPr>
          <w:lang w:eastAsia="zh-CN"/>
        </w:rPr>
        <w:t>风险应对要写出触发信号、影响范围和处理动作，不能只停留在风险清单。</w:t>
      </w:r>
    </w:p>
    <w:p w14:paraId="0528B727" w14:textId="77777777" w:rsidR="00735A9E" w:rsidRDefault="00000000">
      <w:pPr>
        <w:rPr>
          <w:lang w:eastAsia="zh-CN"/>
        </w:rPr>
      </w:pPr>
      <w:r>
        <w:rPr>
          <w:lang w:eastAsia="zh-CN"/>
        </w:rPr>
        <w:t>风险应对中的硬件依赖需要写出触发信号和处理动作。提前划清辅助监管、人工确认、数据合规和硬件伙伴边界，能让试点合同和演示口径更稳。</w:t>
      </w:r>
    </w:p>
    <w:p w14:paraId="06070F6A" w14:textId="77777777" w:rsidR="00735A9E" w:rsidRDefault="00000000">
      <w:pPr>
        <w:pStyle w:val="a0"/>
        <w:rPr>
          <w:lang w:eastAsia="zh-CN"/>
        </w:rPr>
      </w:pPr>
      <w:r>
        <w:rPr>
          <w:color w:val="2D3748"/>
          <w:lang w:eastAsia="zh-CN"/>
        </w:rPr>
        <w:t>边界清楚：辅助监管，不替代审批或执法</w:t>
      </w:r>
    </w:p>
    <w:p w14:paraId="57E70A7B" w14:textId="77777777" w:rsidR="00735A9E" w:rsidRDefault="00000000">
      <w:pPr>
        <w:pStyle w:val="a0"/>
        <w:rPr>
          <w:lang w:eastAsia="zh-CN"/>
        </w:rPr>
      </w:pPr>
      <w:r>
        <w:rPr>
          <w:color w:val="2D3748"/>
          <w:lang w:eastAsia="zh-CN"/>
        </w:rPr>
        <w:t>依据：经营假设、平台演示样本与整理数据</w:t>
      </w:r>
    </w:p>
    <w:p w14:paraId="5589FAA2" w14:textId="77777777" w:rsidR="00735A9E" w:rsidRDefault="00000000">
      <w:pPr>
        <w:pStyle w:val="a0"/>
        <w:rPr>
          <w:lang w:eastAsia="zh-CN"/>
        </w:rPr>
      </w:pPr>
      <w:r>
        <w:rPr>
          <w:color w:val="2D3748"/>
          <w:lang w:eastAsia="zh-CN"/>
        </w:rPr>
        <w:t>处置重点：泳道图能把脚本入口、态势判断、计划核验、现场处置和报表归档连接成一条演示路径。</w:t>
      </w:r>
    </w:p>
    <w:p w14:paraId="2960EC8C" w14:textId="77777777" w:rsidR="00735A9E" w:rsidRDefault="00000000">
      <w:pPr>
        <w:pStyle w:val="af7"/>
        <w:keepLines/>
        <w:spacing w:before="20"/>
        <w:rPr>
          <w:lang w:eastAsia="zh-CN"/>
        </w:rPr>
      </w:pPr>
      <w:r>
        <w:rPr>
          <w:lang w:eastAsia="zh-CN"/>
        </w:rPr>
        <w:t>表</w:t>
      </w:r>
      <w:r>
        <w:rPr>
          <w:lang w:eastAsia="zh-CN"/>
        </w:rPr>
        <w:t xml:space="preserve"> 27 </w:t>
      </w:r>
      <w:r>
        <w:rPr>
          <w:lang w:eastAsia="zh-CN"/>
        </w:rPr>
        <w:t>第十章</w:t>
      </w:r>
      <w:r>
        <w:rPr>
          <w:lang w:eastAsia="zh-CN"/>
        </w:rPr>
        <w:t xml:space="preserve"> </w:t>
      </w:r>
      <w:r>
        <w:rPr>
          <w:lang w:eastAsia="zh-CN"/>
        </w:rPr>
        <w:t>风险应对：</w:t>
      </w:r>
      <w:r>
        <w:rPr>
          <w:lang w:eastAsia="zh-CN"/>
        </w:rPr>
        <w:t xml:space="preserve">10.4 </w:t>
      </w:r>
      <w:r>
        <w:rPr>
          <w:lang w:eastAsia="zh-CN"/>
        </w:rPr>
        <w:t>硬件依赖风险</w:t>
      </w:r>
    </w:p>
    <w:tbl>
      <w:tblPr>
        <w:tblStyle w:val="aff1"/>
        <w:tblW w:w="0" w:type="auto"/>
        <w:jc w:val="center"/>
        <w:tblLayout w:type="fixed"/>
        <w:tblLook w:val="04A0" w:firstRow="1" w:lastRow="0" w:firstColumn="1" w:lastColumn="0" w:noHBand="0" w:noVBand="1"/>
      </w:tblPr>
      <w:tblGrid>
        <w:gridCol w:w="1944"/>
        <w:gridCol w:w="3672"/>
        <w:gridCol w:w="3744"/>
      </w:tblGrid>
      <w:tr w:rsidR="00735A9E" w14:paraId="113AABF2" w14:textId="77777777">
        <w:trPr>
          <w:tblHeader/>
          <w:jc w:val="center"/>
        </w:trPr>
        <w:tc>
          <w:tcPr>
            <w:tcW w:w="1944" w:type="dxa"/>
            <w:shd w:val="clear" w:color="auto" w:fill="E5F0ED"/>
            <w:tcMar>
              <w:top w:w="95" w:type="dxa"/>
              <w:left w:w="125" w:type="dxa"/>
              <w:bottom w:w="95" w:type="dxa"/>
              <w:right w:w="125" w:type="dxa"/>
            </w:tcMar>
            <w:vAlign w:val="center"/>
          </w:tcPr>
          <w:p w14:paraId="065F8C95" w14:textId="77777777" w:rsidR="00735A9E" w:rsidRDefault="00000000" w:rsidP="00F54BAC">
            <w:pPr>
              <w:spacing w:after="0" w:line="269" w:lineRule="auto"/>
              <w:ind w:firstLine="0"/>
              <w:jc w:val="center"/>
            </w:pPr>
            <w:proofErr w:type="spellStart"/>
            <w:r>
              <w:rPr>
                <w:b/>
                <w:color w:val="151F2B"/>
                <w:sz w:val="17"/>
              </w:rPr>
              <w:t>风险</w:t>
            </w:r>
            <w:proofErr w:type="spellEnd"/>
          </w:p>
        </w:tc>
        <w:tc>
          <w:tcPr>
            <w:tcW w:w="3672" w:type="dxa"/>
            <w:shd w:val="clear" w:color="auto" w:fill="E5F0ED"/>
            <w:tcMar>
              <w:top w:w="95" w:type="dxa"/>
              <w:left w:w="125" w:type="dxa"/>
              <w:bottom w:w="95" w:type="dxa"/>
              <w:right w:w="125" w:type="dxa"/>
            </w:tcMar>
            <w:vAlign w:val="center"/>
          </w:tcPr>
          <w:p w14:paraId="1AA0DBD1" w14:textId="77777777" w:rsidR="00735A9E" w:rsidRDefault="00000000" w:rsidP="00F54BAC">
            <w:pPr>
              <w:spacing w:after="0" w:line="269" w:lineRule="auto"/>
              <w:ind w:firstLine="0"/>
              <w:jc w:val="center"/>
            </w:pPr>
            <w:proofErr w:type="spellStart"/>
            <w:r>
              <w:rPr>
                <w:b/>
                <w:color w:val="151F2B"/>
                <w:sz w:val="17"/>
              </w:rPr>
              <w:t>触发信号</w:t>
            </w:r>
            <w:proofErr w:type="spellEnd"/>
          </w:p>
        </w:tc>
        <w:tc>
          <w:tcPr>
            <w:tcW w:w="3744" w:type="dxa"/>
            <w:shd w:val="clear" w:color="auto" w:fill="E5F0ED"/>
            <w:tcMar>
              <w:top w:w="95" w:type="dxa"/>
              <w:left w:w="125" w:type="dxa"/>
              <w:bottom w:w="95" w:type="dxa"/>
              <w:right w:w="125" w:type="dxa"/>
            </w:tcMar>
            <w:vAlign w:val="center"/>
          </w:tcPr>
          <w:p w14:paraId="281D906F" w14:textId="77777777" w:rsidR="00735A9E" w:rsidRDefault="00000000" w:rsidP="00F54BAC">
            <w:pPr>
              <w:spacing w:after="0" w:line="269" w:lineRule="auto"/>
              <w:ind w:firstLine="0"/>
              <w:jc w:val="center"/>
            </w:pPr>
            <w:proofErr w:type="spellStart"/>
            <w:r>
              <w:rPr>
                <w:b/>
                <w:color w:val="151F2B"/>
                <w:sz w:val="17"/>
              </w:rPr>
              <w:t>应对动作</w:t>
            </w:r>
            <w:proofErr w:type="spellEnd"/>
          </w:p>
        </w:tc>
      </w:tr>
      <w:tr w:rsidR="00735A9E" w14:paraId="41902252" w14:textId="77777777">
        <w:trPr>
          <w:jc w:val="center"/>
        </w:trPr>
        <w:tc>
          <w:tcPr>
            <w:tcW w:w="1944" w:type="dxa"/>
            <w:tcMar>
              <w:top w:w="90" w:type="dxa"/>
              <w:left w:w="125" w:type="dxa"/>
              <w:bottom w:w="90" w:type="dxa"/>
              <w:right w:w="125" w:type="dxa"/>
            </w:tcMar>
            <w:vAlign w:val="center"/>
          </w:tcPr>
          <w:p w14:paraId="12E3308B" w14:textId="77777777" w:rsidR="00735A9E" w:rsidRDefault="00000000" w:rsidP="00F54BAC">
            <w:pPr>
              <w:spacing w:after="0" w:line="278" w:lineRule="auto"/>
              <w:ind w:firstLine="0"/>
              <w:jc w:val="center"/>
            </w:pPr>
            <w:proofErr w:type="spellStart"/>
            <w:r>
              <w:rPr>
                <w:color w:val="2D3748"/>
                <w:sz w:val="16"/>
              </w:rPr>
              <w:t>政策边界</w:t>
            </w:r>
            <w:proofErr w:type="spellEnd"/>
          </w:p>
        </w:tc>
        <w:tc>
          <w:tcPr>
            <w:tcW w:w="3672" w:type="dxa"/>
            <w:tcMar>
              <w:top w:w="90" w:type="dxa"/>
              <w:left w:w="125" w:type="dxa"/>
              <w:bottom w:w="90" w:type="dxa"/>
              <w:right w:w="125" w:type="dxa"/>
            </w:tcMar>
            <w:vAlign w:val="center"/>
          </w:tcPr>
          <w:p w14:paraId="30C9FEDE" w14:textId="77777777" w:rsidR="00735A9E" w:rsidRDefault="00000000" w:rsidP="00F54BAC">
            <w:pPr>
              <w:spacing w:after="0" w:line="278" w:lineRule="auto"/>
              <w:ind w:firstLine="0"/>
              <w:jc w:val="center"/>
              <w:rPr>
                <w:lang w:eastAsia="zh-CN"/>
              </w:rPr>
            </w:pPr>
            <w:r>
              <w:rPr>
                <w:color w:val="2D3748"/>
                <w:sz w:val="16"/>
                <w:lang w:eastAsia="zh-CN"/>
              </w:rPr>
              <w:t>客户要求平台替代审批或执法</w:t>
            </w:r>
          </w:p>
        </w:tc>
        <w:tc>
          <w:tcPr>
            <w:tcW w:w="3744" w:type="dxa"/>
            <w:tcMar>
              <w:top w:w="90" w:type="dxa"/>
              <w:left w:w="125" w:type="dxa"/>
              <w:bottom w:w="90" w:type="dxa"/>
              <w:right w:w="125" w:type="dxa"/>
            </w:tcMar>
            <w:vAlign w:val="center"/>
          </w:tcPr>
          <w:p w14:paraId="5043513B" w14:textId="77777777" w:rsidR="00735A9E" w:rsidRDefault="00000000" w:rsidP="00F54BAC">
            <w:pPr>
              <w:spacing w:after="0" w:line="278" w:lineRule="auto"/>
              <w:ind w:firstLine="0"/>
              <w:jc w:val="center"/>
              <w:rPr>
                <w:lang w:eastAsia="zh-CN"/>
              </w:rPr>
            </w:pPr>
            <w:r>
              <w:rPr>
                <w:color w:val="2D3748"/>
                <w:sz w:val="16"/>
                <w:lang w:eastAsia="zh-CN"/>
              </w:rPr>
              <w:t>合同和演示中写清辅助监管边界</w:t>
            </w:r>
          </w:p>
        </w:tc>
      </w:tr>
      <w:tr w:rsidR="00735A9E" w14:paraId="04D89DED" w14:textId="77777777">
        <w:trPr>
          <w:jc w:val="center"/>
        </w:trPr>
        <w:tc>
          <w:tcPr>
            <w:tcW w:w="1944" w:type="dxa"/>
            <w:shd w:val="clear" w:color="auto" w:fill="F7F9FB"/>
            <w:tcMar>
              <w:top w:w="90" w:type="dxa"/>
              <w:left w:w="125" w:type="dxa"/>
              <w:bottom w:w="90" w:type="dxa"/>
              <w:right w:w="125" w:type="dxa"/>
            </w:tcMar>
            <w:vAlign w:val="center"/>
          </w:tcPr>
          <w:p w14:paraId="51816E1E" w14:textId="77777777" w:rsidR="00735A9E" w:rsidRDefault="00000000" w:rsidP="00F54BAC">
            <w:pPr>
              <w:spacing w:after="0" w:line="278" w:lineRule="auto"/>
              <w:ind w:firstLine="0"/>
              <w:jc w:val="center"/>
            </w:pPr>
            <w:proofErr w:type="spellStart"/>
            <w:r>
              <w:rPr>
                <w:color w:val="2D3748"/>
                <w:sz w:val="16"/>
              </w:rPr>
              <w:t>误报漏报</w:t>
            </w:r>
            <w:proofErr w:type="spellEnd"/>
          </w:p>
        </w:tc>
        <w:tc>
          <w:tcPr>
            <w:tcW w:w="3672" w:type="dxa"/>
            <w:shd w:val="clear" w:color="auto" w:fill="F7F9FB"/>
            <w:tcMar>
              <w:top w:w="90" w:type="dxa"/>
              <w:left w:w="125" w:type="dxa"/>
              <w:bottom w:w="90" w:type="dxa"/>
              <w:right w:w="125" w:type="dxa"/>
            </w:tcMar>
            <w:vAlign w:val="center"/>
          </w:tcPr>
          <w:p w14:paraId="6D6A55EE" w14:textId="77777777" w:rsidR="00735A9E" w:rsidRDefault="00000000" w:rsidP="00F54BAC">
            <w:pPr>
              <w:spacing w:after="0" w:line="278" w:lineRule="auto"/>
              <w:ind w:firstLine="0"/>
              <w:jc w:val="center"/>
              <w:rPr>
                <w:lang w:eastAsia="zh-CN"/>
              </w:rPr>
            </w:pPr>
            <w:r>
              <w:rPr>
                <w:color w:val="2D3748"/>
                <w:sz w:val="16"/>
                <w:lang w:eastAsia="zh-CN"/>
              </w:rPr>
              <w:t>高风险事件人工复核压力上升</w:t>
            </w:r>
          </w:p>
        </w:tc>
        <w:tc>
          <w:tcPr>
            <w:tcW w:w="3744" w:type="dxa"/>
            <w:shd w:val="clear" w:color="auto" w:fill="F7F9FB"/>
            <w:tcMar>
              <w:top w:w="90" w:type="dxa"/>
              <w:left w:w="125" w:type="dxa"/>
              <w:bottom w:w="90" w:type="dxa"/>
              <w:right w:w="125" w:type="dxa"/>
            </w:tcMar>
            <w:vAlign w:val="center"/>
          </w:tcPr>
          <w:p w14:paraId="236F6DEB" w14:textId="77777777" w:rsidR="00735A9E" w:rsidRDefault="00000000" w:rsidP="00F54BAC">
            <w:pPr>
              <w:spacing w:after="0" w:line="278" w:lineRule="auto"/>
              <w:ind w:firstLine="0"/>
              <w:jc w:val="center"/>
              <w:rPr>
                <w:lang w:eastAsia="zh-CN"/>
              </w:rPr>
            </w:pPr>
            <w:r>
              <w:rPr>
                <w:color w:val="2D3748"/>
                <w:sz w:val="16"/>
                <w:lang w:eastAsia="zh-CN"/>
              </w:rPr>
              <w:t>引入分级阈值、回标和复盘会议</w:t>
            </w:r>
          </w:p>
        </w:tc>
      </w:tr>
      <w:tr w:rsidR="00735A9E" w14:paraId="74690644" w14:textId="77777777">
        <w:trPr>
          <w:jc w:val="center"/>
        </w:trPr>
        <w:tc>
          <w:tcPr>
            <w:tcW w:w="1944" w:type="dxa"/>
            <w:tcMar>
              <w:top w:w="90" w:type="dxa"/>
              <w:left w:w="125" w:type="dxa"/>
              <w:bottom w:w="90" w:type="dxa"/>
              <w:right w:w="125" w:type="dxa"/>
            </w:tcMar>
            <w:vAlign w:val="center"/>
          </w:tcPr>
          <w:p w14:paraId="052F4081" w14:textId="77777777" w:rsidR="00735A9E" w:rsidRDefault="00000000" w:rsidP="00F54BAC">
            <w:pPr>
              <w:spacing w:after="0" w:line="278" w:lineRule="auto"/>
              <w:ind w:firstLine="0"/>
              <w:jc w:val="center"/>
            </w:pPr>
            <w:proofErr w:type="spellStart"/>
            <w:r>
              <w:rPr>
                <w:color w:val="2D3748"/>
                <w:sz w:val="16"/>
              </w:rPr>
              <w:t>采购周期</w:t>
            </w:r>
            <w:proofErr w:type="spellEnd"/>
          </w:p>
        </w:tc>
        <w:tc>
          <w:tcPr>
            <w:tcW w:w="3672" w:type="dxa"/>
            <w:tcMar>
              <w:top w:w="90" w:type="dxa"/>
              <w:left w:w="125" w:type="dxa"/>
              <w:bottom w:w="90" w:type="dxa"/>
              <w:right w:w="125" w:type="dxa"/>
            </w:tcMar>
            <w:vAlign w:val="center"/>
          </w:tcPr>
          <w:p w14:paraId="00CA3935" w14:textId="77777777" w:rsidR="00735A9E" w:rsidRDefault="00000000" w:rsidP="00F54BAC">
            <w:pPr>
              <w:spacing w:after="0" w:line="278" w:lineRule="auto"/>
              <w:ind w:firstLine="0"/>
              <w:jc w:val="center"/>
            </w:pPr>
            <w:proofErr w:type="spellStart"/>
            <w:r>
              <w:rPr>
                <w:color w:val="2D3748"/>
                <w:sz w:val="16"/>
              </w:rPr>
              <w:t>试点决策链条拉长</w:t>
            </w:r>
            <w:proofErr w:type="spellEnd"/>
          </w:p>
        </w:tc>
        <w:tc>
          <w:tcPr>
            <w:tcW w:w="3744" w:type="dxa"/>
            <w:tcMar>
              <w:top w:w="90" w:type="dxa"/>
              <w:left w:w="125" w:type="dxa"/>
              <w:bottom w:w="90" w:type="dxa"/>
              <w:right w:w="125" w:type="dxa"/>
            </w:tcMar>
            <w:vAlign w:val="center"/>
          </w:tcPr>
          <w:p w14:paraId="69015D66" w14:textId="77777777" w:rsidR="00735A9E" w:rsidRDefault="00000000" w:rsidP="00F54BAC">
            <w:pPr>
              <w:spacing w:after="0" w:line="278" w:lineRule="auto"/>
              <w:ind w:firstLine="0"/>
              <w:jc w:val="center"/>
              <w:rPr>
                <w:lang w:eastAsia="zh-CN"/>
              </w:rPr>
            </w:pPr>
            <w:r>
              <w:rPr>
                <w:color w:val="2D3748"/>
                <w:sz w:val="16"/>
                <w:lang w:eastAsia="zh-CN"/>
              </w:rPr>
              <w:t>拆分轻量试点和正式部署</w:t>
            </w:r>
          </w:p>
        </w:tc>
      </w:tr>
      <w:tr w:rsidR="00735A9E" w14:paraId="4C136253" w14:textId="77777777">
        <w:trPr>
          <w:jc w:val="center"/>
        </w:trPr>
        <w:tc>
          <w:tcPr>
            <w:tcW w:w="1944" w:type="dxa"/>
            <w:shd w:val="clear" w:color="auto" w:fill="F7F9FB"/>
            <w:tcMar>
              <w:top w:w="90" w:type="dxa"/>
              <w:left w:w="125" w:type="dxa"/>
              <w:bottom w:w="90" w:type="dxa"/>
              <w:right w:w="125" w:type="dxa"/>
            </w:tcMar>
            <w:vAlign w:val="center"/>
          </w:tcPr>
          <w:p w14:paraId="7C225FCD" w14:textId="77777777" w:rsidR="00735A9E" w:rsidRDefault="00000000" w:rsidP="00F54BAC">
            <w:pPr>
              <w:spacing w:after="0" w:line="278" w:lineRule="auto"/>
              <w:ind w:firstLine="0"/>
              <w:jc w:val="center"/>
            </w:pPr>
            <w:proofErr w:type="spellStart"/>
            <w:r>
              <w:rPr>
                <w:color w:val="2D3748"/>
                <w:sz w:val="16"/>
              </w:rPr>
              <w:t>现金压力</w:t>
            </w:r>
            <w:proofErr w:type="spellEnd"/>
          </w:p>
        </w:tc>
        <w:tc>
          <w:tcPr>
            <w:tcW w:w="3672" w:type="dxa"/>
            <w:shd w:val="clear" w:color="auto" w:fill="F7F9FB"/>
            <w:tcMar>
              <w:top w:w="90" w:type="dxa"/>
              <w:left w:w="125" w:type="dxa"/>
              <w:bottom w:w="90" w:type="dxa"/>
              <w:right w:w="125" w:type="dxa"/>
            </w:tcMar>
            <w:vAlign w:val="center"/>
          </w:tcPr>
          <w:p w14:paraId="4DC23A7A" w14:textId="77777777" w:rsidR="00735A9E" w:rsidRDefault="00000000" w:rsidP="00F54BAC">
            <w:pPr>
              <w:spacing w:after="0" w:line="278" w:lineRule="auto"/>
              <w:ind w:firstLine="0"/>
              <w:jc w:val="center"/>
            </w:pPr>
            <w:proofErr w:type="spellStart"/>
            <w:r>
              <w:rPr>
                <w:color w:val="2D3748"/>
                <w:sz w:val="16"/>
              </w:rPr>
              <w:t>回款慢于交付成本</w:t>
            </w:r>
            <w:proofErr w:type="spellEnd"/>
          </w:p>
        </w:tc>
        <w:tc>
          <w:tcPr>
            <w:tcW w:w="3744" w:type="dxa"/>
            <w:shd w:val="clear" w:color="auto" w:fill="F7F9FB"/>
            <w:tcMar>
              <w:top w:w="90" w:type="dxa"/>
              <w:left w:w="125" w:type="dxa"/>
              <w:bottom w:w="90" w:type="dxa"/>
              <w:right w:w="125" w:type="dxa"/>
            </w:tcMar>
            <w:vAlign w:val="center"/>
          </w:tcPr>
          <w:p w14:paraId="2F4A2FAA" w14:textId="77777777" w:rsidR="00735A9E" w:rsidRDefault="00000000" w:rsidP="00F54BAC">
            <w:pPr>
              <w:spacing w:after="0" w:line="278" w:lineRule="auto"/>
              <w:ind w:firstLine="0"/>
              <w:jc w:val="center"/>
              <w:rPr>
                <w:lang w:eastAsia="zh-CN"/>
              </w:rPr>
            </w:pPr>
            <w:r>
              <w:rPr>
                <w:color w:val="2D3748"/>
                <w:sz w:val="16"/>
                <w:lang w:eastAsia="zh-CN"/>
              </w:rPr>
              <w:t>控制并行项目数量和账期</w:t>
            </w:r>
          </w:p>
        </w:tc>
      </w:tr>
    </w:tbl>
    <w:p w14:paraId="1EAFF4A1" w14:textId="77777777" w:rsidR="00735A9E" w:rsidRDefault="00735A9E">
      <w:pPr>
        <w:rPr>
          <w:lang w:eastAsia="zh-CN"/>
        </w:rPr>
      </w:pPr>
    </w:p>
    <w:p w14:paraId="5F487C3C" w14:textId="77777777" w:rsidR="00735A9E" w:rsidRDefault="00000000">
      <w:pPr>
        <w:spacing w:before="80" w:after="20"/>
        <w:ind w:firstLine="0"/>
        <w:rPr>
          <w:lang w:eastAsia="zh-CN"/>
        </w:rPr>
      </w:pPr>
      <w:r>
        <w:rPr>
          <w:b/>
          <w:color w:val="64748B"/>
          <w:sz w:val="17"/>
          <w:lang w:eastAsia="zh-CN"/>
        </w:rPr>
        <w:t>第十章</w:t>
      </w:r>
      <w:r>
        <w:rPr>
          <w:b/>
          <w:color w:val="64748B"/>
          <w:sz w:val="17"/>
          <w:lang w:eastAsia="zh-CN"/>
        </w:rPr>
        <w:t xml:space="preserve"> </w:t>
      </w:r>
      <w:r>
        <w:rPr>
          <w:b/>
          <w:color w:val="64748B"/>
          <w:sz w:val="17"/>
          <w:lang w:eastAsia="zh-CN"/>
        </w:rPr>
        <w:t>风险应对</w:t>
      </w:r>
    </w:p>
    <w:p w14:paraId="7AD2E907" w14:textId="77777777" w:rsidR="00735A9E" w:rsidRDefault="00000000">
      <w:pPr>
        <w:pStyle w:val="21"/>
        <w:rPr>
          <w:lang w:eastAsia="zh-CN"/>
        </w:rPr>
      </w:pPr>
      <w:r>
        <w:rPr>
          <w:rFonts w:ascii="Times New Roman" w:eastAsia="仿宋" w:hAnsi="Times New Roman" w:cs="仿宋"/>
          <w:lang w:eastAsia="zh-CN"/>
        </w:rPr>
        <w:t xml:space="preserve">10.5 </w:t>
      </w:r>
      <w:r>
        <w:rPr>
          <w:rFonts w:ascii="Times New Roman" w:eastAsia="仿宋" w:hAnsi="Times New Roman" w:cs="仿宋"/>
          <w:lang w:eastAsia="zh-CN"/>
        </w:rPr>
        <w:t>采购周期风险</w:t>
      </w:r>
    </w:p>
    <w:p w14:paraId="0842AC94" w14:textId="77777777" w:rsidR="00735A9E" w:rsidRDefault="00000000">
      <w:pPr>
        <w:rPr>
          <w:lang w:eastAsia="zh-CN"/>
        </w:rPr>
      </w:pPr>
      <w:r>
        <w:rPr>
          <w:lang w:eastAsia="zh-CN"/>
        </w:rPr>
        <w:t>采购周期是必须主动写清的约束。低空项目会遇到政策边界、数据合规、误报漏报、硬件依赖、采购周期和现金压力，任何一项处理不好都会拖慢试点。</w:t>
      </w:r>
    </w:p>
    <w:p w14:paraId="00E36723" w14:textId="77777777" w:rsidR="00735A9E" w:rsidRDefault="00000000">
      <w:pPr>
        <w:rPr>
          <w:lang w:eastAsia="zh-CN"/>
        </w:rPr>
      </w:pPr>
      <w:proofErr w:type="spellStart"/>
      <w:r>
        <w:rPr>
          <w:lang w:eastAsia="zh-CN"/>
        </w:rPr>
        <w:t>SkyGuard</w:t>
      </w:r>
      <w:proofErr w:type="spellEnd"/>
      <w:r>
        <w:rPr>
          <w:lang w:eastAsia="zh-CN"/>
        </w:rPr>
        <w:t xml:space="preserve"> </w:t>
      </w:r>
      <w:r>
        <w:rPr>
          <w:lang w:eastAsia="zh-CN"/>
        </w:rPr>
        <w:t>的边界是辅助感知、风险预警、事件协同和报表复盘，不替代审批或执法，也不承诺干扰、捕获和打击能力。边界越清楚，客户沟通和合同验收越稳。</w:t>
      </w:r>
    </w:p>
    <w:p w14:paraId="2EF85420" w14:textId="77777777" w:rsidR="00735A9E" w:rsidRDefault="00000000">
      <w:pPr>
        <w:pStyle w:val="af7"/>
        <w:keepLines/>
        <w:spacing w:before="80" w:after="160"/>
        <w:rPr>
          <w:lang w:eastAsia="zh-CN"/>
        </w:rPr>
      </w:pPr>
      <w:r>
        <w:rPr>
          <w:noProof/>
        </w:rPr>
        <w:drawing>
          <wp:inline distT="0" distB="0" distL="0" distR="0" wp14:anchorId="4FE5DD5A" wp14:editId="2E8BFF96">
            <wp:extent cx="5443268" cy="2999392"/>
            <wp:effectExtent l="0" t="0" r="508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emo截图内容对应矩阵.png"/>
                    <pic:cNvPicPr/>
                  </pic:nvPicPr>
                  <pic:blipFill>
                    <a:blip r:embed="rId28"/>
                    <a:stretch>
                      <a:fillRect/>
                    </a:stretch>
                  </pic:blipFill>
                  <pic:spPr>
                    <a:xfrm>
                      <a:off x="0" y="0"/>
                      <a:ext cx="5461971" cy="3009698"/>
                    </a:xfrm>
                    <a:prstGeom prst="rect">
                      <a:avLst/>
                    </a:prstGeom>
                  </pic:spPr>
                </pic:pic>
              </a:graphicData>
            </a:graphic>
          </wp:inline>
        </w:drawing>
      </w:r>
      <w:r>
        <w:rPr>
          <w:lang w:eastAsia="zh-CN"/>
        </w:rPr>
        <w:br/>
      </w:r>
      <w:r>
        <w:rPr>
          <w:lang w:eastAsia="zh-CN"/>
        </w:rPr>
        <w:t>图</w:t>
      </w:r>
      <w:r>
        <w:rPr>
          <w:lang w:eastAsia="zh-CN"/>
        </w:rPr>
        <w:t xml:space="preserve"> 135 </w:t>
      </w:r>
      <w:proofErr w:type="spellStart"/>
      <w:r>
        <w:rPr>
          <w:lang w:eastAsia="zh-CN"/>
        </w:rPr>
        <w:t>WebDemo</w:t>
      </w:r>
      <w:proofErr w:type="spellEnd"/>
      <w:r>
        <w:rPr>
          <w:lang w:eastAsia="zh-CN"/>
        </w:rPr>
        <w:t>截图内容对应矩阵</w:t>
      </w:r>
      <w:r>
        <w:rPr>
          <w:lang w:eastAsia="zh-CN"/>
        </w:rPr>
        <w:t xml:space="preserve"> </w:t>
      </w:r>
      <w:r>
        <w:rPr>
          <w:lang w:eastAsia="zh-CN"/>
        </w:rPr>
        <w:t>资料来源：经营假设、平台演示样本与整理数据。要点：截图对应矩阵能说明每张</w:t>
      </w:r>
      <w:r>
        <w:rPr>
          <w:lang w:eastAsia="zh-CN"/>
        </w:rPr>
        <w:t xml:space="preserve"> </w:t>
      </w:r>
      <w:proofErr w:type="spellStart"/>
      <w:r>
        <w:rPr>
          <w:lang w:eastAsia="zh-CN"/>
        </w:rPr>
        <w:t>WebDemo</w:t>
      </w:r>
      <w:proofErr w:type="spellEnd"/>
      <w:r>
        <w:rPr>
          <w:lang w:eastAsia="zh-CN"/>
        </w:rPr>
        <w:t xml:space="preserve"> </w:t>
      </w:r>
      <w:r>
        <w:rPr>
          <w:lang w:eastAsia="zh-CN"/>
        </w:rPr>
        <w:t>截图在正文中的证据作用。</w:t>
      </w:r>
    </w:p>
    <w:p w14:paraId="07C02220" w14:textId="77777777" w:rsidR="00735A9E" w:rsidRDefault="00000000">
      <w:pPr>
        <w:rPr>
          <w:lang w:eastAsia="zh-CN"/>
        </w:rPr>
      </w:pPr>
      <w:proofErr w:type="spellStart"/>
      <w:r>
        <w:rPr>
          <w:lang w:eastAsia="zh-CN"/>
        </w:rPr>
        <w:lastRenderedPageBreak/>
        <w:t>WebDemo</w:t>
      </w:r>
      <w:proofErr w:type="spellEnd"/>
      <w:r>
        <w:rPr>
          <w:lang w:eastAsia="zh-CN"/>
        </w:rPr>
        <w:t>截图内容对应矩阵支持的风险判断是：截图对应矩阵能说明每张</w:t>
      </w:r>
      <w:r>
        <w:rPr>
          <w:lang w:eastAsia="zh-CN"/>
        </w:rPr>
        <w:t xml:space="preserve"> </w:t>
      </w:r>
      <w:proofErr w:type="spellStart"/>
      <w:r>
        <w:rPr>
          <w:lang w:eastAsia="zh-CN"/>
        </w:rPr>
        <w:t>WebDemo</w:t>
      </w:r>
      <w:proofErr w:type="spellEnd"/>
      <w:r>
        <w:rPr>
          <w:lang w:eastAsia="zh-CN"/>
        </w:rPr>
        <w:t xml:space="preserve"> </w:t>
      </w:r>
      <w:r>
        <w:rPr>
          <w:lang w:eastAsia="zh-CN"/>
        </w:rPr>
        <w:t>截图在正文中的证据作用。资料口径来自经营假设、平台演示样本与整理数据。</w:t>
      </w:r>
    </w:p>
    <w:p w14:paraId="70E9E413" w14:textId="7B46CF33" w:rsidR="00735A9E" w:rsidRDefault="003A566B">
      <w:pPr>
        <w:rPr>
          <w:lang w:eastAsia="zh-CN"/>
        </w:rPr>
      </w:pPr>
      <w:r w:rsidRPr="003A566B">
        <w:rPr>
          <w:rFonts w:hint="eastAsia"/>
          <w:lang w:eastAsia="zh-CN"/>
        </w:rPr>
        <w:t>这个判断的价值在于把市场机会压实到客户每天实际处理的事务层面——采购周期不是不可改变的客观约束，它可以通过项目设计（如拆分为试点和正式两个阶段）、客户选择（优先选择决策链条短的客户）和时机把握（在客户预算编制周期中找准切入点）来主动管理。风险应对要写出触发信号、影响范围和处理动作，不能只停留在风险清单</w:t>
      </w:r>
      <w:r w:rsidR="00000000">
        <w:rPr>
          <w:lang w:eastAsia="zh-CN"/>
        </w:rPr>
        <w:t>。</w:t>
      </w:r>
    </w:p>
    <w:p w14:paraId="57DFA92B" w14:textId="77777777" w:rsidR="00735A9E" w:rsidRDefault="00000000">
      <w:pPr>
        <w:rPr>
          <w:lang w:eastAsia="zh-CN"/>
        </w:rPr>
      </w:pPr>
      <w:r>
        <w:rPr>
          <w:lang w:eastAsia="zh-CN"/>
        </w:rPr>
        <w:t>风险应对中的采购周期需要写出触发信号和处理动作。提前划清辅助监管、人工确认、数据合规和硬件伙伴边界，能让试点合同和演示口径更稳。</w:t>
      </w:r>
    </w:p>
    <w:p w14:paraId="3A69CD62" w14:textId="77777777" w:rsidR="00735A9E" w:rsidRDefault="00000000">
      <w:pPr>
        <w:pStyle w:val="a0"/>
        <w:rPr>
          <w:lang w:eastAsia="zh-CN"/>
        </w:rPr>
      </w:pPr>
      <w:r>
        <w:rPr>
          <w:color w:val="2D3748"/>
          <w:lang w:eastAsia="zh-CN"/>
        </w:rPr>
        <w:t>边界清楚：辅助监管，不替代审批或执法</w:t>
      </w:r>
    </w:p>
    <w:p w14:paraId="07F8FE9F" w14:textId="77777777" w:rsidR="00735A9E" w:rsidRDefault="00000000">
      <w:pPr>
        <w:pStyle w:val="a0"/>
        <w:rPr>
          <w:lang w:eastAsia="zh-CN"/>
        </w:rPr>
      </w:pPr>
      <w:r>
        <w:rPr>
          <w:color w:val="2D3748"/>
          <w:lang w:eastAsia="zh-CN"/>
        </w:rPr>
        <w:t>依据：经营假设、平台演示样本与整理数据</w:t>
      </w:r>
    </w:p>
    <w:p w14:paraId="764CE151" w14:textId="77777777" w:rsidR="00735A9E" w:rsidRDefault="00000000">
      <w:pPr>
        <w:pStyle w:val="a0"/>
        <w:rPr>
          <w:lang w:eastAsia="zh-CN"/>
        </w:rPr>
      </w:pPr>
      <w:r>
        <w:rPr>
          <w:color w:val="2D3748"/>
          <w:lang w:eastAsia="zh-CN"/>
        </w:rPr>
        <w:t>处置重点：截图对应矩阵能说明每张</w:t>
      </w:r>
      <w:r>
        <w:rPr>
          <w:color w:val="2D3748"/>
          <w:lang w:eastAsia="zh-CN"/>
        </w:rPr>
        <w:t xml:space="preserve"> </w:t>
      </w:r>
      <w:proofErr w:type="spellStart"/>
      <w:r>
        <w:rPr>
          <w:color w:val="2D3748"/>
          <w:lang w:eastAsia="zh-CN"/>
        </w:rPr>
        <w:t>WebDemo</w:t>
      </w:r>
      <w:proofErr w:type="spellEnd"/>
      <w:r>
        <w:rPr>
          <w:color w:val="2D3748"/>
          <w:lang w:eastAsia="zh-CN"/>
        </w:rPr>
        <w:t xml:space="preserve"> </w:t>
      </w:r>
      <w:r>
        <w:rPr>
          <w:color w:val="2D3748"/>
          <w:lang w:eastAsia="zh-CN"/>
        </w:rPr>
        <w:t>截图在正文中的证据作用。</w:t>
      </w:r>
    </w:p>
    <w:p w14:paraId="7E6CCC2B" w14:textId="77777777" w:rsidR="00735A9E" w:rsidRDefault="00000000">
      <w:pPr>
        <w:spacing w:before="80" w:after="20"/>
        <w:ind w:firstLine="0"/>
        <w:rPr>
          <w:lang w:eastAsia="zh-CN"/>
        </w:rPr>
      </w:pPr>
      <w:r>
        <w:rPr>
          <w:b/>
          <w:color w:val="64748B"/>
          <w:sz w:val="17"/>
          <w:lang w:eastAsia="zh-CN"/>
        </w:rPr>
        <w:t>第十章</w:t>
      </w:r>
      <w:r>
        <w:rPr>
          <w:b/>
          <w:color w:val="64748B"/>
          <w:sz w:val="17"/>
          <w:lang w:eastAsia="zh-CN"/>
        </w:rPr>
        <w:t xml:space="preserve"> </w:t>
      </w:r>
      <w:r>
        <w:rPr>
          <w:b/>
          <w:color w:val="64748B"/>
          <w:sz w:val="17"/>
          <w:lang w:eastAsia="zh-CN"/>
        </w:rPr>
        <w:t>风险应对</w:t>
      </w:r>
    </w:p>
    <w:p w14:paraId="2EE1959E" w14:textId="77777777" w:rsidR="00735A9E" w:rsidRDefault="00000000">
      <w:pPr>
        <w:pStyle w:val="21"/>
        <w:rPr>
          <w:lang w:eastAsia="zh-CN"/>
        </w:rPr>
      </w:pPr>
      <w:r>
        <w:rPr>
          <w:rFonts w:ascii="Times New Roman" w:eastAsia="仿宋" w:hAnsi="Times New Roman" w:cs="仿宋"/>
          <w:lang w:eastAsia="zh-CN"/>
        </w:rPr>
        <w:t xml:space="preserve">10.6 </w:t>
      </w:r>
      <w:r>
        <w:rPr>
          <w:rFonts w:ascii="Times New Roman" w:eastAsia="仿宋" w:hAnsi="Times New Roman" w:cs="仿宋"/>
          <w:lang w:eastAsia="zh-CN"/>
        </w:rPr>
        <w:t>现金压力风险</w:t>
      </w:r>
    </w:p>
    <w:p w14:paraId="1F359BF4" w14:textId="002BFA77" w:rsidR="00735A9E" w:rsidRDefault="003A566B">
      <w:pPr>
        <w:rPr>
          <w:lang w:eastAsia="zh-CN"/>
        </w:rPr>
      </w:pPr>
      <w:r w:rsidRPr="003A566B">
        <w:rPr>
          <w:lang w:eastAsia="zh-CN"/>
        </w:rPr>
        <w:t>现金压力是贯穿项目全周期的持续性风险。如第九章所述，低空领域项目的回款周期长、前期投入大、收入确认滞后</w:t>
      </w:r>
      <w:r w:rsidRPr="003A566B">
        <w:rPr>
          <w:lang w:eastAsia="zh-CN"/>
        </w:rPr>
        <w:t>——</w:t>
      </w:r>
      <w:r w:rsidRPr="003A566B">
        <w:rPr>
          <w:lang w:eastAsia="zh-CN"/>
        </w:rPr>
        <w:t>这些特征共同导致现金压力在项目早期尤为突出。即便账面收入在增长，如果回款速度跟不上支出节奏，企业仍然可能面临</w:t>
      </w:r>
      <w:r w:rsidRPr="003A566B">
        <w:rPr>
          <w:lang w:eastAsia="zh-CN"/>
        </w:rPr>
        <w:t>“</w:t>
      </w:r>
      <w:r w:rsidRPr="003A566B">
        <w:rPr>
          <w:lang w:eastAsia="zh-CN"/>
        </w:rPr>
        <w:t>有利润、没现金</w:t>
      </w:r>
      <w:r w:rsidRPr="003A566B">
        <w:rPr>
          <w:lang w:eastAsia="zh-CN"/>
        </w:rPr>
        <w:t>”</w:t>
      </w:r>
      <w:r w:rsidRPr="003A566B">
        <w:rPr>
          <w:lang w:eastAsia="zh-CN"/>
        </w:rPr>
        <w:t>的困境。现金压力风险的应对，不在于找到一笔额外的资金来填补缺口，而在于从根本上管理好收支节奏</w:t>
      </w:r>
      <w:r w:rsidRPr="003A566B">
        <w:rPr>
          <w:lang w:eastAsia="zh-CN"/>
        </w:rPr>
        <w:t>——</w:t>
      </w:r>
      <w:r w:rsidRPr="003A566B">
        <w:rPr>
          <w:lang w:eastAsia="zh-CN"/>
        </w:rPr>
        <w:t>什么时候花钱、什么时候收钱、收来的钱先支付哪些支出、哪些支出可以推迟、哪些支出必须按时支付</w:t>
      </w:r>
      <w:r w:rsidR="00000000">
        <w:rPr>
          <w:lang w:eastAsia="zh-CN"/>
        </w:rPr>
        <w:t>。</w:t>
      </w:r>
    </w:p>
    <w:p w14:paraId="66AC930A" w14:textId="678D01AD" w:rsidR="00735A9E" w:rsidRDefault="003A566B">
      <w:pPr>
        <w:rPr>
          <w:lang w:eastAsia="zh-CN"/>
        </w:rPr>
      </w:pPr>
      <w:proofErr w:type="spellStart"/>
      <w:r w:rsidRPr="003A566B">
        <w:rPr>
          <w:lang w:eastAsia="zh-CN"/>
        </w:rPr>
        <w:t>SkyGuard</w:t>
      </w:r>
      <w:proofErr w:type="spellEnd"/>
      <w:r w:rsidRPr="003A566B">
        <w:rPr>
          <w:lang w:eastAsia="zh-CN"/>
        </w:rPr>
        <w:t>的边界是辅助感知、风险预警、事件协同和报表复盘，不替代审批或执法，也不承诺干扰、捕获和打击能力。边界越清楚，客户沟通和合同验收越稳。在现金压力风险的应对上，应建立月度现金流滚动预测机制、设置现金余额预警线、以及建立客户回款分级管理制度</w:t>
      </w:r>
      <w:r w:rsidR="00000000">
        <w:rPr>
          <w:lang w:eastAsia="zh-CN"/>
        </w:rPr>
        <w:t>。</w:t>
      </w:r>
    </w:p>
    <w:p w14:paraId="0591D7B4" w14:textId="77777777" w:rsidR="00735A9E" w:rsidRDefault="00000000">
      <w:pPr>
        <w:pStyle w:val="af7"/>
        <w:keepLines/>
        <w:spacing w:before="80" w:after="160"/>
        <w:rPr>
          <w:lang w:eastAsia="zh-CN"/>
        </w:rPr>
      </w:pPr>
      <w:r>
        <w:rPr>
          <w:noProof/>
        </w:rPr>
        <w:drawing>
          <wp:inline distT="0" distB="0" distL="0" distR="0" wp14:anchorId="2DF209C3" wp14:editId="46BFB5FD">
            <wp:extent cx="5495026" cy="3024639"/>
            <wp:effectExtent l="0" t="0" r="0" b="444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终稿材料构成条形图.png"/>
                    <pic:cNvPicPr/>
                  </pic:nvPicPr>
                  <pic:blipFill>
                    <a:blip r:embed="rId29"/>
                    <a:stretch>
                      <a:fillRect/>
                    </a:stretch>
                  </pic:blipFill>
                  <pic:spPr>
                    <a:xfrm>
                      <a:off x="0" y="0"/>
                      <a:ext cx="5510866" cy="3033358"/>
                    </a:xfrm>
                    <a:prstGeom prst="rect">
                      <a:avLst/>
                    </a:prstGeom>
                  </pic:spPr>
                </pic:pic>
              </a:graphicData>
            </a:graphic>
          </wp:inline>
        </w:drawing>
      </w:r>
      <w:r>
        <w:rPr>
          <w:lang w:eastAsia="zh-CN"/>
        </w:rPr>
        <w:br/>
      </w:r>
      <w:r>
        <w:rPr>
          <w:lang w:eastAsia="zh-CN"/>
        </w:rPr>
        <w:t>图</w:t>
      </w:r>
      <w:r>
        <w:rPr>
          <w:lang w:eastAsia="zh-CN"/>
        </w:rPr>
        <w:t xml:space="preserve"> 136 </w:t>
      </w:r>
      <w:r>
        <w:rPr>
          <w:lang w:eastAsia="zh-CN"/>
        </w:rPr>
        <w:t>终稿材料构成条形图</w:t>
      </w:r>
      <w:r>
        <w:rPr>
          <w:lang w:eastAsia="zh-CN"/>
        </w:rPr>
        <w:t xml:space="preserve"> </w:t>
      </w:r>
      <w:r>
        <w:rPr>
          <w:lang w:eastAsia="zh-CN"/>
        </w:rPr>
        <w:t>资料来源：经营假设、平台演示样本与整理数据。要点：材料构成条形图能说明终稿不是单一文本，而是图文表和工程材料共同组成。</w:t>
      </w:r>
    </w:p>
    <w:p w14:paraId="470CCB8A" w14:textId="77777777" w:rsidR="00735A9E" w:rsidRDefault="00000000">
      <w:pPr>
        <w:rPr>
          <w:lang w:eastAsia="zh-CN"/>
        </w:rPr>
      </w:pPr>
      <w:r>
        <w:rPr>
          <w:lang w:eastAsia="zh-CN"/>
        </w:rPr>
        <w:lastRenderedPageBreak/>
        <w:t>终稿材料构成条形图支持的风险判断是：材料构成条形图能说明终稿不是单一文本，而是图文表和工程材料共同组成。资料口径来自经营假设、平台演示样本与整理数据。</w:t>
      </w:r>
    </w:p>
    <w:p w14:paraId="50E93AFC" w14:textId="77777777" w:rsidR="00735A9E" w:rsidRDefault="00000000">
      <w:pPr>
        <w:rPr>
          <w:lang w:eastAsia="zh-CN"/>
        </w:rPr>
      </w:pPr>
      <w:r>
        <w:rPr>
          <w:lang w:eastAsia="zh-CN"/>
        </w:rPr>
        <w:t>它把外部资料、产品动作和交付边界连在一起，便于后续试点逐项核验。</w:t>
      </w:r>
      <w:r>
        <w:rPr>
          <w:lang w:eastAsia="zh-CN"/>
        </w:rPr>
        <w:t xml:space="preserve"> </w:t>
      </w:r>
      <w:r>
        <w:rPr>
          <w:lang w:eastAsia="zh-CN"/>
        </w:rPr>
        <w:t>风险应对要写出触发信号、影响范围和处理动作，不能只停留在风险清单。</w:t>
      </w:r>
    </w:p>
    <w:p w14:paraId="1E88A4D3" w14:textId="77777777" w:rsidR="00735A9E" w:rsidRDefault="00000000">
      <w:pPr>
        <w:rPr>
          <w:lang w:eastAsia="zh-CN"/>
        </w:rPr>
      </w:pPr>
      <w:r>
        <w:rPr>
          <w:lang w:eastAsia="zh-CN"/>
        </w:rPr>
        <w:t>风险应对中的现金压力需要写出触发信号和处理动作。提前划清辅助监管、人工确认、数据合规和硬件伙伴边界，能让试点合同和演示口径更稳。</w:t>
      </w:r>
    </w:p>
    <w:p w14:paraId="7B27ECDE" w14:textId="77777777" w:rsidR="00735A9E" w:rsidRDefault="00000000">
      <w:pPr>
        <w:pStyle w:val="a0"/>
        <w:rPr>
          <w:lang w:eastAsia="zh-CN"/>
        </w:rPr>
      </w:pPr>
      <w:r>
        <w:rPr>
          <w:color w:val="2D3748"/>
          <w:lang w:eastAsia="zh-CN"/>
        </w:rPr>
        <w:t>边界清楚：辅助监管，不替代审批或执法</w:t>
      </w:r>
    </w:p>
    <w:p w14:paraId="45B70605" w14:textId="77777777" w:rsidR="00735A9E" w:rsidRDefault="00000000">
      <w:pPr>
        <w:pStyle w:val="a0"/>
        <w:rPr>
          <w:lang w:eastAsia="zh-CN"/>
        </w:rPr>
      </w:pPr>
      <w:r>
        <w:rPr>
          <w:color w:val="2D3748"/>
          <w:lang w:eastAsia="zh-CN"/>
        </w:rPr>
        <w:t>依据：经营假设、平台演示样本与整理数据</w:t>
      </w:r>
    </w:p>
    <w:p w14:paraId="196ED3F2" w14:textId="77777777" w:rsidR="00735A9E" w:rsidRDefault="00000000">
      <w:pPr>
        <w:pStyle w:val="a0"/>
        <w:rPr>
          <w:lang w:eastAsia="zh-CN"/>
        </w:rPr>
      </w:pPr>
      <w:r>
        <w:rPr>
          <w:color w:val="2D3748"/>
          <w:lang w:eastAsia="zh-CN"/>
        </w:rPr>
        <w:t>处置重点：材料构成条形图能说明终稿不是单一文本，而是图文表和工程材料共同组成。</w:t>
      </w:r>
    </w:p>
    <w:p w14:paraId="4BC5B47E" w14:textId="77777777" w:rsidR="00735A9E" w:rsidRDefault="00000000">
      <w:pPr>
        <w:spacing w:before="80" w:after="20"/>
        <w:ind w:firstLine="0"/>
        <w:rPr>
          <w:lang w:eastAsia="zh-CN"/>
        </w:rPr>
      </w:pPr>
      <w:r>
        <w:rPr>
          <w:b/>
          <w:color w:val="64748B"/>
          <w:sz w:val="17"/>
          <w:lang w:eastAsia="zh-CN"/>
        </w:rPr>
        <w:t>第十章</w:t>
      </w:r>
      <w:r>
        <w:rPr>
          <w:b/>
          <w:color w:val="64748B"/>
          <w:sz w:val="17"/>
          <w:lang w:eastAsia="zh-CN"/>
        </w:rPr>
        <w:t xml:space="preserve"> </w:t>
      </w:r>
      <w:r>
        <w:rPr>
          <w:b/>
          <w:color w:val="64748B"/>
          <w:sz w:val="17"/>
          <w:lang w:eastAsia="zh-CN"/>
        </w:rPr>
        <w:t>风险应对</w:t>
      </w:r>
    </w:p>
    <w:p w14:paraId="7AAA2DD8" w14:textId="77777777" w:rsidR="00735A9E" w:rsidRDefault="00000000">
      <w:pPr>
        <w:pStyle w:val="21"/>
        <w:rPr>
          <w:lang w:eastAsia="zh-CN"/>
        </w:rPr>
      </w:pPr>
      <w:r>
        <w:rPr>
          <w:rFonts w:ascii="Times New Roman" w:eastAsia="仿宋" w:hAnsi="Times New Roman" w:cs="仿宋"/>
          <w:lang w:eastAsia="zh-CN"/>
        </w:rPr>
        <w:t xml:space="preserve">10.7 </w:t>
      </w:r>
      <w:r>
        <w:rPr>
          <w:rFonts w:ascii="Times New Roman" w:eastAsia="仿宋" w:hAnsi="Times New Roman" w:cs="仿宋"/>
          <w:lang w:eastAsia="zh-CN"/>
        </w:rPr>
        <w:t>过度承诺风险</w:t>
      </w:r>
    </w:p>
    <w:p w14:paraId="6DADC322" w14:textId="6E18742A" w:rsidR="00735A9E" w:rsidRDefault="003A566B">
      <w:pPr>
        <w:rPr>
          <w:lang w:eastAsia="zh-CN"/>
        </w:rPr>
      </w:pPr>
      <w:r w:rsidRPr="003A566B">
        <w:rPr>
          <w:lang w:eastAsia="zh-CN"/>
        </w:rPr>
        <w:t>过度承诺是创业公司在客户拓展阶段最容易犯的错误，也是后果最严重的错误之一。在激烈的市场竞争中，面对客户提出的各类需求，销售团队常常倾向于说</w:t>
      </w:r>
      <w:r w:rsidRPr="003A566B">
        <w:rPr>
          <w:lang w:eastAsia="zh-CN"/>
        </w:rPr>
        <w:t>“</w:t>
      </w:r>
      <w:r w:rsidRPr="003A566B">
        <w:rPr>
          <w:lang w:eastAsia="zh-CN"/>
        </w:rPr>
        <w:t>可以做</w:t>
      </w:r>
      <w:r w:rsidRPr="003A566B">
        <w:rPr>
          <w:lang w:eastAsia="zh-CN"/>
        </w:rPr>
        <w:t>”</w:t>
      </w:r>
      <w:r w:rsidRPr="003A566B">
        <w:rPr>
          <w:lang w:eastAsia="zh-CN"/>
        </w:rPr>
        <w:t>，以此来赢得合同。然而，每一个</w:t>
      </w:r>
      <w:r w:rsidRPr="003A566B">
        <w:rPr>
          <w:lang w:eastAsia="zh-CN"/>
        </w:rPr>
        <w:t>“</w:t>
      </w:r>
      <w:r w:rsidRPr="003A566B">
        <w:rPr>
          <w:lang w:eastAsia="zh-CN"/>
        </w:rPr>
        <w:t>可以做</w:t>
      </w:r>
      <w:r w:rsidRPr="003A566B">
        <w:rPr>
          <w:lang w:eastAsia="zh-CN"/>
        </w:rPr>
        <w:t>”</w:t>
      </w:r>
      <w:r w:rsidRPr="003A566B">
        <w:rPr>
          <w:lang w:eastAsia="zh-CN"/>
        </w:rPr>
        <w:t>的承诺背后，都意味着研发团队需要投入额外的时间来开发新功能、交付团队需要承担更高的实施复杂度和验收风险、客户成功团队需要在后续维护中处理更多的问题。当过度承诺累积到一定程度，团队将被大量的定制需求和售后问题淹没，核心产品的迭代速度下降，整体交付质量滑坡，最终导致客户不满意、团队疲惫、口碑受损</w:t>
      </w:r>
      <w:r w:rsidR="00000000">
        <w:rPr>
          <w:lang w:eastAsia="zh-CN"/>
        </w:rPr>
        <w:t>。</w:t>
      </w:r>
    </w:p>
    <w:p w14:paraId="3E23DF5F" w14:textId="77777777" w:rsidR="00735A9E" w:rsidRDefault="00000000">
      <w:pPr>
        <w:rPr>
          <w:lang w:eastAsia="zh-CN"/>
        </w:rPr>
      </w:pPr>
      <w:proofErr w:type="spellStart"/>
      <w:r>
        <w:rPr>
          <w:lang w:eastAsia="zh-CN"/>
        </w:rPr>
        <w:t>SkyGuard</w:t>
      </w:r>
      <w:proofErr w:type="spellEnd"/>
      <w:r>
        <w:rPr>
          <w:lang w:eastAsia="zh-CN"/>
        </w:rPr>
        <w:t xml:space="preserve"> </w:t>
      </w:r>
      <w:r>
        <w:rPr>
          <w:lang w:eastAsia="zh-CN"/>
        </w:rPr>
        <w:t>的边界是辅助感知、风险预警、事件协同和报表复盘，不替代审批或执法，也不承诺干扰、捕获和打击能力。边界越清楚，客户沟通和合同验收越稳。</w:t>
      </w:r>
    </w:p>
    <w:p w14:paraId="013D0845" w14:textId="77777777" w:rsidR="00735A9E" w:rsidRDefault="00000000">
      <w:pPr>
        <w:pStyle w:val="af7"/>
        <w:keepLines/>
        <w:spacing w:before="80" w:after="160"/>
        <w:rPr>
          <w:lang w:eastAsia="zh-CN"/>
        </w:rPr>
      </w:pPr>
      <w:r>
        <w:rPr>
          <w:noProof/>
        </w:rPr>
        <w:drawing>
          <wp:inline distT="0" distB="0" distL="0" distR="0" wp14:anchorId="33171C64" wp14:editId="2A90EA58">
            <wp:extent cx="5808833" cy="3197369"/>
            <wp:effectExtent l="0" t="0" r="1905" b="317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证据到章节映射图.png"/>
                    <pic:cNvPicPr/>
                  </pic:nvPicPr>
                  <pic:blipFill>
                    <a:blip r:embed="rId30"/>
                    <a:stretch>
                      <a:fillRect/>
                    </a:stretch>
                  </pic:blipFill>
                  <pic:spPr>
                    <a:xfrm>
                      <a:off x="0" y="0"/>
                      <a:ext cx="5865852" cy="3228754"/>
                    </a:xfrm>
                    <a:prstGeom prst="rect">
                      <a:avLst/>
                    </a:prstGeom>
                  </pic:spPr>
                </pic:pic>
              </a:graphicData>
            </a:graphic>
          </wp:inline>
        </w:drawing>
      </w:r>
      <w:r>
        <w:rPr>
          <w:lang w:eastAsia="zh-CN"/>
        </w:rPr>
        <w:br/>
      </w:r>
      <w:r>
        <w:rPr>
          <w:lang w:eastAsia="zh-CN"/>
        </w:rPr>
        <w:t>图</w:t>
      </w:r>
      <w:r>
        <w:rPr>
          <w:lang w:eastAsia="zh-CN"/>
        </w:rPr>
        <w:t xml:space="preserve"> 137 </w:t>
      </w:r>
      <w:r>
        <w:rPr>
          <w:lang w:eastAsia="zh-CN"/>
        </w:rPr>
        <w:t>证据到章节映射图</w:t>
      </w:r>
      <w:r>
        <w:rPr>
          <w:lang w:eastAsia="zh-CN"/>
        </w:rPr>
        <w:t xml:space="preserve"> </w:t>
      </w:r>
      <w:r>
        <w:rPr>
          <w:lang w:eastAsia="zh-CN"/>
        </w:rPr>
        <w:t>资料来源：经营假设、平台演示样本与整理数据。要点：证据映射图能帮助读者快速核验正文判断与资料来源之间的关系。</w:t>
      </w:r>
    </w:p>
    <w:p w14:paraId="1D7300DB" w14:textId="77777777" w:rsidR="00735A9E" w:rsidRDefault="00000000">
      <w:pPr>
        <w:rPr>
          <w:lang w:eastAsia="zh-CN"/>
        </w:rPr>
      </w:pPr>
      <w:r>
        <w:rPr>
          <w:lang w:eastAsia="zh-CN"/>
        </w:rPr>
        <w:lastRenderedPageBreak/>
        <w:t>证据到章节映射图支持的风险判断是：证据映射图能帮助读者快速核验正文判断与资料来源之间的关系。资料口径来自经营假设、平台演示样本与整理数据。</w:t>
      </w:r>
    </w:p>
    <w:p w14:paraId="5FF49777" w14:textId="426F378F" w:rsidR="00735A9E" w:rsidRDefault="003A566B">
      <w:pPr>
        <w:rPr>
          <w:lang w:eastAsia="zh-CN"/>
        </w:rPr>
      </w:pPr>
      <w:r w:rsidRPr="003A566B">
        <w:rPr>
          <w:lang w:eastAsia="zh-CN"/>
        </w:rPr>
        <w:t>如果只看单个指标，容易把商业机会写成赛道热度的宏大叙事；将指标放回实际的工作流中，才能看清楚哪些功能是产品真正具备的、哪些功能还需要开发、哪些功能虽然竞争对手有但</w:t>
      </w:r>
      <w:proofErr w:type="spellStart"/>
      <w:r w:rsidRPr="003A566B">
        <w:rPr>
          <w:lang w:eastAsia="zh-CN"/>
        </w:rPr>
        <w:t>SkyGuard</w:t>
      </w:r>
      <w:proofErr w:type="spellEnd"/>
      <w:r w:rsidRPr="003A566B">
        <w:rPr>
          <w:lang w:eastAsia="zh-CN"/>
        </w:rPr>
        <w:t>选择不做。风险应对要写出触发信号、影响范围和处理动作，不能只停留在风险清单</w:t>
      </w:r>
      <w:r w:rsidR="00000000">
        <w:rPr>
          <w:lang w:eastAsia="zh-CN"/>
        </w:rPr>
        <w:t>。</w:t>
      </w:r>
    </w:p>
    <w:p w14:paraId="4563A7A1" w14:textId="77777777" w:rsidR="00735A9E" w:rsidRDefault="00000000">
      <w:pPr>
        <w:rPr>
          <w:lang w:eastAsia="zh-CN"/>
        </w:rPr>
      </w:pPr>
      <w:r>
        <w:rPr>
          <w:lang w:eastAsia="zh-CN"/>
        </w:rPr>
        <w:t>风险应对中的过度承诺需要写出触发信号和处理动作。提前划清辅助监管、人工确认、数据合规和硬件伙伴边界，能让试点合同和演示口径更稳。</w:t>
      </w:r>
    </w:p>
    <w:p w14:paraId="1B22A328" w14:textId="77777777" w:rsidR="00735A9E" w:rsidRDefault="00000000">
      <w:pPr>
        <w:pStyle w:val="a0"/>
        <w:rPr>
          <w:lang w:eastAsia="zh-CN"/>
        </w:rPr>
      </w:pPr>
      <w:r>
        <w:rPr>
          <w:color w:val="2D3748"/>
          <w:lang w:eastAsia="zh-CN"/>
        </w:rPr>
        <w:t>边界清楚：辅助监管，不替代审批或执法</w:t>
      </w:r>
    </w:p>
    <w:p w14:paraId="1AD9FCF1" w14:textId="77777777" w:rsidR="00735A9E" w:rsidRDefault="00000000">
      <w:pPr>
        <w:pStyle w:val="a0"/>
        <w:rPr>
          <w:lang w:eastAsia="zh-CN"/>
        </w:rPr>
      </w:pPr>
      <w:r>
        <w:rPr>
          <w:color w:val="2D3748"/>
          <w:lang w:eastAsia="zh-CN"/>
        </w:rPr>
        <w:t>依据：经营假设、平台演示样本与整理数据</w:t>
      </w:r>
    </w:p>
    <w:p w14:paraId="37C96100" w14:textId="77777777" w:rsidR="00735A9E" w:rsidRDefault="00000000">
      <w:pPr>
        <w:pStyle w:val="a0"/>
        <w:rPr>
          <w:lang w:eastAsia="zh-CN"/>
        </w:rPr>
      </w:pPr>
      <w:r>
        <w:rPr>
          <w:color w:val="2D3748"/>
          <w:lang w:eastAsia="zh-CN"/>
        </w:rPr>
        <w:t>处置重点：证据映射图能帮助读者快速核验正文判断与资料来源之间的关系。</w:t>
      </w:r>
    </w:p>
    <w:p w14:paraId="439B005C" w14:textId="77777777" w:rsidR="00735A9E" w:rsidRDefault="00000000">
      <w:pPr>
        <w:spacing w:before="80" w:after="20"/>
        <w:ind w:firstLine="0"/>
        <w:rPr>
          <w:lang w:eastAsia="zh-CN"/>
        </w:rPr>
      </w:pPr>
      <w:r>
        <w:rPr>
          <w:b/>
          <w:color w:val="64748B"/>
          <w:sz w:val="17"/>
          <w:lang w:eastAsia="zh-CN"/>
        </w:rPr>
        <w:t>第十章</w:t>
      </w:r>
      <w:r>
        <w:rPr>
          <w:b/>
          <w:color w:val="64748B"/>
          <w:sz w:val="17"/>
          <w:lang w:eastAsia="zh-CN"/>
        </w:rPr>
        <w:t xml:space="preserve"> </w:t>
      </w:r>
      <w:r>
        <w:rPr>
          <w:b/>
          <w:color w:val="64748B"/>
          <w:sz w:val="17"/>
          <w:lang w:eastAsia="zh-CN"/>
        </w:rPr>
        <w:t>风险应对</w:t>
      </w:r>
    </w:p>
    <w:p w14:paraId="2C69AE94" w14:textId="77777777" w:rsidR="00735A9E" w:rsidRDefault="00000000">
      <w:pPr>
        <w:pStyle w:val="21"/>
        <w:rPr>
          <w:lang w:eastAsia="zh-CN"/>
        </w:rPr>
      </w:pPr>
      <w:r>
        <w:rPr>
          <w:rFonts w:ascii="Times New Roman" w:eastAsia="仿宋" w:hAnsi="Times New Roman" w:cs="仿宋"/>
          <w:lang w:eastAsia="zh-CN"/>
        </w:rPr>
        <w:t xml:space="preserve">10.8 </w:t>
      </w:r>
      <w:r>
        <w:rPr>
          <w:rFonts w:ascii="Times New Roman" w:eastAsia="仿宋" w:hAnsi="Times New Roman" w:cs="仿宋"/>
          <w:lang w:eastAsia="zh-CN"/>
        </w:rPr>
        <w:t>试点延期原因</w:t>
      </w:r>
    </w:p>
    <w:p w14:paraId="0743F707" w14:textId="06AC89EA" w:rsidR="00E462D2" w:rsidRDefault="003A566B" w:rsidP="00E462D2">
      <w:pPr>
        <w:rPr>
          <w:rFonts w:hint="eastAsia"/>
          <w:lang w:eastAsia="zh-CN"/>
        </w:rPr>
      </w:pPr>
      <w:r w:rsidRPr="003A566B">
        <w:rPr>
          <w:lang w:eastAsia="zh-CN"/>
        </w:rPr>
        <w:t>试点延期是低空领域项目中需要重点关注的执行风险。与标准化的软件产品不同，低空领域试点项目涉及硬件部署、网络通信、数据接口、用户培训等多个环节，任何一个环节的延误都可能导致整个试点推迟。实际经验表明，最常见的试点延期原因包括：客户场地和硬件准备不充分（如感知设备未按时安装到位）、数据接口对接出现问题（如客户提供的接口文档与实际接口不一致）、客户内部协调不畅（如涉及多个部门时责任分工不明确）、以及天气等不可控因素影响（如户外设备调试受恶劣天气影响）</w:t>
      </w:r>
      <w:r w:rsidR="00E462D2">
        <w:rPr>
          <w:rFonts w:hint="eastAsia"/>
          <w:lang w:eastAsia="zh-CN"/>
        </w:rPr>
        <w:t>。</w:t>
      </w:r>
    </w:p>
    <w:p w14:paraId="24E8191E" w14:textId="22E5AC9E" w:rsidR="00E462D2" w:rsidRDefault="00E462D2" w:rsidP="00E462D2">
      <w:pPr>
        <w:rPr>
          <w:rFonts w:hint="eastAsia"/>
          <w:lang w:eastAsia="zh-CN"/>
        </w:rPr>
      </w:pPr>
      <w:proofErr w:type="spellStart"/>
      <w:r>
        <w:rPr>
          <w:rFonts w:hint="eastAsia"/>
          <w:lang w:eastAsia="zh-CN"/>
        </w:rPr>
        <w:t>SkyGuard</w:t>
      </w:r>
      <w:proofErr w:type="spellEnd"/>
      <w:r>
        <w:rPr>
          <w:rFonts w:hint="eastAsia"/>
          <w:lang w:eastAsia="zh-CN"/>
        </w:rPr>
        <w:t>的边界是辅助感知、风险预警、事件协同和报表复盘，不替代审批或执法，也不承诺干扰、捕获和打击能力。边界越清楚，客户沟通和合同验收越稳。在试点延期风险的应对上，应在项目启动前与客户共同制定详细的里程碑计划（明确每个阶段的时间节点和双方责任）、建立每周的项目进度沟通机制（及时发现潜在的延期风险并协商解决方案）、以及在合同中预留合理的缓冲时间（不过度承诺交付日期，给自己留有余地）。</w:t>
      </w:r>
    </w:p>
    <w:p w14:paraId="7E706641" w14:textId="601BFF7D" w:rsidR="00E462D2" w:rsidRDefault="00E462D2" w:rsidP="00E462D2">
      <w:pPr>
        <w:rPr>
          <w:rFonts w:hint="eastAsia"/>
          <w:lang w:eastAsia="zh-CN"/>
        </w:rPr>
      </w:pPr>
      <w:r>
        <w:rPr>
          <w:rFonts w:hint="eastAsia"/>
          <w:lang w:eastAsia="zh-CN"/>
        </w:rPr>
        <w:t>政策边界支持的风险判断是：风险按阻断项目、拖慢节奏、增加成本三类处理。</w:t>
      </w:r>
      <w:r>
        <w:rPr>
          <w:rFonts w:hint="eastAsia"/>
          <w:lang w:eastAsia="zh-CN"/>
        </w:rPr>
        <w:t xml:space="preserve"> </w:t>
      </w:r>
      <w:r>
        <w:rPr>
          <w:rFonts w:hint="eastAsia"/>
          <w:lang w:eastAsia="zh-CN"/>
        </w:rPr>
        <w:t>资料口径来自整理图片、</w:t>
      </w:r>
      <w:r>
        <w:rPr>
          <w:rFonts w:hint="eastAsia"/>
          <w:lang w:eastAsia="zh-CN"/>
        </w:rPr>
        <w:t>Demo</w:t>
      </w:r>
      <w:r>
        <w:rPr>
          <w:rFonts w:hint="eastAsia"/>
          <w:lang w:eastAsia="zh-CN"/>
        </w:rPr>
        <w:t>截图与项目资料。</w:t>
      </w:r>
    </w:p>
    <w:p w14:paraId="2A9B4A3F" w14:textId="2D25534D" w:rsidR="00E462D2" w:rsidRDefault="00E462D2" w:rsidP="00E462D2">
      <w:pPr>
        <w:rPr>
          <w:rFonts w:hint="eastAsia"/>
          <w:lang w:eastAsia="zh-CN"/>
        </w:rPr>
      </w:pPr>
      <w:r>
        <w:rPr>
          <w:rFonts w:hint="eastAsia"/>
          <w:lang w:eastAsia="zh-CN"/>
        </w:rPr>
        <w:t>早期样板客户应优先选择责任主体清楚、边界稳定、记录可追溯的区域。这样的客户选择能显著降低试点延期的概率——责任主体清楚意味着客户内部的决策链条短、沟通效率高；边界稳定意味着项目范围不容易在试点过程中被随意扩大；记录可追溯意味着问题的定位和解决速度更快。风险应对要写出触发信号、影响范围和处理动作，不能只停留在风险清单。</w:t>
      </w:r>
    </w:p>
    <w:p w14:paraId="3DE8C4E8" w14:textId="227C2E4D" w:rsidR="00735A9E" w:rsidRDefault="00E462D2" w:rsidP="00E462D2">
      <w:pPr>
        <w:rPr>
          <w:lang w:eastAsia="zh-CN"/>
        </w:rPr>
      </w:pPr>
      <w:r>
        <w:rPr>
          <w:rFonts w:hint="eastAsia"/>
          <w:lang w:eastAsia="zh-CN"/>
        </w:rPr>
        <w:t>风险应对中的政策边界需要写出触发信号和处理动作。提前划清辅助监管、人工确认、数据合规和硬件伙伴边界，能让试点合同和演示口径更稳</w:t>
      </w:r>
      <w:r w:rsidR="00000000">
        <w:rPr>
          <w:lang w:eastAsia="zh-CN"/>
        </w:rPr>
        <w:t>。</w:t>
      </w:r>
    </w:p>
    <w:p w14:paraId="25D6C11D" w14:textId="77777777" w:rsidR="00735A9E" w:rsidRDefault="00000000">
      <w:pPr>
        <w:pStyle w:val="a0"/>
        <w:rPr>
          <w:lang w:eastAsia="zh-CN"/>
        </w:rPr>
      </w:pPr>
      <w:r>
        <w:rPr>
          <w:color w:val="2D3748"/>
          <w:lang w:eastAsia="zh-CN"/>
        </w:rPr>
        <w:t>边界清楚：辅助监管，不替代审批或执法</w:t>
      </w:r>
    </w:p>
    <w:p w14:paraId="3ABB3E4B" w14:textId="3F5649B5" w:rsidR="00735A9E" w:rsidRDefault="00000000">
      <w:pPr>
        <w:pStyle w:val="a0"/>
        <w:rPr>
          <w:lang w:eastAsia="zh-CN"/>
        </w:rPr>
      </w:pPr>
      <w:r>
        <w:rPr>
          <w:color w:val="2D3748"/>
          <w:lang w:eastAsia="zh-CN"/>
        </w:rPr>
        <w:t>依据：整理图片、</w:t>
      </w:r>
      <w:r>
        <w:rPr>
          <w:color w:val="2D3748"/>
          <w:lang w:eastAsia="zh-CN"/>
        </w:rPr>
        <w:t>Demo</w:t>
      </w:r>
      <w:r>
        <w:rPr>
          <w:color w:val="2D3748"/>
          <w:lang w:eastAsia="zh-CN"/>
        </w:rPr>
        <w:t>截图与项目资料</w:t>
      </w:r>
      <w:r w:rsidR="00DC6361">
        <w:rPr>
          <w:rFonts w:hint="eastAsia"/>
          <w:color w:val="2D3748"/>
          <w:lang w:eastAsia="zh-CN"/>
        </w:rPr>
        <w:t xml:space="preserve"> </w:t>
      </w:r>
    </w:p>
    <w:p w14:paraId="3C518509" w14:textId="77777777" w:rsidR="00735A9E" w:rsidRDefault="00000000">
      <w:pPr>
        <w:pStyle w:val="a0"/>
        <w:rPr>
          <w:lang w:eastAsia="zh-CN"/>
        </w:rPr>
      </w:pPr>
      <w:r>
        <w:rPr>
          <w:color w:val="2D3748"/>
          <w:lang w:eastAsia="zh-CN"/>
        </w:rPr>
        <w:t>处置重点：风险按阻断项目、拖慢节奏、增加成本三类处理。</w:t>
      </w:r>
    </w:p>
    <w:p w14:paraId="1E69702E" w14:textId="77777777" w:rsidR="00735A9E" w:rsidRDefault="00000000">
      <w:pPr>
        <w:spacing w:before="80" w:after="20"/>
        <w:ind w:firstLine="0"/>
        <w:rPr>
          <w:lang w:eastAsia="zh-CN"/>
        </w:rPr>
      </w:pPr>
      <w:r>
        <w:rPr>
          <w:b/>
          <w:color w:val="64748B"/>
          <w:sz w:val="17"/>
          <w:lang w:eastAsia="zh-CN"/>
        </w:rPr>
        <w:lastRenderedPageBreak/>
        <w:t>第十章</w:t>
      </w:r>
      <w:r>
        <w:rPr>
          <w:b/>
          <w:color w:val="64748B"/>
          <w:sz w:val="17"/>
          <w:lang w:eastAsia="zh-CN"/>
        </w:rPr>
        <w:t xml:space="preserve"> </w:t>
      </w:r>
      <w:r>
        <w:rPr>
          <w:b/>
          <w:color w:val="64748B"/>
          <w:sz w:val="17"/>
          <w:lang w:eastAsia="zh-CN"/>
        </w:rPr>
        <w:t>风险应对</w:t>
      </w:r>
    </w:p>
    <w:p w14:paraId="4E015A3E" w14:textId="77777777" w:rsidR="00735A9E" w:rsidRDefault="00000000">
      <w:pPr>
        <w:pStyle w:val="21"/>
        <w:rPr>
          <w:lang w:eastAsia="zh-CN"/>
        </w:rPr>
      </w:pPr>
      <w:r>
        <w:rPr>
          <w:rFonts w:ascii="Times New Roman" w:eastAsia="仿宋" w:hAnsi="Times New Roman" w:cs="仿宋"/>
          <w:lang w:eastAsia="zh-CN"/>
        </w:rPr>
        <w:t xml:space="preserve">10.9 </w:t>
      </w:r>
      <w:r>
        <w:rPr>
          <w:rFonts w:ascii="Times New Roman" w:eastAsia="仿宋" w:hAnsi="Times New Roman" w:cs="仿宋"/>
          <w:lang w:eastAsia="zh-CN"/>
        </w:rPr>
        <w:t>风险预案</w:t>
      </w:r>
    </w:p>
    <w:p w14:paraId="02FBCDA4" w14:textId="6ABEE8ED" w:rsidR="00E462D2" w:rsidRDefault="00E462D2" w:rsidP="00E462D2">
      <w:pPr>
        <w:rPr>
          <w:rFonts w:hint="eastAsia"/>
          <w:lang w:eastAsia="zh-CN"/>
        </w:rPr>
      </w:pPr>
      <w:r>
        <w:rPr>
          <w:rFonts w:hint="eastAsia"/>
          <w:lang w:eastAsia="zh-CN"/>
        </w:rPr>
        <w:t>风险预案是风险应对章节的最后一环，其作用是将前面各节识别的风险——政策边界、数据合规、误报漏报、硬件依赖、采购周期、现金压力、过度承诺、试点延期——整合为一套可执行的管理框架。风险预案不是一纸空文，它需要回答三个具体问题：谁负责监控风险触发信号？触发后按照什么流程启动应对？启动后如何确认风险已经得到有效控制？</w:t>
      </w:r>
      <w:r>
        <w:rPr>
          <w:rFonts w:hint="eastAsia"/>
          <w:lang w:eastAsia="zh-CN"/>
        </w:rPr>
        <w:t xml:space="preserve"> </w:t>
      </w:r>
      <w:r>
        <w:rPr>
          <w:rFonts w:hint="eastAsia"/>
          <w:lang w:eastAsia="zh-CN"/>
        </w:rPr>
        <w:t>缺少任何一个问题的答案，风险预案都不具备可操作性。</w:t>
      </w:r>
    </w:p>
    <w:p w14:paraId="308152A6" w14:textId="38FAB9B8" w:rsidR="00E462D2" w:rsidRDefault="00E462D2" w:rsidP="00E462D2">
      <w:pPr>
        <w:rPr>
          <w:rFonts w:hint="eastAsia"/>
          <w:lang w:eastAsia="zh-CN"/>
        </w:rPr>
      </w:pPr>
      <w:proofErr w:type="spellStart"/>
      <w:r>
        <w:rPr>
          <w:rFonts w:hint="eastAsia"/>
          <w:lang w:eastAsia="zh-CN"/>
        </w:rPr>
        <w:t>SkyGuard</w:t>
      </w:r>
      <w:proofErr w:type="spellEnd"/>
      <w:r>
        <w:rPr>
          <w:rFonts w:hint="eastAsia"/>
          <w:lang w:eastAsia="zh-CN"/>
        </w:rPr>
        <w:t>的边界是辅助感知、风险预警、事件协同和报表复盘，不替代审批或执法，也不承诺干扰、捕获和打击能力。边界越清楚，客户沟通和合同验收越稳。在风险预案的编制和执行中，应以边界清晰为第一原则——所有预案动作都应当围绕“守住产品边界、不承担超出能力范围的责任”这一核心目标展开。</w:t>
      </w:r>
    </w:p>
    <w:p w14:paraId="4F4547CD" w14:textId="05B397B9" w:rsidR="00E462D2" w:rsidRDefault="00E462D2" w:rsidP="00E462D2">
      <w:pPr>
        <w:rPr>
          <w:rFonts w:hint="eastAsia"/>
          <w:lang w:eastAsia="zh-CN"/>
        </w:rPr>
      </w:pPr>
      <w:r>
        <w:rPr>
          <w:rFonts w:hint="eastAsia"/>
          <w:lang w:eastAsia="zh-CN"/>
        </w:rPr>
        <w:t>数据合规支持的风险判断是：风险按阻断项目、拖慢节奏、增加成本三类处理。</w:t>
      </w:r>
      <w:r>
        <w:rPr>
          <w:rFonts w:hint="eastAsia"/>
          <w:lang w:eastAsia="zh-CN"/>
        </w:rPr>
        <w:t xml:space="preserve"> </w:t>
      </w:r>
      <w:r>
        <w:rPr>
          <w:rFonts w:hint="eastAsia"/>
          <w:lang w:eastAsia="zh-CN"/>
        </w:rPr>
        <w:t>资料口径来自整理图片、</w:t>
      </w:r>
      <w:r>
        <w:rPr>
          <w:rFonts w:hint="eastAsia"/>
          <w:lang w:eastAsia="zh-CN"/>
        </w:rPr>
        <w:t>Demo</w:t>
      </w:r>
      <w:r>
        <w:rPr>
          <w:rFonts w:hint="eastAsia"/>
          <w:lang w:eastAsia="zh-CN"/>
        </w:rPr>
        <w:t>截图与项目资料。</w:t>
      </w:r>
    </w:p>
    <w:p w14:paraId="4EE406AA" w14:textId="55D03972" w:rsidR="00E462D2" w:rsidRDefault="00E462D2" w:rsidP="00E462D2">
      <w:pPr>
        <w:rPr>
          <w:rFonts w:hint="eastAsia"/>
          <w:lang w:eastAsia="zh-CN"/>
        </w:rPr>
      </w:pPr>
      <w:r>
        <w:rPr>
          <w:rFonts w:hint="eastAsia"/>
          <w:lang w:eastAsia="zh-CN"/>
        </w:rPr>
        <w:t>这个判断的价值在于把市场机会压实到客户每天实际处理的事务层面——风险预案不是风险章节的装饰性结尾，它是整个商业计划书中最能体现团队“实战思维”的部分。一份好的风险预案，向读者传递的信息是：这个团队不仅知道风险在哪里，还知道风险出现时该找谁、该做什么、该什么时候做完。风险应对要写出触发信号、影响范围和处理动作，不能只停留在风险清单。</w:t>
      </w:r>
    </w:p>
    <w:p w14:paraId="6E7405E4" w14:textId="3038AED2" w:rsidR="00735A9E" w:rsidRDefault="00E462D2" w:rsidP="00E462D2">
      <w:pPr>
        <w:rPr>
          <w:rFonts w:hint="eastAsia"/>
          <w:lang w:eastAsia="zh-CN"/>
        </w:rPr>
      </w:pPr>
      <w:r>
        <w:rPr>
          <w:rFonts w:hint="eastAsia"/>
          <w:lang w:eastAsia="zh-CN"/>
        </w:rPr>
        <w:t>风险应对中的数据合规需要写出触发信号和处理动作。提前划清辅助监管、人工确认、数据合规和硬件伙伴边界，能让试点合同和演示口径更稳。</w:t>
      </w:r>
    </w:p>
    <w:p w14:paraId="7412FA28" w14:textId="77777777" w:rsidR="00735A9E" w:rsidRDefault="00000000">
      <w:pPr>
        <w:pStyle w:val="a0"/>
        <w:rPr>
          <w:lang w:eastAsia="zh-CN"/>
        </w:rPr>
      </w:pPr>
      <w:r>
        <w:rPr>
          <w:color w:val="2D3748"/>
          <w:lang w:eastAsia="zh-CN"/>
        </w:rPr>
        <w:t>边界清楚：辅助监管，不替代审批或执法</w:t>
      </w:r>
    </w:p>
    <w:p w14:paraId="1713B3F7" w14:textId="77777777" w:rsidR="00735A9E" w:rsidRDefault="00000000">
      <w:pPr>
        <w:pStyle w:val="a0"/>
        <w:rPr>
          <w:lang w:eastAsia="zh-CN"/>
        </w:rPr>
      </w:pPr>
      <w:r>
        <w:rPr>
          <w:color w:val="2D3748"/>
          <w:lang w:eastAsia="zh-CN"/>
        </w:rPr>
        <w:t>依据：整理图片、</w:t>
      </w:r>
      <w:r>
        <w:rPr>
          <w:color w:val="2D3748"/>
          <w:lang w:eastAsia="zh-CN"/>
        </w:rPr>
        <w:t>Demo</w:t>
      </w:r>
      <w:r>
        <w:rPr>
          <w:color w:val="2D3748"/>
          <w:lang w:eastAsia="zh-CN"/>
        </w:rPr>
        <w:t>截图与项目资料</w:t>
      </w:r>
    </w:p>
    <w:p w14:paraId="69EBBFB4" w14:textId="77777777" w:rsidR="00735A9E" w:rsidRDefault="00000000">
      <w:pPr>
        <w:pStyle w:val="a0"/>
        <w:rPr>
          <w:lang w:eastAsia="zh-CN"/>
        </w:rPr>
      </w:pPr>
      <w:r>
        <w:rPr>
          <w:color w:val="2D3748"/>
          <w:lang w:eastAsia="zh-CN"/>
        </w:rPr>
        <w:t>处置重点：风险按阻断项目、拖慢节奏、增加成本三类处理。</w:t>
      </w:r>
    </w:p>
    <w:p w14:paraId="14264658" w14:textId="6961B1FB" w:rsidR="00735A9E" w:rsidRDefault="00735A9E" w:rsidP="00C2717B">
      <w:pPr>
        <w:ind w:firstLine="0"/>
        <w:rPr>
          <w:lang w:eastAsia="zh-CN"/>
        </w:rPr>
      </w:pPr>
    </w:p>
    <w:sectPr w:rsidR="00735A9E" w:rsidSect="00034616">
      <w:headerReference w:type="default" r:id="rId31"/>
      <w:footerReference w:type="default" r:id="rId32"/>
      <w:pgSz w:w="11906" w:h="16838"/>
      <w:pgMar w:top="1276" w:right="1276" w:bottom="1162" w:left="1332" w:header="465"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6EBFC" w14:textId="77777777" w:rsidR="00A876B0" w:rsidRDefault="00A876B0">
      <w:pPr>
        <w:spacing w:after="0" w:line="240" w:lineRule="auto"/>
      </w:pPr>
      <w:r>
        <w:separator/>
      </w:r>
    </w:p>
  </w:endnote>
  <w:endnote w:type="continuationSeparator" w:id="0">
    <w:p w14:paraId="13AC7C2D" w14:textId="77777777" w:rsidR="00A876B0" w:rsidRDefault="00A87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6DB3F" w14:textId="77777777" w:rsidR="00735A9E" w:rsidRDefault="00000000">
    <w:pPr>
      <w:pStyle w:val="a7"/>
      <w:jc w:val="right"/>
      <w:rPr>
        <w:lang w:eastAsia="zh-CN"/>
      </w:rPr>
    </w:pPr>
    <w:r>
      <w:rPr>
        <w:color w:val="64748B"/>
        <w:sz w:val="16"/>
        <w:lang w:eastAsia="zh-CN"/>
      </w:rPr>
      <w:t>资料口径：官方统计</w:t>
    </w:r>
    <w:r>
      <w:rPr>
        <w:color w:val="64748B"/>
        <w:sz w:val="16"/>
        <w:lang w:eastAsia="zh-CN"/>
      </w:rPr>
      <w:t xml:space="preserve"> / </w:t>
    </w:r>
    <w:r>
      <w:rPr>
        <w:color w:val="64748B"/>
        <w:sz w:val="16"/>
        <w:lang w:eastAsia="zh-CN"/>
      </w:rPr>
      <w:t>地方政策</w:t>
    </w:r>
    <w:r>
      <w:rPr>
        <w:color w:val="64748B"/>
        <w:sz w:val="16"/>
        <w:lang w:eastAsia="zh-CN"/>
      </w:rPr>
      <w:t xml:space="preserve"> / </w:t>
    </w:r>
    <w:r>
      <w:rPr>
        <w:color w:val="64748B"/>
        <w:sz w:val="16"/>
        <w:lang w:eastAsia="zh-CN"/>
      </w:rPr>
      <w:t>公开数据</w:t>
    </w:r>
    <w:r>
      <w:rPr>
        <w:color w:val="64748B"/>
        <w:sz w:val="16"/>
        <w:lang w:eastAsia="zh-CN"/>
      </w:rPr>
      <w:t xml:space="preserve"> / </w:t>
    </w:r>
    <w:r>
      <w:rPr>
        <w:color w:val="64748B"/>
        <w:sz w:val="16"/>
        <w:lang w:eastAsia="zh-CN"/>
      </w:rPr>
      <w:t>演示样本</w:t>
    </w:r>
    <w:r>
      <w:rPr>
        <w:color w:val="64748B"/>
        <w:sz w:val="16"/>
        <w:lang w:eastAsia="zh-CN"/>
      </w:rPr>
      <w:t xml:space="preserve"> / </w:t>
    </w:r>
    <w:r>
      <w:rPr>
        <w:color w:val="64748B"/>
        <w:sz w:val="16"/>
        <w:lang w:eastAsia="zh-CN"/>
      </w:rPr>
      <w:t>经营假设</w:t>
    </w:r>
    <w:r>
      <w:rPr>
        <w:color w:val="64748B"/>
        <w:sz w:val="16"/>
        <w:lang w:eastAsia="zh-CN"/>
      </w:rPr>
      <w:t xml:space="preserve">    </w:t>
    </w:r>
    <w:r>
      <w:rPr>
        <w:color w:val="64748B"/>
        <w:sz w:val="16"/>
        <w:lang w:eastAsia="zh-CN"/>
      </w:rPr>
      <w:t>第</w:t>
    </w:r>
    <w:r>
      <w:rPr>
        <w:color w:val="64748B"/>
        <w:sz w:val="16"/>
        <w:lang w:eastAsia="zh-CN"/>
      </w:rPr>
      <w:t xml:space="preserve"> </w:t>
    </w:r>
    <w:r>
      <w:rPr>
        <w:color w:val="64748B"/>
        <w:sz w:val="16"/>
      </w:rPr>
      <w:fldChar w:fldCharType="begin"/>
    </w:r>
    <w:r>
      <w:rPr>
        <w:color w:val="64748B"/>
        <w:sz w:val="16"/>
        <w:lang w:eastAsia="zh-CN"/>
      </w:rPr>
      <w:instrText>PAGE</w:instrText>
    </w:r>
    <w:r>
      <w:rPr>
        <w:color w:val="64748B"/>
        <w:sz w:val="16"/>
      </w:rPr>
      <w:fldChar w:fldCharType="separate"/>
    </w:r>
    <w:r w:rsidR="00C2717B">
      <w:rPr>
        <w:noProof/>
        <w:color w:val="64748B"/>
        <w:sz w:val="16"/>
        <w:lang w:eastAsia="zh-CN"/>
      </w:rPr>
      <w:t>1</w:t>
    </w:r>
    <w:r>
      <w:rPr>
        <w:color w:val="64748B"/>
        <w:sz w:val="16"/>
      </w:rPr>
      <w:fldChar w:fldCharType="end"/>
    </w:r>
    <w:r>
      <w:rPr>
        <w:color w:val="64748B"/>
        <w:sz w:val="16"/>
        <w:lang w:eastAsia="zh-CN"/>
      </w:rPr>
      <w:t xml:space="preserve"> </w:t>
    </w:r>
    <w:r>
      <w:rPr>
        <w:color w:val="64748B"/>
        <w:sz w:val="16"/>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B7959" w14:textId="77777777" w:rsidR="00A876B0" w:rsidRDefault="00A876B0">
      <w:pPr>
        <w:spacing w:after="0" w:line="240" w:lineRule="auto"/>
      </w:pPr>
      <w:r>
        <w:separator/>
      </w:r>
    </w:p>
  </w:footnote>
  <w:footnote w:type="continuationSeparator" w:id="0">
    <w:p w14:paraId="58A0F257" w14:textId="77777777" w:rsidR="00A876B0" w:rsidRDefault="00A87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2600" w14:textId="77777777" w:rsidR="00735A9E" w:rsidRDefault="00000000">
    <w:pPr>
      <w:pStyle w:val="a5"/>
      <w:jc w:val="right"/>
      <w:rPr>
        <w:lang w:eastAsia="zh-CN"/>
      </w:rPr>
    </w:pPr>
    <w:r>
      <w:rPr>
        <w:color w:val="64748B"/>
        <w:sz w:val="17"/>
        <w:lang w:eastAsia="zh-CN"/>
      </w:rPr>
      <w:t xml:space="preserve">SkyGuard </w:t>
    </w:r>
    <w:r>
      <w:rPr>
        <w:color w:val="64748B"/>
        <w:sz w:val="17"/>
        <w:lang w:eastAsia="zh-CN"/>
      </w:rPr>
      <w:t>低空智眼</w:t>
    </w:r>
    <w:r>
      <w:rPr>
        <w:color w:val="64748B"/>
        <w:sz w:val="17"/>
        <w:lang w:eastAsia="zh-CN"/>
      </w:rPr>
      <w:t xml:space="preserve"> | </w:t>
    </w:r>
    <w:r>
      <w:rPr>
        <w:color w:val="64748B"/>
        <w:sz w:val="17"/>
        <w:lang w:eastAsia="zh-CN"/>
      </w:rPr>
      <w:t>城市低空运行监管商业计划书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5756388">
    <w:abstractNumId w:val="8"/>
  </w:num>
  <w:num w:numId="2" w16cid:durableId="924387250">
    <w:abstractNumId w:val="6"/>
  </w:num>
  <w:num w:numId="3" w16cid:durableId="402144550">
    <w:abstractNumId w:val="5"/>
  </w:num>
  <w:num w:numId="4" w16cid:durableId="207880648">
    <w:abstractNumId w:val="4"/>
  </w:num>
  <w:num w:numId="5" w16cid:durableId="733698722">
    <w:abstractNumId w:val="7"/>
  </w:num>
  <w:num w:numId="6" w16cid:durableId="1066687878">
    <w:abstractNumId w:val="3"/>
  </w:num>
  <w:num w:numId="7" w16cid:durableId="1810320143">
    <w:abstractNumId w:val="2"/>
  </w:num>
  <w:num w:numId="8" w16cid:durableId="801849437">
    <w:abstractNumId w:val="1"/>
  </w:num>
  <w:num w:numId="9" w16cid:durableId="29183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45"/>
    <w:rsid w:val="0012374B"/>
    <w:rsid w:val="0015074B"/>
    <w:rsid w:val="0029639D"/>
    <w:rsid w:val="00326F90"/>
    <w:rsid w:val="003A566B"/>
    <w:rsid w:val="00735A9E"/>
    <w:rsid w:val="007D453B"/>
    <w:rsid w:val="00A876B0"/>
    <w:rsid w:val="00AA1D8D"/>
    <w:rsid w:val="00B47730"/>
    <w:rsid w:val="00B748F8"/>
    <w:rsid w:val="00C2717B"/>
    <w:rsid w:val="00CB0664"/>
    <w:rsid w:val="00D72645"/>
    <w:rsid w:val="00DC6361"/>
    <w:rsid w:val="00E462D2"/>
    <w:rsid w:val="00F54BAC"/>
    <w:rsid w:val="00FC4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A2219"/>
  <w14:defaultImageDpi w14:val="300"/>
  <w15:docId w15:val="{8C27DB59-0930-4ECD-8A00-5D12E231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26" w:lineRule="auto"/>
      <w:ind w:firstLine="440"/>
      <w:jc w:val="both"/>
    </w:pPr>
    <w:rPr>
      <w:rFonts w:ascii="Times New Roman" w:eastAsia="仿宋" w:hAnsi="Times New Roman" w:cs="仿宋"/>
      <w:color w:val="1F2937"/>
    </w:rPr>
  </w:style>
  <w:style w:type="paragraph" w:styleId="1">
    <w:name w:val="heading 1"/>
    <w:basedOn w:val="a1"/>
    <w:next w:val="a1"/>
    <w:link w:val="10"/>
    <w:uiPriority w:val="9"/>
    <w:qFormat/>
    <w:rsid w:val="00FC693F"/>
    <w:pPr>
      <w:keepNext/>
      <w:keepLines/>
      <w:spacing w:before="200" w:after="160"/>
      <w:outlineLvl w:val="0"/>
    </w:pPr>
    <w:rPr>
      <w:rFonts w:asciiTheme="majorHAnsi" w:eastAsiaTheme="majorEastAsia" w:hAnsiTheme="majorHAnsi" w:cstheme="majorBidi"/>
      <w:b/>
      <w:bCs/>
      <w:color w:val="151F2B"/>
      <w:sz w:val="34"/>
      <w:szCs w:val="28"/>
    </w:rPr>
  </w:style>
  <w:style w:type="paragraph" w:styleId="21">
    <w:name w:val="heading 2"/>
    <w:basedOn w:val="a1"/>
    <w:next w:val="a1"/>
    <w:link w:val="22"/>
    <w:uiPriority w:val="9"/>
    <w:unhideWhenUsed/>
    <w:qFormat/>
    <w:rsid w:val="00FC693F"/>
    <w:pPr>
      <w:keepNext/>
      <w:keepLines/>
      <w:spacing w:before="220" w:after="120"/>
      <w:outlineLvl w:val="1"/>
    </w:pPr>
    <w:rPr>
      <w:rFonts w:asciiTheme="majorHAnsi" w:eastAsiaTheme="majorEastAsia" w:hAnsiTheme="majorHAnsi" w:cstheme="majorBidi"/>
      <w:b/>
      <w:bCs/>
      <w:color w:val="124E6B"/>
      <w:sz w:val="26"/>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color w:val="2F6B4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83" w:lineRule="auto"/>
      <w:ind w:left="440" w:hanging="220"/>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after="120" w:line="259" w:lineRule="auto"/>
      <w:jc w:val="center"/>
    </w:pPr>
    <w:rPr>
      <w:b/>
      <w:bCs/>
      <w:color w:val="586372"/>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3222</Words>
  <Characters>18367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涵 王</cp:lastModifiedBy>
  <cp:revision>5</cp:revision>
  <cp:lastPrinted>2026-07-05T13:04:00Z</cp:lastPrinted>
  <dcterms:created xsi:type="dcterms:W3CDTF">2013-12-23T23:15:00Z</dcterms:created>
  <dcterms:modified xsi:type="dcterms:W3CDTF">2026-07-05T15:05:00Z</dcterms:modified>
  <cp:category/>
</cp:coreProperties>
</file>