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eastAsia="黑体"/>
          <w:b/>
          <w:color w:val="0F1F4F"/>
          <w:sz w:val="52"/>
        </w:rPr>
        <w:t>第二十三届中国国际装备制造业博览会调研报告</w:t>
      </w:r>
    </w:p>
    <w:p>
      <w:pPr>
        <w:jc w:val="center"/>
      </w:pPr>
      <w:r>
        <w:rPr>
          <w:rFonts w:ascii="Times New Roman" w:hAnsi="Times New Roman" w:eastAsia="黑体"/>
          <w:b/>
          <w:color w:val="F59E0B"/>
          <w:sz w:val="32"/>
        </w:rPr>
        <w:t>从规模型展会到北方智能制造产业链服务平台</w:t>
      </w:r>
    </w:p>
    <w:p>
      <w:pPr>
        <w:jc w:val="center"/>
      </w:pPr>
      <w:r>
        <w:rPr>
          <w:rFonts w:ascii="Times New Roman" w:hAnsi="Times New Roman" w:eastAsia="黑体"/>
          <w:b w:val="0"/>
          <w:color w:val="64748B"/>
          <w:sz w:val="26"/>
        </w:rPr>
        <w:t>公开版调研报告</w:t>
      </w:r>
    </w:p>
    <w:p/>
    <w:tbl>
      <w:tblPr>
        <w:tblStyle w:val="TableGrid"/>
        <w:tblW w:type="auto" w:w="0"/>
        <w:jc w:val="center"/>
        <w:tblLayout w:type="autofit"/>
        <w:tblLook w:firstColumn="1" w:firstRow="1" w:lastColumn="0" w:lastRow="0" w:noHBand="0" w:noVBand="1" w:val="04A0"/>
      </w:tblPr>
      <w:tblGrid>
        <w:gridCol w:w="3043"/>
        <w:gridCol w:w="3043"/>
        <w:gridCol w:w="3043"/>
      </w:tblGrid>
      <w:tr>
        <w:tc>
          <w:tcPr>
            <w:tcW w:type="dxa" w:w="2268"/>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8"/>
              </w:rPr>
              <w:t>核心指标</w:t>
            </w:r>
          </w:p>
        </w:tc>
        <w:tc>
          <w:tcPr>
            <w:tcW w:type="dxa" w:w="2268"/>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8"/>
              </w:rPr>
              <w:t>公开数据</w:t>
            </w:r>
          </w:p>
        </w:tc>
        <w:tc>
          <w:tcPr>
            <w:tcW w:type="dxa" w:w="4535"/>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8"/>
              </w:rPr>
              <w:t>研究含义</w:t>
            </w:r>
          </w:p>
        </w:tc>
      </w:tr>
      <w:tr>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展览面积</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9 万平方米</w:t>
            </w:r>
          </w:p>
        </w:tc>
        <w:tc>
          <w:tcPr>
            <w:tcW w:type="dxa" w:w="453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达到大型专业展会规模</w:t>
            </w:r>
          </w:p>
        </w:tc>
      </w:tr>
      <w:tr>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专业展区</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12 个</w:t>
            </w:r>
          </w:p>
        </w:tc>
        <w:tc>
          <w:tcPr>
            <w:tcW w:type="dxa" w:w="453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覆盖装备制造产业链关键环节</w:t>
            </w:r>
          </w:p>
        </w:tc>
      </w:tr>
      <w:tr>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展位数量</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3056 个</w:t>
            </w:r>
          </w:p>
        </w:tc>
        <w:tc>
          <w:tcPr>
            <w:tcW w:type="dxa" w:w="453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具备多品类集中展示能力</w:t>
            </w:r>
          </w:p>
        </w:tc>
      </w:tr>
      <w:tr>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参展企业</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912 家</w:t>
            </w:r>
          </w:p>
        </w:tc>
        <w:tc>
          <w:tcPr>
            <w:tcW w:type="dxa" w:w="453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海内外企业集聚效应明显</w:t>
            </w:r>
          </w:p>
        </w:tc>
      </w:tr>
      <w:tr>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线下观众及采购商</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14.7 万人次</w:t>
            </w:r>
          </w:p>
        </w:tc>
        <w:tc>
          <w:tcPr>
            <w:tcW w:type="dxa" w:w="453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专业流量基础较强</w:t>
            </w:r>
          </w:p>
        </w:tc>
      </w:tr>
      <w:tr>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专业观众</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11.2 万人次</w:t>
            </w:r>
          </w:p>
        </w:tc>
        <w:tc>
          <w:tcPr>
            <w:tcW w:type="dxa" w:w="453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专业观众占线下观众约 76.2%</w:t>
            </w:r>
          </w:p>
        </w:tc>
      </w:tr>
      <w:tr>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累计意向成交</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66.2 亿元</w:t>
            </w:r>
          </w:p>
        </w:tc>
        <w:tc>
          <w:tcPr>
            <w:tcW w:type="dxa" w:w="453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经贸撮合功能突出</w:t>
            </w:r>
          </w:p>
        </w:tc>
      </w:tr>
      <w:tr>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线上观展</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23 万人次</w:t>
            </w:r>
          </w:p>
        </w:tc>
        <w:tc>
          <w:tcPr>
            <w:tcW w:type="dxa" w:w="453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线上云展拓展触达半径</w:t>
            </w:r>
          </w:p>
        </w:tc>
      </w:tr>
    </w:tbl>
    <w:p/>
    <w:p/>
    <w:p/>
    <w:p>
      <w:pPr>
        <w:jc w:val="center"/>
      </w:pPr>
      <w:r>
        <w:t>团队成员：庄颂、王璐、宋鹏慧、周心杨、高昊宇；其中庄颂为主力成员。</w:t>
      </w:r>
    </w:p>
    <w:p>
      <w:pPr>
        <w:jc w:val="center"/>
      </w:pPr>
      <w:r>
        <w:rPr>
          <w:rFonts w:ascii="Times New Roman" w:hAnsi="Times New Roman" w:eastAsia="宋体"/>
          <w:b w:val="0"/>
          <w:color w:val="64748B"/>
          <w:sz w:val="22"/>
        </w:rPr>
        <w:t>完成时间：2026 年 6 月</w:t>
      </w:r>
    </w:p>
    <w:p>
      <w:r>
        <w:br w:type="page"/>
      </w:r>
    </w:p>
    <w:p>
      <w:pPr>
        <w:pStyle w:val="Heading1"/>
        <w:spacing w:before="360" w:after="160"/>
        <w:jc w:val="center"/>
      </w:pPr>
      <w:r>
        <w:rPr>
          <w:rFonts w:ascii="Times New Roman" w:hAnsi="Times New Roman" w:eastAsia="黑体"/>
          <w:b/>
          <w:color w:val="0F1F4F"/>
          <w:sz w:val="40"/>
        </w:rPr>
        <w:t>目录</w:t>
      </w:r>
    </w:p>
    <w:p>
      <w:pPr>
        <w:spacing w:after="80"/>
        <w:ind w:left="680"/>
      </w:pPr>
      <w:r>
        <w:rPr>
          <w:rFonts w:ascii="Times New Roman" w:hAnsi="Times New Roman" w:eastAsia="宋体"/>
          <w:b w:val="0"/>
          <w:color w:val="0F172A"/>
          <w:sz w:val="24"/>
        </w:rPr>
        <w:t>1. 摘要</w:t>
      </w:r>
    </w:p>
    <w:p>
      <w:pPr>
        <w:spacing w:after="80"/>
        <w:ind w:left="680"/>
      </w:pPr>
      <w:r>
        <w:rPr>
          <w:rFonts w:ascii="Times New Roman" w:hAnsi="Times New Roman" w:eastAsia="宋体"/>
          <w:b w:val="0"/>
          <w:color w:val="0F172A"/>
          <w:sz w:val="24"/>
        </w:rPr>
        <w:t>2. 团队分工表</w:t>
      </w:r>
    </w:p>
    <w:p>
      <w:pPr>
        <w:spacing w:after="80"/>
        <w:ind w:left="680"/>
      </w:pPr>
      <w:r>
        <w:rPr>
          <w:rFonts w:ascii="Times New Roman" w:hAnsi="Times New Roman" w:eastAsia="宋体"/>
          <w:b w:val="0"/>
          <w:color w:val="0F172A"/>
          <w:sz w:val="24"/>
        </w:rPr>
        <w:t>3. 第一部分  会展发展情况</w:t>
      </w:r>
    </w:p>
    <w:p>
      <w:pPr>
        <w:spacing w:after="80"/>
        <w:ind w:left="680"/>
      </w:pPr>
      <w:r>
        <w:rPr>
          <w:rFonts w:ascii="Times New Roman" w:hAnsi="Times New Roman" w:eastAsia="宋体"/>
          <w:b w:val="0"/>
          <w:color w:val="0F172A"/>
          <w:sz w:val="24"/>
        </w:rPr>
        <w:t>4. 第二部分  存在问题</w:t>
      </w:r>
    </w:p>
    <w:p>
      <w:pPr>
        <w:spacing w:after="80"/>
        <w:ind w:left="680"/>
      </w:pPr>
      <w:r>
        <w:rPr>
          <w:rFonts w:ascii="Times New Roman" w:hAnsi="Times New Roman" w:eastAsia="宋体"/>
          <w:b w:val="0"/>
          <w:color w:val="0F172A"/>
          <w:sz w:val="24"/>
        </w:rPr>
        <w:t>5. 第三部分  优化建议</w:t>
      </w:r>
    </w:p>
    <w:p>
      <w:pPr>
        <w:spacing w:after="80"/>
        <w:ind w:left="680"/>
      </w:pPr>
      <w:r>
        <w:rPr>
          <w:rFonts w:ascii="Times New Roman" w:hAnsi="Times New Roman" w:eastAsia="宋体"/>
          <w:b w:val="0"/>
          <w:color w:val="0F172A"/>
          <w:sz w:val="24"/>
        </w:rPr>
        <w:t>6. 第四部分  图表升级与数据分析</w:t>
      </w:r>
    </w:p>
    <w:p>
      <w:pPr>
        <w:spacing w:after="80"/>
        <w:ind w:left="680"/>
      </w:pPr>
      <w:r>
        <w:t>7. 第五部分  线上专题内容与公开呈现</w:t>
      </w:r>
    </w:p>
    <w:p>
      <w:pPr>
        <w:spacing w:after="80"/>
        <w:ind w:left="680"/>
      </w:pPr>
      <w:r>
        <w:rPr>
          <w:rFonts w:ascii="Times New Roman" w:hAnsi="Times New Roman" w:eastAsia="宋体"/>
          <w:b w:val="0"/>
          <w:color w:val="0F172A"/>
          <w:sz w:val="24"/>
        </w:rPr>
        <w:t>8. 第六部分  标杆展会对比与公开版启示</w:t>
      </w:r>
    </w:p>
    <w:p>
      <w:pPr>
        <w:spacing w:after="80"/>
        <w:ind w:left="680"/>
      </w:pPr>
      <w:r>
        <w:rPr>
          <w:rFonts w:ascii="Times New Roman" w:hAnsi="Times New Roman" w:eastAsia="宋体"/>
          <w:b w:val="0"/>
          <w:color w:val="0F172A"/>
          <w:sz w:val="24"/>
        </w:rPr>
        <w:t>9. 第七部分  运营指标体系与治理机制</w:t>
      </w:r>
    </w:p>
    <w:p>
      <w:pPr>
        <w:spacing w:after="80"/>
        <w:ind w:left="680"/>
      </w:pPr>
      <w:r>
        <w:rPr>
          <w:rFonts w:ascii="Times New Roman" w:hAnsi="Times New Roman" w:eastAsia="宋体"/>
          <w:b w:val="0"/>
          <w:color w:val="0F172A"/>
          <w:sz w:val="24"/>
        </w:rPr>
        <w:t>10. 第八部分  三届升级路线与年度传播节奏</w:t>
      </w:r>
    </w:p>
    <w:p>
      <w:pPr>
        <w:spacing w:after="80"/>
        <w:ind w:left="680"/>
      </w:pPr>
      <w:r>
        <w:rPr>
          <w:rFonts w:ascii="Times New Roman" w:hAnsi="Times New Roman" w:eastAsia="宋体"/>
          <w:b w:val="0"/>
          <w:color w:val="0F172A"/>
          <w:sz w:val="24"/>
        </w:rPr>
        <w:t>11. 第九部分  公开数据、指标库与执行矩阵</w:t>
      </w:r>
    </w:p>
    <w:p>
      <w:pPr>
        <w:spacing w:after="80"/>
        <w:ind w:left="680"/>
      </w:pPr>
      <w:r>
        <w:rPr>
          <w:rFonts w:ascii="Times New Roman" w:hAnsi="Times New Roman" w:eastAsia="宋体"/>
          <w:b w:val="0"/>
          <w:color w:val="0F172A"/>
          <w:sz w:val="24"/>
        </w:rPr>
        <w:t>12. 第十部分  重点专题深化分析</w:t>
      </w:r>
    </w:p>
    <w:p>
      <w:pPr>
        <w:spacing w:after="80"/>
        <w:ind w:left="680"/>
      </w:pPr>
      <w:r>
        <w:rPr>
          <w:rFonts w:ascii="Times New Roman" w:hAnsi="Times New Roman" w:eastAsia="宋体"/>
          <w:b w:val="0"/>
          <w:color w:val="0F172A"/>
          <w:sz w:val="24"/>
        </w:rPr>
        <w:t>13. 第十一部分  调研工具与附录</w:t>
      </w:r>
    </w:p>
    <w:p>
      <w:pPr>
        <w:spacing w:after="80"/>
        <w:ind w:left="680"/>
      </w:pPr>
      <w:r>
        <w:rPr>
          <w:rFonts w:ascii="Times New Roman" w:hAnsi="Times New Roman" w:eastAsia="宋体"/>
          <w:b w:val="0"/>
          <w:color w:val="0F172A"/>
          <w:sz w:val="24"/>
        </w:rPr>
        <w:t>14. 第十二部分  现场图片资料</w:t>
      </w:r>
    </w:p>
    <w:p>
      <w:pPr>
        <w:spacing w:after="80"/>
        <w:ind w:left="680"/>
      </w:pPr>
      <w:r>
        <w:rPr>
          <w:rFonts w:ascii="Times New Roman" w:hAnsi="Times New Roman" w:eastAsia="宋体"/>
          <w:b w:val="0"/>
          <w:color w:val="0F172A"/>
          <w:sz w:val="24"/>
        </w:rPr>
        <w:t>15. 结论与展望</w:t>
      </w:r>
    </w:p>
    <w:p>
      <w:r>
        <w:br w:type="page"/>
      </w:r>
    </w:p>
    <w:p>
      <w:pPr>
        <w:pStyle w:val="Heading1"/>
        <w:spacing w:before="360" w:after="160"/>
        <w:jc w:val="center"/>
      </w:pPr>
      <w:r>
        <w:rPr>
          <w:rFonts w:ascii="Times New Roman" w:hAnsi="Times New Roman" w:eastAsia="黑体"/>
          <w:b/>
          <w:color w:val="0F1F4F"/>
          <w:sz w:val="40"/>
        </w:rPr>
        <w:t>摘要</w:t>
      </w:r>
    </w:p>
    <w:p>
      <w:pPr>
        <w:spacing w:line="348" w:lineRule="auto" w:before="0" w:after="80"/>
        <w:ind w:firstLine="420"/>
      </w:pPr>
      <w:r>
        <w:t>本报告以第二十三届中国国际装备制造业博览会为调研对象，围绕会展发展情况、存在问题、优化建议三个部分展开系统研究，并将线上专题内容、图表看板、公开现场图片、团队分工与附录工具统一整合为完整报告文件。中国制博会长期在沈阳举办，是装备制造业领域的重要国家级经贸展览活动，具有服务东北全面振兴、先进制造业集群建设和产业链供应链协同发展的现实意义。</w:t>
      </w:r>
    </w:p>
    <w:p>
      <w:pPr>
        <w:spacing w:line="348" w:lineRule="auto" w:before="0" w:after="80"/>
        <w:ind w:firstLine="420"/>
      </w:pPr>
      <w:r>
        <w:rPr>
          <w:rFonts w:ascii="Times New Roman" w:hAnsi="Times New Roman" w:eastAsia="宋体"/>
          <w:b w:val="0"/>
          <w:color w:val="0F172A"/>
          <w:sz w:val="24"/>
        </w:rPr>
        <w:t>公开信息显示，第二十三届中国制博会于 2025 年 9 月 1 日至 4 日在沈阳国际展览中心举行，以“智能新装备·新质生产力”为主题，展览面积 9 万平方米，设置 12 个专业展区、3056 个展位，吸引海内外 912 家企业参展。展期四天接待观众及采购商 14.7 万人次，其中专业观众 11.2 万人次，累计意向成交 66.2 亿元；线上云展入驻企业 1500 余家，线上观展突破 23 万人次。</w:t>
      </w:r>
    </w:p>
    <w:p>
      <w:pPr>
        <w:spacing w:line="348" w:lineRule="auto" w:before="0" w:after="80"/>
        <w:ind w:firstLine="420"/>
      </w:pPr>
      <w:r>
        <w:rPr>
          <w:rFonts w:ascii="Times New Roman" w:hAnsi="Times New Roman" w:eastAsia="宋体"/>
          <w:b w:val="0"/>
          <w:color w:val="0F172A"/>
          <w:sz w:val="24"/>
        </w:rPr>
        <w:t>调研认为，中国制博会已经形成较强的规模基础、产业基础和品牌基础，但从高质量发展要求看，仍需要在战略定位表达、专业观众精准组织、数字化服务闭环、展后转化、国际采购、现场体验和城市资源联动等方面持续升级。报告建议将中国制博会定位为“北方智能制造产业链服务平台”，以专业观众质量、供需匹配效率、展后转化机制和数字化服务能力为四个关键突破口。</w:t>
      </w:r>
    </w:p>
    <w:p>
      <w:pPr>
        <w:spacing w:line="348" w:lineRule="auto" w:before="0" w:after="80"/>
        <w:ind w:firstLine="420"/>
      </w:pPr>
      <w:r>
        <w:rPr>
          <w:rFonts w:ascii="Times New Roman" w:hAnsi="Times New Roman" w:eastAsia="宋体"/>
          <w:b/>
          <w:color w:val="0F1F4F"/>
          <w:sz w:val="24"/>
        </w:rPr>
        <w:t>关键词：中国制博会；装备制造业；会展项目调研；专业观众；数字化服务；产业链撮合；东北振兴</w:t>
      </w:r>
    </w:p>
    <w:tbl>
      <w:tblPr>
        <w:tblStyle w:val="TableGrid"/>
        <w:tblW w:type="auto" w:w="0"/>
        <w:jc w:val="center"/>
        <w:tblLayout w:type="autofit"/>
        <w:tblLook w:firstColumn="1" w:firstRow="1" w:lastColumn="0" w:lastRow="0" w:noHBand="0" w:noVBand="1" w:val="04A0"/>
      </w:tblPr>
      <w:tblGrid>
        <w:gridCol w:w="2282"/>
        <w:gridCol w:w="2282"/>
        <w:gridCol w:w="2282"/>
        <w:gridCol w:w="2282"/>
      </w:tblGrid>
      <w:tr>
        <w:tc>
          <w:tcPr>
            <w:tcW w:type="dxa" w:w="1587"/>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类别</w:t>
            </w:r>
          </w:p>
        </w:tc>
        <w:tc>
          <w:tcPr>
            <w:tcW w:type="dxa" w:w="2268"/>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指标</w:t>
            </w:r>
          </w:p>
        </w:tc>
        <w:tc>
          <w:tcPr>
            <w:tcW w:type="dxa" w:w="2381"/>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数据</w:t>
            </w:r>
          </w:p>
        </w:tc>
        <w:tc>
          <w:tcPr>
            <w:tcW w:type="dxa" w:w="2835"/>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公开版分析价值</w:t>
            </w:r>
          </w:p>
        </w:tc>
      </w:tr>
      <w:tr>
        <w:tc>
          <w:tcPr>
            <w:tcW w:type="dxa" w:w="1587"/>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基础规模</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展览面积</w:t>
            </w:r>
          </w:p>
        </w:tc>
        <w:tc>
          <w:tcPr>
            <w:tcW w:type="dxa" w:w="238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9 万平方米</w:t>
            </w:r>
          </w:p>
        </w:tc>
        <w:tc>
          <w:tcPr>
            <w:tcW w:type="dxa" w:w="283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判断大型专业展会能级</w:t>
            </w:r>
          </w:p>
        </w:tc>
      </w:tr>
      <w:tr>
        <w:tc>
          <w:tcPr>
            <w:tcW w:type="dxa" w:w="1587"/>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基础规模</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专业展区</w:t>
            </w:r>
          </w:p>
        </w:tc>
        <w:tc>
          <w:tcPr>
            <w:tcW w:type="dxa" w:w="238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12 个</w:t>
            </w:r>
          </w:p>
        </w:tc>
        <w:tc>
          <w:tcPr>
            <w:tcW w:type="dxa" w:w="283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判断产业链覆盖范围</w:t>
            </w:r>
          </w:p>
        </w:tc>
      </w:tr>
      <w:tr>
        <w:tc>
          <w:tcPr>
            <w:tcW w:type="dxa" w:w="1587"/>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基础规模</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展位数量</w:t>
            </w:r>
          </w:p>
        </w:tc>
        <w:tc>
          <w:tcPr>
            <w:tcW w:type="dxa" w:w="238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3056 个</w:t>
            </w:r>
          </w:p>
        </w:tc>
        <w:tc>
          <w:tcPr>
            <w:tcW w:type="dxa" w:w="283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判断展品承载和招商能力</w:t>
            </w:r>
          </w:p>
        </w:tc>
      </w:tr>
      <w:tr>
        <w:tc>
          <w:tcPr>
            <w:tcW w:type="dxa" w:w="1587"/>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参展结构</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参展企业</w:t>
            </w:r>
          </w:p>
        </w:tc>
        <w:tc>
          <w:tcPr>
            <w:tcW w:type="dxa" w:w="238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912 家</w:t>
            </w:r>
          </w:p>
        </w:tc>
        <w:tc>
          <w:tcPr>
            <w:tcW w:type="dxa" w:w="283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判断行业集聚能力</w:t>
            </w:r>
          </w:p>
        </w:tc>
      </w:tr>
      <w:tr>
        <w:tc>
          <w:tcPr>
            <w:tcW w:type="dxa" w:w="1587"/>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参展结构</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外资及合作企业</w:t>
            </w:r>
          </w:p>
        </w:tc>
        <w:tc>
          <w:tcPr>
            <w:tcW w:type="dxa" w:w="238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181 家</w:t>
            </w:r>
          </w:p>
        </w:tc>
        <w:tc>
          <w:tcPr>
            <w:tcW w:type="dxa" w:w="283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判断开放度和国际合作基础</w:t>
            </w:r>
          </w:p>
        </w:tc>
      </w:tr>
      <w:tr>
        <w:tc>
          <w:tcPr>
            <w:tcW w:type="dxa" w:w="1587"/>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观众结构</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线下观众及采购商</w:t>
            </w:r>
          </w:p>
        </w:tc>
        <w:tc>
          <w:tcPr>
            <w:tcW w:type="dxa" w:w="238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14.7 万人次</w:t>
            </w:r>
          </w:p>
        </w:tc>
        <w:tc>
          <w:tcPr>
            <w:tcW w:type="dxa" w:w="283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判断现场流量</w:t>
            </w:r>
          </w:p>
        </w:tc>
      </w:tr>
      <w:tr>
        <w:tc>
          <w:tcPr>
            <w:tcW w:type="dxa" w:w="1587"/>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观众结构</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专业观众</w:t>
            </w:r>
          </w:p>
        </w:tc>
        <w:tc>
          <w:tcPr>
            <w:tcW w:type="dxa" w:w="238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11.2 万人次</w:t>
            </w:r>
          </w:p>
        </w:tc>
        <w:tc>
          <w:tcPr>
            <w:tcW w:type="dxa" w:w="283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判断采购和技术交流质量</w:t>
            </w:r>
          </w:p>
        </w:tc>
      </w:tr>
      <w:tr>
        <w:tc>
          <w:tcPr>
            <w:tcW w:type="dxa" w:w="1587"/>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观众结构</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专业观众占比</w:t>
            </w:r>
          </w:p>
        </w:tc>
        <w:tc>
          <w:tcPr>
            <w:tcW w:type="dxa" w:w="238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约 76.2%</w:t>
            </w:r>
          </w:p>
        </w:tc>
        <w:tc>
          <w:tcPr>
            <w:tcW w:type="dxa" w:w="283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由 11.2/14.7 计算，体现专业化程度</w:t>
            </w:r>
          </w:p>
        </w:tc>
      </w:tr>
      <w:tr>
        <w:tc>
          <w:tcPr>
            <w:tcW w:type="dxa" w:w="1587"/>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成交结构</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开幕日意向成交</w:t>
            </w:r>
          </w:p>
        </w:tc>
        <w:tc>
          <w:tcPr>
            <w:tcW w:type="dxa" w:w="238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15.8 亿元</w:t>
            </w:r>
          </w:p>
        </w:tc>
        <w:tc>
          <w:tcPr>
            <w:tcW w:type="dxa" w:w="283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判断首日经贸活跃度</w:t>
            </w:r>
          </w:p>
        </w:tc>
      </w:tr>
      <w:tr>
        <w:tc>
          <w:tcPr>
            <w:tcW w:type="dxa" w:w="1587"/>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成交结构</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累计意向成交</w:t>
            </w:r>
          </w:p>
        </w:tc>
        <w:tc>
          <w:tcPr>
            <w:tcW w:type="dxa" w:w="238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66.2 亿元</w:t>
            </w:r>
          </w:p>
        </w:tc>
        <w:tc>
          <w:tcPr>
            <w:tcW w:type="dxa" w:w="283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判断展期整体撮合成效</w:t>
            </w:r>
          </w:p>
        </w:tc>
      </w:tr>
      <w:tr>
        <w:tc>
          <w:tcPr>
            <w:tcW w:type="dxa" w:w="1587"/>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成交结构</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开幕日成交占累计成交</w:t>
            </w:r>
          </w:p>
        </w:tc>
        <w:tc>
          <w:tcPr>
            <w:tcW w:type="dxa" w:w="238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约 23.9%</w:t>
            </w:r>
          </w:p>
        </w:tc>
        <w:tc>
          <w:tcPr>
            <w:tcW w:type="dxa" w:w="283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由 15.8/66.2 计算，体现展期持续转化</w:t>
            </w:r>
          </w:p>
        </w:tc>
      </w:tr>
      <w:tr>
        <w:tc>
          <w:tcPr>
            <w:tcW w:type="dxa" w:w="1587"/>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国际合作</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一带一路对接会意向采购</w:t>
            </w:r>
          </w:p>
        </w:tc>
        <w:tc>
          <w:tcPr>
            <w:tcW w:type="dxa" w:w="238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4.1 亿元</w:t>
            </w:r>
          </w:p>
        </w:tc>
        <w:tc>
          <w:tcPr>
            <w:tcW w:type="dxa" w:w="283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判断国际采购活动实效</w:t>
            </w:r>
          </w:p>
        </w:tc>
      </w:tr>
      <w:tr>
        <w:tc>
          <w:tcPr>
            <w:tcW w:type="dxa" w:w="1587"/>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国际合作</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一带一路采购商</w:t>
            </w:r>
          </w:p>
        </w:tc>
        <w:tc>
          <w:tcPr>
            <w:tcW w:type="dxa" w:w="238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18 个国家和地区、50 余位</w:t>
            </w:r>
          </w:p>
        </w:tc>
        <w:tc>
          <w:tcPr>
            <w:tcW w:type="dxa" w:w="283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判断国际买家组织能力</w:t>
            </w:r>
          </w:p>
        </w:tc>
      </w:tr>
      <w:tr>
        <w:tc>
          <w:tcPr>
            <w:tcW w:type="dxa" w:w="1587"/>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线上服务</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云展企业</w:t>
            </w:r>
          </w:p>
        </w:tc>
        <w:tc>
          <w:tcPr>
            <w:tcW w:type="dxa" w:w="238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1500 余家</w:t>
            </w:r>
          </w:p>
        </w:tc>
        <w:tc>
          <w:tcPr>
            <w:tcW w:type="dxa" w:w="283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判断线上平台承载能力</w:t>
            </w:r>
          </w:p>
        </w:tc>
      </w:tr>
      <w:tr>
        <w:tc>
          <w:tcPr>
            <w:tcW w:type="dxa" w:w="1587"/>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线上服务</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线上观展</w:t>
            </w:r>
          </w:p>
        </w:tc>
        <w:tc>
          <w:tcPr>
            <w:tcW w:type="dxa" w:w="238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23 万人次</w:t>
            </w:r>
          </w:p>
        </w:tc>
        <w:tc>
          <w:tcPr>
            <w:tcW w:type="dxa" w:w="283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判断线上传播和延伸触达</w:t>
            </w:r>
          </w:p>
        </w:tc>
      </w:tr>
      <w:tr>
        <w:tc>
          <w:tcPr>
            <w:tcW w:type="dxa" w:w="1587"/>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线上服务</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云展企业/线下参展企业</w:t>
            </w:r>
          </w:p>
        </w:tc>
        <w:tc>
          <w:tcPr>
            <w:tcW w:type="dxa" w:w="238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约 164.5%</w:t>
            </w:r>
          </w:p>
        </w:tc>
        <w:tc>
          <w:tcPr>
            <w:tcW w:type="dxa" w:w="283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由 1500/912 计算，体现线上覆盖广度</w:t>
            </w:r>
          </w:p>
        </w:tc>
      </w:tr>
      <w:tr>
        <w:tc>
          <w:tcPr>
            <w:tcW w:type="dxa" w:w="1587"/>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运营效率</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平均展位配置</w:t>
            </w:r>
          </w:p>
        </w:tc>
        <w:tc>
          <w:tcPr>
            <w:tcW w:type="dxa" w:w="238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约 3.35 个/企业</w:t>
            </w:r>
          </w:p>
        </w:tc>
        <w:tc>
          <w:tcPr>
            <w:tcW w:type="dxa" w:w="283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由 3056/912 计算，体现展位资源配置</w:t>
            </w:r>
          </w:p>
        </w:tc>
      </w:tr>
      <w:tr>
        <w:tc>
          <w:tcPr>
            <w:tcW w:type="dxa" w:w="1587"/>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运营效率</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专业观众/参展企业</w:t>
            </w:r>
          </w:p>
        </w:tc>
        <w:tc>
          <w:tcPr>
            <w:tcW w:type="dxa" w:w="238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约 123 人次/企业</w:t>
            </w:r>
          </w:p>
        </w:tc>
        <w:tc>
          <w:tcPr>
            <w:tcW w:type="dxa" w:w="283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由 11.2 万/912 计算，体现潜在线索密度</w:t>
            </w:r>
          </w:p>
        </w:tc>
      </w:tr>
    </w:tbl>
    <w:p/>
    <w:p>
      <w:pPr>
        <w:pStyle w:val="Heading1"/>
        <w:spacing w:before="360" w:after="160"/>
        <w:jc w:val="center"/>
      </w:pPr>
      <w:r>
        <w:rPr>
          <w:rFonts w:ascii="Times New Roman" w:hAnsi="Times New Roman" w:eastAsia="黑体"/>
          <w:b/>
          <w:color w:val="0F1F4F"/>
          <w:sz w:val="40"/>
        </w:rPr>
        <w:t>团队分工表</w:t>
      </w:r>
    </w:p>
    <w:p>
      <w:pPr>
        <w:spacing w:line="348" w:lineRule="auto" w:before="0" w:after="80"/>
        <w:ind w:firstLine="420"/>
      </w:pPr>
      <w:r>
        <w:t>本报告根据团队分工进行统筹整理，明确研究、写作、资料整理和版式完善等职责。其中庄颂承担主力工作，负责附录工具专业化、现场图片资料整理和整体内容补充。</w:t>
      </w:r>
    </w:p>
    <w:tbl>
      <w:tblPr>
        <w:tblStyle w:val="TableGrid"/>
        <w:tblW w:type="auto" w:w="0"/>
        <w:jc w:val="center"/>
        <w:tblLayout w:type="autofit"/>
        <w:tblLook w:firstColumn="1" w:firstRow="1" w:lastColumn="0" w:lastRow="0" w:noHBand="0" w:noVBand="1" w:val="04A0"/>
      </w:tblPr>
      <w:tblGrid>
        <w:gridCol w:w="3043"/>
        <w:gridCol w:w="3043"/>
        <w:gridCol w:w="3043"/>
      </w:tblGrid>
      <w:tr>
        <w:tc>
          <w:tcPr>
            <w:tcW w:type="dxa" w:w="1361"/>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8"/>
              </w:rPr>
              <w:t>成员</w:t>
            </w:r>
          </w:p>
        </w:tc>
        <w:tc>
          <w:tcPr>
            <w:tcW w:type="dxa" w:w="3515"/>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8"/>
              </w:rPr>
              <w:t>负责内容</w:t>
            </w:r>
          </w:p>
        </w:tc>
        <w:tc>
          <w:tcPr>
            <w:tcW w:type="dxa" w:w="4082"/>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8"/>
              </w:rPr>
              <w:t>最终版整合说明</w:t>
            </w:r>
          </w:p>
        </w:tc>
      </w:tr>
      <w:tr>
        <w:tc>
          <w:tcPr>
            <w:tcW w:type="dxa" w:w="136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王璐</w:t>
            </w:r>
          </w:p>
        </w:tc>
        <w:tc>
          <w:tcPr>
            <w:tcW w:type="dxa" w:w="351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整合其他部分，修改摘要和格式</w:t>
            </w:r>
          </w:p>
        </w:tc>
        <w:tc>
          <w:tcPr>
            <w:tcW w:type="dxa" w:w="4082"/>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负责统稿、摘要重写、版式统一、数据口径校验和最终文件输出</w:t>
            </w:r>
          </w:p>
        </w:tc>
      </w:tr>
      <w:tr>
        <w:tc>
          <w:tcPr>
            <w:tcW w:type="dxa" w:w="136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宋鹏慧</w:t>
            </w:r>
          </w:p>
        </w:tc>
        <w:tc>
          <w:tcPr>
            <w:tcW w:type="dxa" w:w="351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第一部分修改，补充沈阳举办背景、未来展望和东北振兴政策话题</w:t>
            </w:r>
          </w:p>
        </w:tc>
        <w:tc>
          <w:tcPr>
            <w:tcW w:type="dxa" w:w="4082"/>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强化会展发展背景、产业基础、新质生产力和东北全面振兴语境</w:t>
            </w:r>
          </w:p>
        </w:tc>
      </w:tr>
      <w:tr>
        <w:tc>
          <w:tcPr>
            <w:tcW w:type="dxa" w:w="136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周心杨</w:t>
            </w:r>
          </w:p>
        </w:tc>
        <w:tc>
          <w:tcPr>
            <w:tcW w:type="dxa" w:w="351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第二部分修改</w:t>
            </w:r>
          </w:p>
        </w:tc>
        <w:tc>
          <w:tcPr>
            <w:tcW w:type="dxa" w:w="4082"/>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完善九类问题诊断，突出专业观众、数字服务、传播分层和展后转化</w:t>
            </w:r>
          </w:p>
        </w:tc>
      </w:tr>
      <w:tr>
        <w:tc>
          <w:tcPr>
            <w:tcW w:type="dxa" w:w="136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高昊宇</w:t>
            </w:r>
          </w:p>
        </w:tc>
        <w:tc>
          <w:tcPr>
            <w:tcW w:type="dxa" w:w="351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第三部分修改</w:t>
            </w:r>
          </w:p>
        </w:tc>
        <w:tc>
          <w:tcPr>
            <w:tcW w:type="dxa" w:w="4082"/>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完善平台定位、十一项优化建议、实施路径和指标体系</w:t>
            </w:r>
          </w:p>
        </w:tc>
      </w:tr>
      <w:tr>
        <w:tc>
          <w:tcPr>
            <w:tcW w:type="dxa" w:w="136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庄颂</w:t>
            </w:r>
          </w:p>
        </w:tc>
        <w:tc>
          <w:tcPr>
            <w:tcW w:type="dxa" w:w="3515"/>
            <w:vAlign w:val="center"/>
            <w:tcBorders>
              <w:top w:val="single" w:sz="4" w:color="CBD5E1"/>
              <w:left w:val="single" w:sz="4" w:color="CBD5E1"/>
              <w:bottom w:val="single" w:sz="4" w:color="CBD5E1"/>
              <w:right w:val="single" w:sz="4" w:color="CBD5E1"/>
            </w:tcBorders>
          </w:tcPr>
          <w:p>
            <w:r>
              <w:t>主力成员；附录 ABC 专业化完善，搜集照片，协助内容补充和整体质量把关</w:t>
            </w:r>
          </w:p>
        </w:tc>
        <w:tc>
          <w:tcPr>
            <w:tcW w:type="dxa" w:w="4082"/>
            <w:vAlign w:val="center"/>
            <w:tcBorders>
              <w:top w:val="single" w:sz="4" w:color="CBD5E1"/>
              <w:left w:val="single" w:sz="4" w:color="CBD5E1"/>
              <w:bottom w:val="single" w:sz="4" w:color="CBD5E1"/>
              <w:right w:val="single" w:sz="4" w:color="CBD5E1"/>
            </w:tcBorders>
          </w:tcPr>
          <w:p>
            <w:r>
              <w:t>承担主力工作，完善问卷、访谈、观察工具，补充公开现场图片资料，并协同完成正文内容优化</w:t>
            </w:r>
          </w:p>
        </w:tc>
      </w:tr>
    </w:tbl>
    <w:p/>
    <w:p>
      <w:pPr>
        <w:pStyle w:val="Heading1"/>
        <w:spacing w:before="360" w:after="160"/>
        <w:jc w:val="center"/>
      </w:pPr>
      <w:r>
        <w:rPr>
          <w:rFonts w:ascii="Times New Roman" w:hAnsi="Times New Roman" w:eastAsia="黑体"/>
          <w:b/>
          <w:color w:val="0F1F4F"/>
          <w:sz w:val="40"/>
        </w:rPr>
        <w:t>第一部分  会展发展情况</w:t>
      </w:r>
    </w:p>
    <w:p>
      <w:pPr>
        <w:spacing w:line="348" w:lineRule="auto" w:before="0" w:after="80"/>
        <w:ind w:firstLine="420"/>
      </w:pPr>
      <w:r>
        <w:rPr>
          <w:rFonts w:ascii="Times New Roman" w:hAnsi="Times New Roman" w:eastAsia="宋体"/>
          <w:b w:val="0"/>
          <w:color w:val="0F172A"/>
          <w:sz w:val="24"/>
        </w:rPr>
        <w:t>会展项目调研的第一步，是回答展会发展到什么阶段、依托什么产业基础、承担什么功能、产生什么价值。中国制博会不是一般地方展销活动，而是依托沈阳及东北地区装备制造业基础形成的专业型、产业型、经贸型展览项目。</w:t>
      </w:r>
    </w:p>
    <w:p>
      <w:pPr>
        <w:pStyle w:val="Heading2"/>
        <w:spacing w:before="360" w:after="160"/>
      </w:pPr>
      <w:r>
        <w:rPr>
          <w:rFonts w:ascii="Times New Roman" w:hAnsi="Times New Roman" w:eastAsia="黑体"/>
          <w:b/>
          <w:color w:val="1E40AF"/>
          <w:sz w:val="30"/>
        </w:rPr>
        <w:t>一、行业发展背景：会展业进入高质量与专业化发展阶段</w:t>
      </w:r>
    </w:p>
    <w:p>
      <w:pPr>
        <w:spacing w:line="348" w:lineRule="auto" w:before="0" w:after="80"/>
        <w:ind w:firstLine="420"/>
      </w:pPr>
      <w:r>
        <w:rPr>
          <w:rFonts w:ascii="Times New Roman" w:hAnsi="Times New Roman" w:eastAsia="宋体"/>
          <w:b w:val="0"/>
          <w:color w:val="0F172A"/>
          <w:sz w:val="24"/>
        </w:rPr>
        <w:t>近年中国会展业从恢复性增长转向质量提升。大型专业展会和产业链型展会的作用更加突出，判断展会成败不再只看面积、展位和观众总量，更要看是否促成有效贸易、技术交流、产业链接、品牌传播和区域经济带动。</w:t>
      </w:r>
    </w:p>
    <w:p>
      <w:pPr>
        <w:spacing w:line="348" w:lineRule="auto" w:before="0" w:after="80"/>
        <w:ind w:firstLine="420"/>
      </w:pPr>
      <w:r>
        <w:rPr>
          <w:rFonts w:ascii="Times New Roman" w:hAnsi="Times New Roman" w:eastAsia="宋体"/>
          <w:b w:val="0"/>
          <w:color w:val="0F172A"/>
          <w:sz w:val="24"/>
        </w:rPr>
        <w:t>制造业从传统制造向智能制造、绿色制造、服务型制造转型。工业机器人、工业互联网、人工智能、数字孪生、智能检测和节能环保装备不断进入生产场景，企业对设备更新、工艺改造、数字化转型和供应链协同的需求持续增强。装备制造类展会承担技术扩散、产品展示、需求对接和产业资源集聚功能。</w:t>
      </w:r>
    </w:p>
    <w:p>
      <w:pPr>
        <w:spacing w:line="348" w:lineRule="auto" w:before="0" w:after="80"/>
        <w:ind w:firstLine="420"/>
      </w:pPr>
      <w:r>
        <w:rPr>
          <w:rFonts w:ascii="Times New Roman" w:hAnsi="Times New Roman" w:eastAsia="宋体"/>
          <w:b w:val="0"/>
          <w:color w:val="0F172A"/>
          <w:sz w:val="24"/>
        </w:rPr>
        <w:t>东北地区装备制造业基础雄厚，沈阳在机床、机器人、通用设备、航空装备、汽车零部件、能源装备等领域具有较强产业资源。中国制博会在沈阳举办，既符合城市产业基础，也服务东北地区产业转型升级。该展会的发展不是孤立的办展行为，而是产业发展、城市发展和区域振兴共同作用的结果。</w:t>
      </w:r>
    </w:p>
    <w:p>
      <w:pPr>
        <w:pStyle w:val="Heading2"/>
        <w:spacing w:before="360" w:after="160"/>
      </w:pPr>
      <w:r>
        <w:rPr>
          <w:rFonts w:ascii="Times New Roman" w:hAnsi="Times New Roman" w:eastAsia="黑体"/>
          <w:b/>
          <w:color w:val="1E40AF"/>
          <w:sz w:val="30"/>
        </w:rPr>
        <w:t>二、项目基本情况：中国制博会的历史基础与办展定位</w:t>
      </w:r>
    </w:p>
    <w:p>
      <w:pPr>
        <w:spacing w:line="348" w:lineRule="auto" w:before="0" w:after="80"/>
        <w:ind w:firstLine="420"/>
      </w:pPr>
      <w:r>
        <w:rPr>
          <w:rFonts w:ascii="Times New Roman" w:hAnsi="Times New Roman" w:eastAsia="宋体"/>
          <w:b w:val="0"/>
          <w:color w:val="0F172A"/>
          <w:sz w:val="24"/>
        </w:rPr>
        <w:t>中国国际装备制造业博览会长期在沈阳举办，已连续举办二十三届，是我国装备制造业领域具有持续品牌影响力的国家级大型经贸展览活动之一。其持续举办说明项目具有稳定产业需求、成熟组织基础和较强品牌积累。</w:t>
      </w:r>
    </w:p>
    <w:tbl>
      <w:tblPr>
        <w:tblStyle w:val="TableGrid"/>
        <w:tblW w:type="auto" w:w="0"/>
        <w:jc w:val="center"/>
        <w:tblLayout w:type="autofit"/>
        <w:tblLook w:firstColumn="1" w:firstRow="1" w:lastColumn="0" w:lastRow="0" w:noHBand="0" w:noVBand="1" w:val="04A0"/>
      </w:tblPr>
      <w:tblGrid>
        <w:gridCol w:w="3043"/>
        <w:gridCol w:w="3043"/>
        <w:gridCol w:w="3043"/>
      </w:tblGrid>
      <w:tr>
        <w:tc>
          <w:tcPr>
            <w:tcW w:type="dxa" w:w="1814"/>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8"/>
              </w:rPr>
              <w:t>维度</w:t>
            </w:r>
          </w:p>
        </w:tc>
        <w:tc>
          <w:tcPr>
            <w:tcW w:type="dxa" w:w="2948"/>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8"/>
              </w:rPr>
              <w:t>主要内容</w:t>
            </w:r>
          </w:p>
        </w:tc>
        <w:tc>
          <w:tcPr>
            <w:tcW w:type="dxa" w:w="4195"/>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8"/>
              </w:rPr>
              <w:t>调研判断</w:t>
            </w:r>
          </w:p>
        </w:tc>
      </w:tr>
      <w:tr>
        <w:tc>
          <w:tcPr>
            <w:tcW w:type="dxa" w:w="181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展会名称</w:t>
            </w:r>
          </w:p>
        </w:tc>
        <w:tc>
          <w:tcPr>
            <w:tcW w:type="dxa" w:w="294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中国国际装备制造业博览会</w:t>
            </w:r>
          </w:p>
        </w:tc>
        <w:tc>
          <w:tcPr>
            <w:tcW w:type="dxa" w:w="419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真实存在且连续举办的装备制造专业展会</w:t>
            </w:r>
          </w:p>
        </w:tc>
      </w:tr>
      <w:tr>
        <w:tc>
          <w:tcPr>
            <w:tcW w:type="dxa" w:w="181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举办地</w:t>
            </w:r>
          </w:p>
        </w:tc>
        <w:tc>
          <w:tcPr>
            <w:tcW w:type="dxa" w:w="294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沈阳国际展览中心</w:t>
            </w:r>
          </w:p>
        </w:tc>
        <w:tc>
          <w:tcPr>
            <w:tcW w:type="dxa" w:w="419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与沈阳装备制造产业基础和东北振兴战略关联紧密</w:t>
            </w:r>
          </w:p>
        </w:tc>
      </w:tr>
      <w:tr>
        <w:tc>
          <w:tcPr>
            <w:tcW w:type="dxa" w:w="181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届次</w:t>
            </w:r>
          </w:p>
        </w:tc>
        <w:tc>
          <w:tcPr>
            <w:tcW w:type="dxa" w:w="294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第二十三届</w:t>
            </w:r>
          </w:p>
        </w:tc>
        <w:tc>
          <w:tcPr>
            <w:tcW w:type="dxa" w:w="419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具有较强延续性和品牌识别度</w:t>
            </w:r>
          </w:p>
        </w:tc>
      </w:tr>
      <w:tr>
        <w:tc>
          <w:tcPr>
            <w:tcW w:type="dxa" w:w="181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主题</w:t>
            </w:r>
          </w:p>
        </w:tc>
        <w:tc>
          <w:tcPr>
            <w:tcW w:type="dxa" w:w="294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智能新装备·新质生产力</w:t>
            </w:r>
          </w:p>
        </w:tc>
        <w:tc>
          <w:tcPr>
            <w:tcW w:type="dxa" w:w="419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契合智能制造、产业升级和高质量发展方向</w:t>
            </w:r>
          </w:p>
        </w:tc>
      </w:tr>
      <w:tr>
        <w:tc>
          <w:tcPr>
            <w:tcW w:type="dxa" w:w="181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功能</w:t>
            </w:r>
          </w:p>
        </w:tc>
        <w:tc>
          <w:tcPr>
            <w:tcW w:type="dxa" w:w="294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展示、交易、交流、招商、产业组织</w:t>
            </w:r>
          </w:p>
        </w:tc>
        <w:tc>
          <w:tcPr>
            <w:tcW w:type="dxa" w:w="419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具备向产业链服务平台升级的基础</w:t>
            </w:r>
          </w:p>
        </w:tc>
      </w:tr>
    </w:tbl>
    <w:p/>
    <w:p>
      <w:pPr>
        <w:pStyle w:val="Heading2"/>
        <w:spacing w:before="360" w:after="160"/>
      </w:pPr>
      <w:r>
        <w:rPr>
          <w:rFonts w:ascii="Times New Roman" w:hAnsi="Times New Roman" w:eastAsia="黑体"/>
          <w:b/>
          <w:color w:val="1E40AF"/>
          <w:sz w:val="30"/>
        </w:rPr>
        <w:t>三、第二十三届中国制博会运行情况</w:t>
      </w:r>
    </w:p>
    <w:p>
      <w:pPr>
        <w:spacing w:line="348" w:lineRule="auto" w:before="0" w:after="80"/>
        <w:ind w:firstLine="420"/>
      </w:pPr>
      <w:r>
        <w:rPr>
          <w:rFonts w:ascii="Times New Roman" w:hAnsi="Times New Roman" w:eastAsia="宋体"/>
          <w:b w:val="0"/>
          <w:color w:val="0F172A"/>
          <w:sz w:val="24"/>
        </w:rPr>
        <w:t>本届展会在规模、参展主体、专业观众、线上云展和成交转化方面均表现出较强综合能力。公开报道中的核心数据构成了本报告分析的事实基础。</w:t>
      </w:r>
    </w:p>
    <w:tbl>
      <w:tblPr>
        <w:tblStyle w:val="TableGrid"/>
        <w:tblW w:type="auto" w:w="0"/>
        <w:jc w:val="center"/>
        <w:tblLayout w:type="autofit"/>
        <w:tblLook w:firstColumn="1" w:firstRow="1" w:lastColumn="0" w:lastRow="0" w:noHBand="0" w:noVBand="1" w:val="04A0"/>
      </w:tblPr>
      <w:tblGrid>
        <w:gridCol w:w="3043"/>
        <w:gridCol w:w="3043"/>
        <w:gridCol w:w="3043"/>
      </w:tblGrid>
      <w:tr>
        <w:tc>
          <w:tcPr>
            <w:tcW w:type="dxa" w:w="2154"/>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8"/>
              </w:rPr>
              <w:t>指标</w:t>
            </w:r>
          </w:p>
        </w:tc>
        <w:tc>
          <w:tcPr>
            <w:tcW w:type="dxa" w:w="2381"/>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8"/>
              </w:rPr>
              <w:t>数据</w:t>
            </w:r>
          </w:p>
        </w:tc>
        <w:tc>
          <w:tcPr>
            <w:tcW w:type="dxa" w:w="4422"/>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8"/>
              </w:rPr>
              <w:t>说明</w:t>
            </w:r>
          </w:p>
        </w:tc>
      </w:tr>
      <w:tr>
        <w:tc>
          <w:tcPr>
            <w:tcW w:type="dxa" w:w="215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举办时间</w:t>
            </w:r>
          </w:p>
        </w:tc>
        <w:tc>
          <w:tcPr>
            <w:tcW w:type="dxa" w:w="238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2025 年 9 月 1 日至 4 日</w:t>
            </w:r>
          </w:p>
        </w:tc>
        <w:tc>
          <w:tcPr>
            <w:tcW w:type="dxa" w:w="4422"/>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同期举办第二届沈阳市制造业经贸活动周</w:t>
            </w:r>
          </w:p>
        </w:tc>
      </w:tr>
      <w:tr>
        <w:tc>
          <w:tcPr>
            <w:tcW w:type="dxa" w:w="215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展览面积</w:t>
            </w:r>
          </w:p>
        </w:tc>
        <w:tc>
          <w:tcPr>
            <w:tcW w:type="dxa" w:w="238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9 万平方米</w:t>
            </w:r>
          </w:p>
        </w:tc>
        <w:tc>
          <w:tcPr>
            <w:tcW w:type="dxa" w:w="4422"/>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大型专业展会规模</w:t>
            </w:r>
          </w:p>
        </w:tc>
      </w:tr>
      <w:tr>
        <w:tc>
          <w:tcPr>
            <w:tcW w:type="dxa" w:w="215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展区数量</w:t>
            </w:r>
          </w:p>
        </w:tc>
        <w:tc>
          <w:tcPr>
            <w:tcW w:type="dxa" w:w="238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12 个专业展区</w:t>
            </w:r>
          </w:p>
        </w:tc>
        <w:tc>
          <w:tcPr>
            <w:tcW w:type="dxa" w:w="4422"/>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覆盖机床、机器人、工业互联网、国际展区等方向</w:t>
            </w:r>
          </w:p>
        </w:tc>
      </w:tr>
      <w:tr>
        <w:tc>
          <w:tcPr>
            <w:tcW w:type="dxa" w:w="215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展位数量</w:t>
            </w:r>
          </w:p>
        </w:tc>
        <w:tc>
          <w:tcPr>
            <w:tcW w:type="dxa" w:w="238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3056 个</w:t>
            </w:r>
          </w:p>
        </w:tc>
        <w:tc>
          <w:tcPr>
            <w:tcW w:type="dxa" w:w="4422"/>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承载多领域装备制造产品展示</w:t>
            </w:r>
          </w:p>
        </w:tc>
      </w:tr>
      <w:tr>
        <w:tc>
          <w:tcPr>
            <w:tcW w:type="dxa" w:w="215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参展企业</w:t>
            </w:r>
          </w:p>
        </w:tc>
        <w:tc>
          <w:tcPr>
            <w:tcW w:type="dxa" w:w="238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912 家</w:t>
            </w:r>
          </w:p>
        </w:tc>
        <w:tc>
          <w:tcPr>
            <w:tcW w:type="dxa" w:w="4422"/>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海内外装备制造和服务企业集聚</w:t>
            </w:r>
          </w:p>
        </w:tc>
      </w:tr>
      <w:tr>
        <w:tc>
          <w:tcPr>
            <w:tcW w:type="dxa" w:w="215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线下观众及采购商</w:t>
            </w:r>
          </w:p>
        </w:tc>
        <w:tc>
          <w:tcPr>
            <w:tcW w:type="dxa" w:w="238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14.7 万人次</w:t>
            </w:r>
          </w:p>
        </w:tc>
        <w:tc>
          <w:tcPr>
            <w:tcW w:type="dxa" w:w="4422"/>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展会现场流量基础较强</w:t>
            </w:r>
          </w:p>
        </w:tc>
      </w:tr>
      <w:tr>
        <w:tc>
          <w:tcPr>
            <w:tcW w:type="dxa" w:w="215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专业观众</w:t>
            </w:r>
          </w:p>
        </w:tc>
        <w:tc>
          <w:tcPr>
            <w:tcW w:type="dxa" w:w="238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11.2 万人次</w:t>
            </w:r>
          </w:p>
        </w:tc>
        <w:tc>
          <w:tcPr>
            <w:tcW w:type="dxa" w:w="4422"/>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专业观众占线下观众约 76.2%</w:t>
            </w:r>
          </w:p>
        </w:tc>
      </w:tr>
      <w:tr>
        <w:tc>
          <w:tcPr>
            <w:tcW w:type="dxa" w:w="215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累计意向成交</w:t>
            </w:r>
          </w:p>
        </w:tc>
        <w:tc>
          <w:tcPr>
            <w:tcW w:type="dxa" w:w="238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66.2 亿元</w:t>
            </w:r>
          </w:p>
        </w:tc>
        <w:tc>
          <w:tcPr>
            <w:tcW w:type="dxa" w:w="4422"/>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体现经贸撮合和供需对接能力</w:t>
            </w:r>
          </w:p>
        </w:tc>
      </w:tr>
      <w:tr>
        <w:tc>
          <w:tcPr>
            <w:tcW w:type="dxa" w:w="215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开幕日意向成交</w:t>
            </w:r>
          </w:p>
        </w:tc>
        <w:tc>
          <w:tcPr>
            <w:tcW w:type="dxa" w:w="238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15.8 亿元</w:t>
            </w:r>
          </w:p>
        </w:tc>
        <w:tc>
          <w:tcPr>
            <w:tcW w:type="dxa" w:w="4422"/>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首日转化活跃</w:t>
            </w:r>
          </w:p>
        </w:tc>
      </w:tr>
      <w:tr>
        <w:tc>
          <w:tcPr>
            <w:tcW w:type="dxa" w:w="215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线上云展</w:t>
            </w:r>
          </w:p>
        </w:tc>
        <w:tc>
          <w:tcPr>
            <w:tcW w:type="dxa" w:w="238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1500 余家企业、23 万人次线上观展</w:t>
            </w:r>
          </w:p>
        </w:tc>
        <w:tc>
          <w:tcPr>
            <w:tcW w:type="dxa" w:w="4422"/>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拓展服务半径和传播覆盖</w:t>
            </w:r>
          </w:p>
        </w:tc>
      </w:tr>
    </w:tbl>
    <w:p/>
    <w:tbl>
      <w:tblPr>
        <w:tblStyle w:val="TableGrid"/>
        <w:tblW w:type="auto" w:w="0"/>
        <w:jc w:val="center"/>
        <w:tblLayout w:type="autofit"/>
        <w:tblLook w:firstColumn="1" w:firstRow="1" w:lastColumn="0" w:lastRow="0" w:noHBand="0" w:noVBand="1" w:val="04A0"/>
      </w:tblPr>
      <w:tblGrid>
        <w:gridCol w:w="2282"/>
        <w:gridCol w:w="2282"/>
        <w:gridCol w:w="2282"/>
        <w:gridCol w:w="2282"/>
      </w:tblGrid>
      <w:tr>
        <w:tc>
          <w:tcPr>
            <w:tcW w:type="dxa" w:w="1757"/>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展区方向</w:t>
            </w:r>
          </w:p>
        </w:tc>
        <w:tc>
          <w:tcPr>
            <w:tcW w:type="dxa" w:w="2551"/>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主要展示内容</w:t>
            </w:r>
          </w:p>
        </w:tc>
        <w:tc>
          <w:tcPr>
            <w:tcW w:type="dxa" w:w="2438"/>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产业链价值</w:t>
            </w:r>
          </w:p>
        </w:tc>
        <w:tc>
          <w:tcPr>
            <w:tcW w:type="dxa" w:w="2268"/>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公开版观察</w:t>
            </w:r>
          </w:p>
        </w:tc>
      </w:tr>
      <w:tr>
        <w:tc>
          <w:tcPr>
            <w:tcW w:type="dxa" w:w="1757"/>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国际展区</w:t>
            </w:r>
          </w:p>
        </w:tc>
        <w:tc>
          <w:tcPr>
            <w:tcW w:type="dxa" w:w="255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海外品牌、外资企业、国际合作项目</w:t>
            </w:r>
          </w:p>
        </w:tc>
        <w:tc>
          <w:tcPr>
            <w:tcW w:type="dxa" w:w="243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提升开放度和跨境采购能力</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与 181 家外资及合作企业形成呼应</w:t>
            </w:r>
          </w:p>
        </w:tc>
      </w:tr>
      <w:tr>
        <w:tc>
          <w:tcPr>
            <w:tcW w:type="dxa" w:w="1757"/>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机床展区</w:t>
            </w:r>
          </w:p>
        </w:tc>
        <w:tc>
          <w:tcPr>
            <w:tcW w:type="dxa" w:w="255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工业母机、金属加工设备、刀具、数控系统</w:t>
            </w:r>
          </w:p>
        </w:tc>
        <w:tc>
          <w:tcPr>
            <w:tcW w:type="dxa" w:w="243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服务设备更新和工艺升级</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是装备制造专业观众的高频关注板块</w:t>
            </w:r>
          </w:p>
        </w:tc>
      </w:tr>
      <w:tr>
        <w:tc>
          <w:tcPr>
            <w:tcW w:type="dxa" w:w="1757"/>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工业自动化/机器人</w:t>
            </w:r>
          </w:p>
        </w:tc>
        <w:tc>
          <w:tcPr>
            <w:tcW w:type="dxa" w:w="255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工业机器人、自动化产线、智能控制系统</w:t>
            </w:r>
          </w:p>
        </w:tc>
        <w:tc>
          <w:tcPr>
            <w:tcW w:type="dxa" w:w="243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体现智能制造升级方向</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适合设置场景化应用路线</w:t>
            </w:r>
          </w:p>
        </w:tc>
      </w:tr>
      <w:tr>
        <w:tc>
          <w:tcPr>
            <w:tcW w:type="dxa" w:w="1757"/>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通用及专用设备</w:t>
            </w:r>
          </w:p>
        </w:tc>
        <w:tc>
          <w:tcPr>
            <w:tcW w:type="dxa" w:w="255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能源、石化、航空航天、节能环保设备</w:t>
            </w:r>
          </w:p>
        </w:tc>
        <w:tc>
          <w:tcPr>
            <w:tcW w:type="dxa" w:w="243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拓展跨行业采购场景</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有利于央企和龙头企业采购对接</w:t>
            </w:r>
          </w:p>
        </w:tc>
      </w:tr>
      <w:tr>
        <w:tc>
          <w:tcPr>
            <w:tcW w:type="dxa" w:w="1757"/>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工业互联网与软件</w:t>
            </w:r>
          </w:p>
        </w:tc>
        <w:tc>
          <w:tcPr>
            <w:tcW w:type="dxa" w:w="255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工业软件、数字孪生、云平台、数据服务</w:t>
            </w:r>
          </w:p>
        </w:tc>
        <w:tc>
          <w:tcPr>
            <w:tcW w:type="dxa" w:w="243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支撑数字化转型</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应与线上云展和数据服务平台联动</w:t>
            </w:r>
          </w:p>
        </w:tc>
      </w:tr>
      <w:tr>
        <w:tc>
          <w:tcPr>
            <w:tcW w:type="dxa" w:w="1757"/>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绿色装备</w:t>
            </w:r>
          </w:p>
        </w:tc>
        <w:tc>
          <w:tcPr>
            <w:tcW w:type="dxa" w:w="255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节能环保装备、低碳制造方案</w:t>
            </w:r>
          </w:p>
        </w:tc>
        <w:tc>
          <w:tcPr>
            <w:tcW w:type="dxa" w:w="243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顺应绿色制造和双碳要求</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可作为未来专题升级方向</w:t>
            </w:r>
          </w:p>
        </w:tc>
      </w:tr>
      <w:tr>
        <w:tc>
          <w:tcPr>
            <w:tcW w:type="dxa" w:w="1757"/>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工业文旅</w:t>
            </w:r>
          </w:p>
        </w:tc>
        <w:tc>
          <w:tcPr>
            <w:tcW w:type="dxa" w:w="255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工业文化、城市形象、产业研学</w:t>
            </w:r>
          </w:p>
        </w:tc>
        <w:tc>
          <w:tcPr>
            <w:tcW w:type="dxa" w:w="243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连接展会与城市品牌</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利于面向公众传播沈阳智造形象</w:t>
            </w:r>
          </w:p>
        </w:tc>
      </w:tr>
      <w:tr>
        <w:tc>
          <w:tcPr>
            <w:tcW w:type="dxa" w:w="1757"/>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产学研转化</w:t>
            </w:r>
          </w:p>
        </w:tc>
        <w:tc>
          <w:tcPr>
            <w:tcW w:type="dxa" w:w="255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高校院所成果、企业技术需求、人才对接</w:t>
            </w:r>
          </w:p>
        </w:tc>
        <w:tc>
          <w:tcPr>
            <w:tcW w:type="dxa" w:w="243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促进科技成果转化</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与东北高校科研资源具有强关联</w:t>
            </w:r>
          </w:p>
        </w:tc>
      </w:tr>
    </w:tbl>
    <w:p/>
    <w:p>
      <w:pPr>
        <w:spacing w:before="160" w:after="40"/>
        <w:jc w:val="center"/>
      </w:pPr>
      <w:r>
        <w:drawing>
          <wp:inline xmlns:a="http://schemas.openxmlformats.org/drawingml/2006/main" xmlns:pic="http://schemas.openxmlformats.org/drawingml/2006/picture">
            <wp:extent cx="5256000" cy="3505711"/>
            <wp:docPr id="1" name="Picture 1"/>
            <wp:cNvGraphicFramePr>
              <a:graphicFrameLocks noChangeAspect="1"/>
            </wp:cNvGraphicFramePr>
            <a:graphic>
              <a:graphicData uri="http://schemas.openxmlformats.org/drawingml/2006/picture">
                <pic:pic>
                  <pic:nvPicPr>
                    <pic:cNvPr id="0" name="cieme-people-01.jpg"/>
                    <pic:cNvPicPr/>
                  </pic:nvPicPr>
                  <pic:blipFill>
                    <a:blip r:embed="rId9"/>
                    <a:stretch>
                      <a:fillRect/>
                    </a:stretch>
                  </pic:blipFill>
                  <pic:spPr>
                    <a:xfrm>
                      <a:off x="0" y="0"/>
                      <a:ext cx="5256000" cy="3505711"/>
                    </a:xfrm>
                    <a:prstGeom prst="rect"/>
                  </pic:spPr>
                </pic:pic>
              </a:graphicData>
            </a:graphic>
          </wp:inline>
        </w:drawing>
      </w:r>
    </w:p>
    <w:p>
      <w:pPr>
        <w:spacing w:after="200"/>
        <w:jc w:val="center"/>
      </w:pPr>
      <w:r>
        <w:rPr>
          <w:rFonts w:ascii="Times New Roman" w:hAnsi="Times New Roman" w:eastAsia="宋体"/>
          <w:b w:val="0"/>
          <w:color w:val="64748B"/>
          <w:sz w:val="18"/>
        </w:rPr>
        <w:t>图 1  第二十三届中国制博会现场图片（来源：人民网图片频道）</w:t>
      </w:r>
    </w:p>
    <w:p>
      <w:pPr>
        <w:pStyle w:val="Heading2"/>
        <w:spacing w:before="360" w:after="160"/>
      </w:pPr>
      <w:r>
        <w:rPr>
          <w:rFonts w:ascii="Times New Roman" w:hAnsi="Times New Roman" w:eastAsia="黑体"/>
          <w:b/>
          <w:color w:val="1E40AF"/>
          <w:sz w:val="30"/>
        </w:rPr>
        <w:t>四、综合价值：从展示平台走向产业服务平台</w:t>
      </w:r>
    </w:p>
    <w:p>
      <w:pPr>
        <w:spacing w:line="348" w:lineRule="auto" w:before="0" w:after="80"/>
        <w:ind w:firstLine="420"/>
      </w:pPr>
      <w:r>
        <w:rPr>
          <w:rFonts w:ascii="Times New Roman" w:hAnsi="Times New Roman" w:eastAsia="宋体"/>
          <w:b w:val="0"/>
          <w:color w:val="0F172A"/>
          <w:sz w:val="24"/>
        </w:rPr>
        <w:t>装备制造业产业链具有链条长、分工细、决策周期长等特点。以高端数控机床和智能产线为例，采购过程通常涉及技术评估、方案比较、商务谈判、验收调试和售后服务等多个环节。中国制博会通过集中展示和集中交流，为供应商、采购商、系统集成商、科研机构和园区提供了高密度连接场景。</w:t>
      </w:r>
    </w:p>
    <w:p>
      <w:pPr>
        <w:spacing w:line="348" w:lineRule="auto" w:before="0" w:after="80"/>
        <w:ind w:firstLine="420"/>
      </w:pPr>
      <w:r>
        <w:rPr>
          <w:rFonts w:ascii="Times New Roman" w:hAnsi="Times New Roman" w:eastAsia="宋体"/>
          <w:b w:val="0"/>
          <w:color w:val="0F172A"/>
          <w:sz w:val="24"/>
        </w:rPr>
        <w:t>对参展商而言，展会能够集中触达潜在客户、展示新产品、观察竞争格局、收集市场反馈；对专业观众而言，展会能够在短时间内比较设备性能、识别解决方案、获取供应商信息并完成初步洽谈。对沈阳而言，制博会不仅带动酒店、餐饮、交通、文旅和商务服务等相关消费，也集中展示了沈阳作为先进制造业基地的产业形象。</w:t>
      </w:r>
    </w:p>
    <w:p>
      <w:pPr>
        <w:spacing w:line="348" w:lineRule="auto" w:before="0" w:after="80"/>
        <w:ind w:firstLine="420"/>
      </w:pPr>
      <w:r>
        <w:rPr>
          <w:rFonts w:ascii="Times New Roman" w:hAnsi="Times New Roman" w:eastAsia="宋体"/>
          <w:b w:val="0"/>
          <w:color w:val="0F172A"/>
          <w:sz w:val="24"/>
        </w:rPr>
        <w:t>从发展阶段看，中国制博会已经走过以规模扩张为主的阶段，正在进入平台升级阶段。下一步关键不是单纯增加展位或观众，而是把展会流量转化为专业观众精准匹配、展商真实成交、产业链持续协同和城市品牌外溢。</w:t>
      </w:r>
    </w:p>
    <w:p>
      <w:pPr>
        <w:pStyle w:val="Heading2"/>
        <w:spacing w:before="360" w:after="160"/>
      </w:pPr>
      <w:r>
        <w:rPr>
          <w:rFonts w:ascii="Times New Roman" w:hAnsi="Times New Roman" w:eastAsia="黑体"/>
          <w:b/>
          <w:color w:val="1E40AF"/>
          <w:sz w:val="30"/>
        </w:rPr>
        <w:t>五、公开数据衍生指标分析</w:t>
      </w:r>
    </w:p>
    <w:p>
      <w:pPr>
        <w:spacing w:line="348" w:lineRule="auto" w:before="0" w:after="80"/>
        <w:ind w:firstLine="420"/>
      </w:pPr>
      <w:r>
        <w:rPr>
          <w:rFonts w:ascii="Times New Roman" w:hAnsi="Times New Roman" w:eastAsia="宋体"/>
          <w:b w:val="0"/>
          <w:color w:val="0F172A"/>
          <w:sz w:val="24"/>
        </w:rPr>
        <w:t>除直接公开数据外，报告进一步计算若干衍生指标，用于理解展会运营效率。衍生指标不是新增官方发布数字，而是基于公开数据进行的比例计算和效率分析。</w:t>
      </w:r>
    </w:p>
    <w:tbl>
      <w:tblPr>
        <w:tblStyle w:val="TableGrid"/>
        <w:tblW w:type="auto" w:w="0"/>
        <w:jc w:val="center"/>
        <w:tblLayout w:type="autofit"/>
        <w:tblLook w:firstColumn="1" w:firstRow="1" w:lastColumn="0" w:lastRow="0" w:noHBand="0" w:noVBand="1" w:val="04A0"/>
      </w:tblPr>
      <w:tblGrid>
        <w:gridCol w:w="2282"/>
        <w:gridCol w:w="2282"/>
        <w:gridCol w:w="2282"/>
        <w:gridCol w:w="2282"/>
      </w:tblGrid>
      <w:tr>
        <w:tc>
          <w:tcPr>
            <w:tcW w:type="dxa" w:w="2041"/>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衍生指标</w:t>
            </w:r>
          </w:p>
        </w:tc>
        <w:tc>
          <w:tcPr>
            <w:tcW w:type="dxa" w:w="2154"/>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计算方式</w:t>
            </w:r>
          </w:p>
        </w:tc>
        <w:tc>
          <w:tcPr>
            <w:tcW w:type="dxa" w:w="1701"/>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结果</w:t>
            </w:r>
          </w:p>
        </w:tc>
        <w:tc>
          <w:tcPr>
            <w:tcW w:type="dxa" w:w="3005"/>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分析含义</w:t>
            </w:r>
          </w:p>
        </w:tc>
      </w:tr>
      <w:tr>
        <w:tc>
          <w:tcPr>
            <w:tcW w:type="dxa" w:w="204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专业观众占比</w:t>
            </w:r>
          </w:p>
        </w:tc>
        <w:tc>
          <w:tcPr>
            <w:tcW w:type="dxa" w:w="215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11.2 万 / 14.7 万</w:t>
            </w:r>
          </w:p>
        </w:tc>
        <w:tc>
          <w:tcPr>
            <w:tcW w:type="dxa" w:w="170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约 76.2%</w:t>
            </w:r>
          </w:p>
        </w:tc>
        <w:tc>
          <w:tcPr>
            <w:tcW w:type="dxa" w:w="300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线下观众结构中专业观众占比较高</w:t>
            </w:r>
          </w:p>
        </w:tc>
      </w:tr>
      <w:tr>
        <w:tc>
          <w:tcPr>
            <w:tcW w:type="dxa" w:w="204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平均展位配置</w:t>
            </w:r>
          </w:p>
        </w:tc>
        <w:tc>
          <w:tcPr>
            <w:tcW w:type="dxa" w:w="215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3056 个 / 912 家</w:t>
            </w:r>
          </w:p>
        </w:tc>
        <w:tc>
          <w:tcPr>
            <w:tcW w:type="dxa" w:w="170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约 3.35 个/企业</w:t>
            </w:r>
          </w:p>
        </w:tc>
        <w:tc>
          <w:tcPr>
            <w:tcW w:type="dxa" w:w="300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参展企业平均展示空间较充足</w:t>
            </w:r>
          </w:p>
        </w:tc>
      </w:tr>
      <w:tr>
        <w:tc>
          <w:tcPr>
            <w:tcW w:type="dxa" w:w="204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专业观众线索密度</w:t>
            </w:r>
          </w:p>
        </w:tc>
        <w:tc>
          <w:tcPr>
            <w:tcW w:type="dxa" w:w="215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11.2 万 / 912 家</w:t>
            </w:r>
          </w:p>
        </w:tc>
        <w:tc>
          <w:tcPr>
            <w:tcW w:type="dxa" w:w="170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约 123 人次/企业</w:t>
            </w:r>
          </w:p>
        </w:tc>
        <w:tc>
          <w:tcPr>
            <w:tcW w:type="dxa" w:w="300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展商潜在接触专业观众基础较强</w:t>
            </w:r>
          </w:p>
        </w:tc>
      </w:tr>
      <w:tr>
        <w:tc>
          <w:tcPr>
            <w:tcW w:type="dxa" w:w="204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云展覆盖倍数</w:t>
            </w:r>
          </w:p>
        </w:tc>
        <w:tc>
          <w:tcPr>
            <w:tcW w:type="dxa" w:w="215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1500 家 / 912 家</w:t>
            </w:r>
          </w:p>
        </w:tc>
        <w:tc>
          <w:tcPr>
            <w:tcW w:type="dxa" w:w="170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约 1.65 倍</w:t>
            </w:r>
          </w:p>
        </w:tc>
        <w:tc>
          <w:tcPr>
            <w:tcW w:type="dxa" w:w="300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线上云展承载企业数超过线下参展企业</w:t>
            </w:r>
          </w:p>
        </w:tc>
      </w:tr>
      <w:tr>
        <w:tc>
          <w:tcPr>
            <w:tcW w:type="dxa" w:w="204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开幕日成交占比</w:t>
            </w:r>
          </w:p>
        </w:tc>
        <w:tc>
          <w:tcPr>
            <w:tcW w:type="dxa" w:w="215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15.8 亿 / 66.2 亿</w:t>
            </w:r>
          </w:p>
        </w:tc>
        <w:tc>
          <w:tcPr>
            <w:tcW w:type="dxa" w:w="170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约 23.9%</w:t>
            </w:r>
          </w:p>
        </w:tc>
        <w:tc>
          <w:tcPr>
            <w:tcW w:type="dxa" w:w="300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经贸转化并非仅集中在开幕日</w:t>
            </w:r>
          </w:p>
        </w:tc>
      </w:tr>
      <w:tr>
        <w:tc>
          <w:tcPr>
            <w:tcW w:type="dxa" w:w="204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国际对接占开幕日成交</w:t>
            </w:r>
          </w:p>
        </w:tc>
        <w:tc>
          <w:tcPr>
            <w:tcW w:type="dxa" w:w="215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4.1 亿 / 15.8 亿</w:t>
            </w:r>
          </w:p>
        </w:tc>
        <w:tc>
          <w:tcPr>
            <w:tcW w:type="dxa" w:w="170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约 25.9%</w:t>
            </w:r>
          </w:p>
        </w:tc>
        <w:tc>
          <w:tcPr>
            <w:tcW w:type="dxa" w:w="300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一带一路对接会对首日成交贡献明显</w:t>
            </w:r>
          </w:p>
        </w:tc>
      </w:tr>
      <w:tr>
        <w:tc>
          <w:tcPr>
            <w:tcW w:type="dxa" w:w="204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外资合作企业占比</w:t>
            </w:r>
          </w:p>
        </w:tc>
        <w:tc>
          <w:tcPr>
            <w:tcW w:type="dxa" w:w="215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181 家 / 912 家</w:t>
            </w:r>
          </w:p>
        </w:tc>
        <w:tc>
          <w:tcPr>
            <w:tcW w:type="dxa" w:w="170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约 19.8%</w:t>
            </w:r>
          </w:p>
        </w:tc>
        <w:tc>
          <w:tcPr>
            <w:tcW w:type="dxa" w:w="300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具备一定国际合作和开放展示基础</w:t>
            </w:r>
          </w:p>
        </w:tc>
      </w:tr>
    </w:tbl>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公开数据衍生指标分析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公开数据衍生指标分析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因此，公开数据衍生指标分析的升级重点不是另起炉灶，而是在已有 9 万平方米展览规模、912 家参展企业、11.2 万专业观众、66.2 亿元累计意向成交和 23 万线上观展人次的基础上，把规模流量转化为产业链协同效率。</w:t>
      </w:r>
    </w:p>
    <w:p>
      <w:pPr>
        <w:spacing w:line="348" w:lineRule="auto" w:before="0" w:after="80"/>
        <w:ind w:firstLine="420"/>
      </w:pPr>
      <w:r/>
    </w:p>
    <w:p>
      <w:pPr>
        <w:pStyle w:val="Heading1"/>
        <w:spacing w:before="360" w:after="160"/>
        <w:jc w:val="center"/>
      </w:pPr>
      <w:r>
        <w:rPr>
          <w:rFonts w:ascii="Times New Roman" w:hAnsi="Times New Roman" w:eastAsia="黑体"/>
          <w:b/>
          <w:color w:val="0F1F4F"/>
          <w:sz w:val="40"/>
        </w:rPr>
        <w:t>第二部分  存在问题</w:t>
      </w:r>
    </w:p>
    <w:p>
      <w:pPr>
        <w:spacing w:line="348" w:lineRule="auto" w:before="0" w:after="80"/>
        <w:ind w:firstLine="420"/>
      </w:pPr>
      <w:r>
        <w:rPr>
          <w:rFonts w:ascii="Times New Roman" w:hAnsi="Times New Roman" w:eastAsia="宋体"/>
          <w:b w:val="0"/>
          <w:color w:val="0F172A"/>
          <w:sz w:val="24"/>
        </w:rPr>
        <w:t>中国制博会已经具备较强办展基础，但从“规模型工业展会”向“平台型、服务型、数字型先进制造类展会”升级，仍面临若干结构性问题。以下九类问题并非否定展会基础，而是面向高质量发展提出的改进方向。</w:t>
      </w:r>
    </w:p>
    <w:p>
      <w:pPr>
        <w:pStyle w:val="Heading2"/>
        <w:spacing w:before="360" w:after="160"/>
      </w:pPr>
      <w:r>
        <w:rPr>
          <w:rFonts w:ascii="Times New Roman" w:hAnsi="Times New Roman" w:eastAsia="黑体"/>
          <w:b/>
          <w:color w:val="1E40AF"/>
          <w:sz w:val="30"/>
        </w:rPr>
        <w:t>一、战略定位表达仍需进一步聚焦</w:t>
      </w:r>
    </w:p>
    <w:p>
      <w:pPr>
        <w:spacing w:line="348" w:lineRule="auto" w:before="0" w:after="80"/>
        <w:ind w:firstLine="420"/>
      </w:pPr>
      <w:r>
        <w:rPr>
          <w:rFonts w:ascii="Times New Roman" w:hAnsi="Times New Roman" w:eastAsia="宋体"/>
          <w:b w:val="0"/>
          <w:color w:val="0F172A"/>
          <w:sz w:val="24"/>
        </w:rPr>
        <w:t>展会主题“智能新装备·新质生产力”具有政策高度，但对不同受众的价值表达仍需细化。采购商更关心能否找到智能产线改造方案，参展商更关心能否获得高质量采购线索，园区更关心能否推动招商和补链强链。宏观主题需要转化为清晰的参观理由和参展理由。</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战略定位表达仍需进一步聚焦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战略定位表达仍需进一步聚焦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pStyle w:val="Heading2"/>
        <w:spacing w:before="360" w:after="160"/>
      </w:pPr>
      <w:r>
        <w:rPr>
          <w:rFonts w:ascii="Times New Roman" w:hAnsi="Times New Roman" w:eastAsia="黑体"/>
          <w:b/>
          <w:color w:val="1E40AF"/>
          <w:sz w:val="30"/>
        </w:rPr>
        <w:t>二、专业观众组织和供需匹配效率有待提升</w:t>
      </w:r>
    </w:p>
    <w:p>
      <w:pPr>
        <w:spacing w:line="348" w:lineRule="auto" w:before="0" w:after="80"/>
        <w:ind w:firstLine="420"/>
      </w:pPr>
      <w:r>
        <w:rPr>
          <w:rFonts w:ascii="Times New Roman" w:hAnsi="Times New Roman" w:eastAsia="宋体"/>
          <w:b w:val="0"/>
          <w:color w:val="0F172A"/>
          <w:sz w:val="24"/>
        </w:rPr>
        <w:t>装备制造展会的核心资源是具有采购权、技术判断能力和合作意向的专业观众。当前展会已有 11.2 万专业观众基础，但仍需要进一步采集采购需求、预算周期、决策角色、关注展区和目标企业类型，提升展前预约、展中推荐和展后跟踪能力。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专业观众组织和供需匹配效率有待提升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专业观众组织和供需匹配效率有待提升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pStyle w:val="Heading2"/>
        <w:spacing w:before="360" w:after="160"/>
      </w:pPr>
      <w:r>
        <w:rPr>
          <w:rFonts w:ascii="Times New Roman" w:hAnsi="Times New Roman" w:eastAsia="黑体"/>
          <w:b/>
          <w:color w:val="1E40AF"/>
          <w:sz w:val="30"/>
        </w:rPr>
        <w:t>三、数字化服务尚未形成完整闭环</w:t>
      </w:r>
    </w:p>
    <w:p>
      <w:pPr>
        <w:spacing w:line="348" w:lineRule="auto" w:before="0" w:after="80"/>
        <w:ind w:firstLine="420"/>
      </w:pPr>
      <w:r>
        <w:rPr>
          <w:rFonts w:ascii="Times New Roman" w:hAnsi="Times New Roman" w:eastAsia="宋体"/>
          <w:b w:val="0"/>
          <w:color w:val="0F172A"/>
          <w:sz w:val="24"/>
        </w:rPr>
        <w:t>线上云展入驻企业 1500 余家、线上观展 23 万人次，说明数字平台已具备触达基础。但高水平数字会展不应停留在信息展示层面，还应包括需求采集、智能推荐、预约洽谈、电子名片、线索管理、展后回访和效果分析。</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数字化服务尚未形成完整闭环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数字化服务尚未形成完整闭环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pStyle w:val="Heading2"/>
        <w:spacing w:before="360" w:after="160"/>
      </w:pPr>
      <w:r>
        <w:rPr>
          <w:rFonts w:ascii="Times New Roman" w:hAnsi="Times New Roman" w:eastAsia="黑体"/>
          <w:b/>
          <w:color w:val="1E40AF"/>
          <w:sz w:val="30"/>
        </w:rPr>
        <w:t>四、宣传推广与品牌传播分层不足</w:t>
      </w:r>
    </w:p>
    <w:p>
      <w:pPr>
        <w:spacing w:line="348" w:lineRule="auto" w:before="0" w:after="80"/>
        <w:ind w:firstLine="420"/>
      </w:pPr>
      <w:r>
        <w:rPr>
          <w:rFonts w:ascii="Times New Roman" w:hAnsi="Times New Roman" w:eastAsia="宋体"/>
          <w:b w:val="0"/>
          <w:color w:val="0F172A"/>
          <w:sz w:val="24"/>
        </w:rPr>
        <w:t>装备制造展会面对参展商、专业观众、政府园区、高校科研机构和城市公众等多类受众。不同受众的决策关注点差异明显，传播内容需要分层设计：产业客户看采购与订单，专业观众看解决方案，城市公众看工业形象，高校青年看就业和科研转化。</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宣传推广与品牌传播分层不足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宣传推广与品牌传播分层不足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pStyle w:val="Heading2"/>
        <w:spacing w:before="360" w:after="160"/>
      </w:pPr>
      <w:r>
        <w:rPr>
          <w:rFonts w:ascii="Times New Roman" w:hAnsi="Times New Roman" w:eastAsia="黑体"/>
          <w:b/>
          <w:color w:val="1E40AF"/>
          <w:sz w:val="30"/>
        </w:rPr>
        <w:t>五、展区内容与活动内容联动仍需深化</w:t>
      </w:r>
    </w:p>
    <w:p>
      <w:pPr>
        <w:spacing w:line="348" w:lineRule="auto" w:before="0" w:after="80"/>
        <w:ind w:firstLine="420"/>
      </w:pPr>
      <w:r>
        <w:rPr>
          <w:rFonts w:ascii="Times New Roman" w:hAnsi="Times New Roman" w:eastAsia="宋体"/>
          <w:b w:val="0"/>
          <w:color w:val="0F172A"/>
          <w:sz w:val="24"/>
        </w:rPr>
        <w:t>12 个展区覆盖面较广，但要进一步从品类陈列转向场景化组织。围绕智能工厂、工业母机、机器人应用、绿色制造、新质生产力成果转化等主题设置组合路线，有助于提高专业观众理解效率和采购决策效率。</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展区内容与活动内容联动仍需深化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展区内容与活动内容联动仍需深化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pStyle w:val="Heading2"/>
        <w:spacing w:before="360" w:after="160"/>
      </w:pPr>
      <w:r>
        <w:rPr>
          <w:rFonts w:ascii="Times New Roman" w:hAnsi="Times New Roman" w:eastAsia="黑体"/>
          <w:b/>
          <w:color w:val="1E40AF"/>
          <w:sz w:val="30"/>
        </w:rPr>
        <w:t>六、国际化深度有待提升</w:t>
      </w:r>
    </w:p>
    <w:p>
      <w:pPr>
        <w:spacing w:line="348" w:lineRule="auto" w:before="0" w:after="80"/>
        <w:ind w:firstLine="420"/>
      </w:pPr>
      <w:r>
        <w:rPr>
          <w:rFonts w:ascii="Times New Roman" w:hAnsi="Times New Roman" w:eastAsia="宋体"/>
          <w:b w:val="0"/>
          <w:color w:val="0F172A"/>
          <w:sz w:val="24"/>
        </w:rPr>
        <w:t>本届展会已经吸引外资及合作企业 181 家，并举办“一带一路”国家采购商对接会。下一步需要从国际展商展示拓展到国际采购组织、海外渠道合作、跨境服务、外文资料和国际买家长期数据库建设。</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国际化深度有待提升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国际化深度有待提升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pStyle w:val="Heading2"/>
        <w:spacing w:before="360" w:after="160"/>
      </w:pPr>
      <w:r>
        <w:rPr>
          <w:rFonts w:ascii="Times New Roman" w:hAnsi="Times New Roman" w:eastAsia="黑体"/>
          <w:b/>
          <w:color w:val="1E40AF"/>
          <w:sz w:val="30"/>
        </w:rPr>
        <w:t>七、现场服务体验需要更精细</w:t>
      </w:r>
    </w:p>
    <w:p>
      <w:pPr>
        <w:spacing w:line="348" w:lineRule="auto" w:before="0" w:after="80"/>
        <w:ind w:firstLine="420"/>
      </w:pPr>
      <w:r>
        <w:rPr>
          <w:rFonts w:ascii="Times New Roman" w:hAnsi="Times New Roman" w:eastAsia="宋体"/>
          <w:b w:val="0"/>
          <w:color w:val="0F172A"/>
          <w:sz w:val="24"/>
        </w:rPr>
        <w:t>大型专业展会现场人流密集、展区跨度大、信息密度高。若导览、交通、餐饮、休息、洽谈空间和咨询服务不够精细，会影响专业观众停留时间和展商接待效率。</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现场服务体验需要更精细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现场服务体验需要更精细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pStyle w:val="Heading2"/>
        <w:spacing w:before="360" w:after="160"/>
      </w:pPr>
      <w:r>
        <w:rPr>
          <w:rFonts w:ascii="Times New Roman" w:hAnsi="Times New Roman" w:eastAsia="黑体"/>
          <w:b/>
          <w:color w:val="1E40AF"/>
          <w:sz w:val="30"/>
        </w:rPr>
        <w:t>八、展后转化机制仍需加强</w:t>
      </w:r>
    </w:p>
    <w:p>
      <w:pPr>
        <w:spacing w:line="348" w:lineRule="auto" w:before="0" w:after="80"/>
        <w:ind w:firstLine="420"/>
      </w:pPr>
      <w:r>
        <w:rPr>
          <w:rFonts w:ascii="Times New Roman" w:hAnsi="Times New Roman" w:eastAsia="宋体"/>
          <w:b w:val="0"/>
          <w:color w:val="0F172A"/>
          <w:sz w:val="24"/>
        </w:rPr>
        <w:t>装备制造项目采购周期长，展会现场签约只是转化链条的开端。主办方需要在展后 1 个月、3 个月、6 个月建立线索回访和成交跟踪机制，帮助展商把现场意向转化为真实合作。</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展后转化机制仍需加强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展后转化机制仍需加强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pStyle w:val="Heading2"/>
        <w:spacing w:before="360" w:after="160"/>
      </w:pPr>
      <w:r>
        <w:rPr>
          <w:rFonts w:ascii="Times New Roman" w:hAnsi="Times New Roman" w:eastAsia="黑体"/>
          <w:b/>
          <w:color w:val="1E40AF"/>
          <w:sz w:val="30"/>
        </w:rPr>
        <w:t>九、高校科研与青年参与可进一步提升</w:t>
      </w:r>
    </w:p>
    <w:p>
      <w:pPr>
        <w:spacing w:line="348" w:lineRule="auto" w:before="0" w:after="80"/>
        <w:ind w:firstLine="420"/>
      </w:pPr>
      <w:r>
        <w:rPr>
          <w:rFonts w:ascii="Times New Roman" w:hAnsi="Times New Roman" w:eastAsia="宋体"/>
          <w:b w:val="0"/>
          <w:color w:val="0F172A"/>
          <w:sz w:val="24"/>
        </w:rPr>
        <w:t>沈阳及东北地区高校科研资源丰富，装备制造业升级也需要工程师、技术经理和复合型会展人才。展会可通过青年工程师日、科研成果转化专区、企业需求发布和校企对接活动增强产教融合功能。</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高校科研与青年参与可进一步提升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高校科研与青年参与可进一步提升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tbl>
      <w:tblPr>
        <w:tblStyle w:val="TableGrid"/>
        <w:tblW w:type="auto" w:w="0"/>
        <w:jc w:val="center"/>
        <w:tblLayout w:type="autofit"/>
        <w:tblLook w:firstColumn="1" w:firstRow="1" w:lastColumn="0" w:lastRow="0" w:noHBand="0" w:noVBand="1" w:val="04A0"/>
      </w:tblPr>
      <w:tblGrid>
        <w:gridCol w:w="2282"/>
        <w:gridCol w:w="2282"/>
        <w:gridCol w:w="2282"/>
        <w:gridCol w:w="2282"/>
      </w:tblGrid>
      <w:tr>
        <w:tc>
          <w:tcPr>
            <w:tcW w:type="dxa" w:w="2268"/>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8"/>
              </w:rPr>
              <w:t>问题类别</w:t>
            </w:r>
          </w:p>
        </w:tc>
        <w:tc>
          <w:tcPr>
            <w:tcW w:type="dxa" w:w="1417"/>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8"/>
              </w:rPr>
              <w:t>影响程度</w:t>
            </w:r>
          </w:p>
        </w:tc>
        <w:tc>
          <w:tcPr>
            <w:tcW w:type="dxa" w:w="1587"/>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8"/>
              </w:rPr>
              <w:t>改进紧迫性</w:t>
            </w:r>
          </w:p>
        </w:tc>
        <w:tc>
          <w:tcPr>
            <w:tcW w:type="dxa" w:w="3685"/>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8"/>
              </w:rPr>
              <w:t>优先行动</w:t>
            </w:r>
          </w:p>
        </w:tc>
      </w:tr>
      <w:tr>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专业观众组织</w:t>
            </w:r>
          </w:p>
        </w:tc>
        <w:tc>
          <w:tcPr>
            <w:tcW w:type="dxa" w:w="1417"/>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高</w:t>
            </w:r>
          </w:p>
        </w:tc>
        <w:tc>
          <w:tcPr>
            <w:tcW w:type="dxa" w:w="1587"/>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高</w:t>
            </w:r>
          </w:p>
        </w:tc>
        <w:tc>
          <w:tcPr>
            <w:tcW w:type="dxa" w:w="368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建立采购需求画像和预约洽谈机制</w:t>
            </w:r>
          </w:p>
        </w:tc>
      </w:tr>
      <w:tr>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数字化闭环</w:t>
            </w:r>
          </w:p>
        </w:tc>
        <w:tc>
          <w:tcPr>
            <w:tcW w:type="dxa" w:w="1417"/>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高</w:t>
            </w:r>
          </w:p>
        </w:tc>
        <w:tc>
          <w:tcPr>
            <w:tcW w:type="dxa" w:w="1587"/>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高</w:t>
            </w:r>
          </w:p>
        </w:tc>
        <w:tc>
          <w:tcPr>
            <w:tcW w:type="dxa" w:w="368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建设展前、展中、展后一体化服务平台</w:t>
            </w:r>
          </w:p>
        </w:tc>
      </w:tr>
      <w:tr>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展后转化</w:t>
            </w:r>
          </w:p>
        </w:tc>
        <w:tc>
          <w:tcPr>
            <w:tcW w:type="dxa" w:w="1417"/>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高</w:t>
            </w:r>
          </w:p>
        </w:tc>
        <w:tc>
          <w:tcPr>
            <w:tcW w:type="dxa" w:w="1587"/>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高</w:t>
            </w:r>
          </w:p>
        </w:tc>
        <w:tc>
          <w:tcPr>
            <w:tcW w:type="dxa" w:w="368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建立线索台账和分阶段跟踪制度</w:t>
            </w:r>
          </w:p>
        </w:tc>
      </w:tr>
      <w:tr>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战略定位表达</w:t>
            </w:r>
          </w:p>
        </w:tc>
        <w:tc>
          <w:tcPr>
            <w:tcW w:type="dxa" w:w="1417"/>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中高</w:t>
            </w:r>
          </w:p>
        </w:tc>
        <w:tc>
          <w:tcPr>
            <w:tcW w:type="dxa" w:w="1587"/>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中高</w:t>
            </w:r>
          </w:p>
        </w:tc>
        <w:tc>
          <w:tcPr>
            <w:tcW w:type="dxa" w:w="368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形成分对象价值主张</w:t>
            </w:r>
          </w:p>
        </w:tc>
      </w:tr>
      <w:tr>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宣传分层</w:t>
            </w:r>
          </w:p>
        </w:tc>
        <w:tc>
          <w:tcPr>
            <w:tcW w:type="dxa" w:w="1417"/>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中高</w:t>
            </w:r>
          </w:p>
        </w:tc>
        <w:tc>
          <w:tcPr>
            <w:tcW w:type="dxa" w:w="1587"/>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中</w:t>
            </w:r>
          </w:p>
        </w:tc>
        <w:tc>
          <w:tcPr>
            <w:tcW w:type="dxa" w:w="368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按受众设计传播内容和渠道</w:t>
            </w:r>
          </w:p>
        </w:tc>
      </w:tr>
      <w:tr>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国际化</w:t>
            </w:r>
          </w:p>
        </w:tc>
        <w:tc>
          <w:tcPr>
            <w:tcW w:type="dxa" w:w="1417"/>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中</w:t>
            </w:r>
          </w:p>
        </w:tc>
        <w:tc>
          <w:tcPr>
            <w:tcW w:type="dxa" w:w="1587"/>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中</w:t>
            </w:r>
          </w:p>
        </w:tc>
        <w:tc>
          <w:tcPr>
            <w:tcW w:type="dxa" w:w="368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建设国际采购商数据库</w:t>
            </w:r>
          </w:p>
        </w:tc>
      </w:tr>
      <w:tr>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现场服务</w:t>
            </w:r>
          </w:p>
        </w:tc>
        <w:tc>
          <w:tcPr>
            <w:tcW w:type="dxa" w:w="1417"/>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中</w:t>
            </w:r>
          </w:p>
        </w:tc>
        <w:tc>
          <w:tcPr>
            <w:tcW w:type="dxa" w:w="1587"/>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中高</w:t>
            </w:r>
          </w:p>
        </w:tc>
        <w:tc>
          <w:tcPr>
            <w:tcW w:type="dxa" w:w="368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优化导览、交通、洽谈和休息体系</w:t>
            </w:r>
          </w:p>
        </w:tc>
      </w:tr>
      <w:tr>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高校参与</w:t>
            </w:r>
          </w:p>
        </w:tc>
        <w:tc>
          <w:tcPr>
            <w:tcW w:type="dxa" w:w="1417"/>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中</w:t>
            </w:r>
          </w:p>
        </w:tc>
        <w:tc>
          <w:tcPr>
            <w:tcW w:type="dxa" w:w="1587"/>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中</w:t>
            </w:r>
          </w:p>
        </w:tc>
        <w:tc>
          <w:tcPr>
            <w:tcW w:type="dxa" w:w="368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设置青年工程师和科研成果转化活动</w:t>
            </w:r>
          </w:p>
        </w:tc>
      </w:tr>
    </w:tbl>
    <w:p/>
    <w:p>
      <w:pPr>
        <w:spacing w:before="160" w:after="40"/>
        <w:jc w:val="center"/>
      </w:pPr>
      <w:r>
        <w:drawing>
          <wp:inline xmlns:a="http://schemas.openxmlformats.org/drawingml/2006/main" xmlns:pic="http://schemas.openxmlformats.org/drawingml/2006/picture">
            <wp:extent cx="5616000" cy="3510000"/>
            <wp:docPr id="2" name="Picture 2"/>
            <wp:cNvGraphicFramePr>
              <a:graphicFrameLocks noChangeAspect="1"/>
            </wp:cNvGraphicFramePr>
            <a:graphic>
              <a:graphicData uri="http://schemas.openxmlformats.org/drawingml/2006/picture">
                <pic:pic>
                  <pic:nvPicPr>
                    <pic:cNvPr id="0" name="F5.png"/>
                    <pic:cNvPicPr/>
                  </pic:nvPicPr>
                  <pic:blipFill>
                    <a:blip r:embed="rId10"/>
                    <a:stretch>
                      <a:fillRect/>
                    </a:stretch>
                  </pic:blipFill>
                  <pic:spPr>
                    <a:xfrm>
                      <a:off x="0" y="0"/>
                      <a:ext cx="5616000" cy="3510000"/>
                    </a:xfrm>
                    <a:prstGeom prst="rect"/>
                  </pic:spPr>
                </pic:pic>
              </a:graphicData>
            </a:graphic>
          </wp:inline>
        </w:drawing>
      </w:r>
    </w:p>
    <w:p>
      <w:pPr>
        <w:spacing w:after="200"/>
        <w:jc w:val="center"/>
      </w:pPr>
      <w:r>
        <w:rPr>
          <w:rFonts w:ascii="Times New Roman" w:hAnsi="Times New Roman" w:eastAsia="宋体"/>
          <w:b w:val="0"/>
          <w:color w:val="64748B"/>
          <w:sz w:val="18"/>
        </w:rPr>
        <w:t>图 2  九大问题影响与紧迫性评估</w:t>
      </w:r>
    </w:p>
    <w:p>
      <w:pPr>
        <w:spacing w:before="160" w:after="40"/>
        <w:jc w:val="center"/>
      </w:pPr>
      <w:r>
        <w:drawing>
          <wp:inline xmlns:a="http://schemas.openxmlformats.org/drawingml/2006/main" xmlns:pic="http://schemas.openxmlformats.org/drawingml/2006/picture">
            <wp:extent cx="5616000" cy="3510000"/>
            <wp:docPr id="3" name="Picture 3"/>
            <wp:cNvGraphicFramePr>
              <a:graphicFrameLocks noChangeAspect="1"/>
            </wp:cNvGraphicFramePr>
            <a:graphic>
              <a:graphicData uri="http://schemas.openxmlformats.org/drawingml/2006/picture">
                <pic:pic>
                  <pic:nvPicPr>
                    <pic:cNvPr id="0" name="F6.png"/>
                    <pic:cNvPicPr/>
                  </pic:nvPicPr>
                  <pic:blipFill>
                    <a:blip r:embed="rId11"/>
                    <a:stretch>
                      <a:fillRect/>
                    </a:stretch>
                  </pic:blipFill>
                  <pic:spPr>
                    <a:xfrm>
                      <a:off x="0" y="0"/>
                      <a:ext cx="5616000" cy="3510000"/>
                    </a:xfrm>
                    <a:prstGeom prst="rect"/>
                  </pic:spPr>
                </pic:pic>
              </a:graphicData>
            </a:graphic>
          </wp:inline>
        </w:drawing>
      </w:r>
    </w:p>
    <w:p>
      <w:pPr>
        <w:spacing w:after="200"/>
        <w:jc w:val="center"/>
      </w:pPr>
      <w:r>
        <w:rPr>
          <w:rFonts w:ascii="Times New Roman" w:hAnsi="Times New Roman" w:eastAsia="宋体"/>
          <w:b w:val="0"/>
          <w:color w:val="64748B"/>
          <w:sz w:val="18"/>
        </w:rPr>
        <w:t>图 3  问题与建议对应关系</w:t>
      </w:r>
    </w:p>
    <w:p>
      <w:pPr>
        <w:spacing w:before="160" w:after="40"/>
        <w:jc w:val="center"/>
      </w:pPr>
      <w:r>
        <w:drawing>
          <wp:inline xmlns:a="http://schemas.openxmlformats.org/drawingml/2006/main" xmlns:pic="http://schemas.openxmlformats.org/drawingml/2006/picture">
            <wp:extent cx="5616000" cy="8006258"/>
            <wp:docPr id="4" name="Picture 4"/>
            <wp:cNvGraphicFramePr>
              <a:graphicFrameLocks noChangeAspect="1"/>
            </wp:cNvGraphicFramePr>
            <a:graphic>
              <a:graphicData uri="http://schemas.openxmlformats.org/drawingml/2006/picture">
                <pic:pic>
                  <pic:nvPicPr>
                    <pic:cNvPr id="0" name="E7.png"/>
                    <pic:cNvPicPr/>
                  </pic:nvPicPr>
                  <pic:blipFill>
                    <a:blip r:embed="rId12"/>
                    <a:stretch>
                      <a:fillRect/>
                    </a:stretch>
                  </pic:blipFill>
                  <pic:spPr>
                    <a:xfrm>
                      <a:off x="0" y="0"/>
                      <a:ext cx="5616000" cy="8006258"/>
                    </a:xfrm>
                    <a:prstGeom prst="rect"/>
                  </pic:spPr>
                </pic:pic>
              </a:graphicData>
            </a:graphic>
          </wp:inline>
        </w:drawing>
      </w:r>
    </w:p>
    <w:p>
      <w:pPr>
        <w:spacing w:after="200"/>
        <w:jc w:val="center"/>
      </w:pPr>
      <w:r>
        <w:rPr>
          <w:rFonts w:ascii="Times New Roman" w:hAnsi="Times New Roman" w:eastAsia="宋体"/>
          <w:b w:val="0"/>
          <w:color w:val="64748B"/>
          <w:sz w:val="18"/>
        </w:rPr>
        <w:t>图 E7  九类问题治理优先级研究评价</w:t>
      </w:r>
    </w:p>
    <w:p>
      <w:pPr>
        <w:pStyle w:val="Heading1"/>
        <w:spacing w:before="360" w:after="160"/>
        <w:jc w:val="center"/>
      </w:pPr>
      <w:r>
        <w:rPr>
          <w:rFonts w:ascii="Times New Roman" w:hAnsi="Times New Roman" w:eastAsia="黑体"/>
          <w:b/>
          <w:color w:val="0F1F4F"/>
          <w:sz w:val="40"/>
        </w:rPr>
        <w:t>第三部分  优化建议</w:t>
      </w:r>
    </w:p>
    <w:p>
      <w:pPr>
        <w:spacing w:line="348" w:lineRule="auto" w:before="0" w:after="80"/>
        <w:ind w:firstLine="420"/>
      </w:pPr>
      <w:r>
        <w:rPr>
          <w:rFonts w:ascii="Times New Roman" w:hAnsi="Times New Roman" w:eastAsia="宋体"/>
          <w:b w:val="0"/>
          <w:color w:val="0F172A"/>
          <w:sz w:val="24"/>
        </w:rPr>
        <w:t>本报告建议将中国制博会从“规模型工业展会”升级为“北方智能制造产业链服务平台”。平台化并不意味着弱化展览，而是把展览、交易、服务、数据、传播和产业协同整合为更长周期的服务体系。</w:t>
      </w:r>
    </w:p>
    <w:p>
      <w:pPr>
        <w:pStyle w:val="Heading2"/>
        <w:spacing w:before="360" w:after="160"/>
      </w:pPr>
      <w:r>
        <w:rPr>
          <w:rFonts w:ascii="Times New Roman" w:hAnsi="Times New Roman" w:eastAsia="黑体"/>
          <w:b/>
          <w:color w:val="1E40AF"/>
          <w:sz w:val="30"/>
        </w:rPr>
        <w:t>一、明确“北方智能制造产业链服务平台”定位</w:t>
      </w:r>
    </w:p>
    <w:p>
      <w:pPr>
        <w:spacing w:line="348" w:lineRule="auto" w:before="0" w:after="80"/>
        <w:ind w:firstLine="420"/>
      </w:pPr>
      <w:r>
        <w:rPr>
          <w:rFonts w:ascii="Times New Roman" w:hAnsi="Times New Roman" w:eastAsia="宋体"/>
          <w:b w:val="0"/>
          <w:color w:val="0F172A"/>
          <w:sz w:val="24"/>
        </w:rPr>
        <w:t>对外传播从宽泛的装备制造综合展，转向服务北方先进制造业升级的产业链服务平台。围绕智能装备、工业母机、机器人、工业互联网、绿色制造和新质生产力成果转化形成清晰识别。</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明确“北方智能制造产业链服务平台”定位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明确“北方智能制造产业链服务平台”定位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pStyle w:val="Heading2"/>
        <w:spacing w:before="360" w:after="160"/>
      </w:pPr>
      <w:r>
        <w:rPr>
          <w:rFonts w:ascii="Times New Roman" w:hAnsi="Times New Roman" w:eastAsia="黑体"/>
          <w:b/>
          <w:color w:val="1E40AF"/>
          <w:sz w:val="30"/>
        </w:rPr>
        <w:t>二、建立专业观众精准组织与展商需求匹配机制</w:t>
      </w:r>
    </w:p>
    <w:p>
      <w:pPr>
        <w:spacing w:line="348" w:lineRule="auto" w:before="0" w:after="80"/>
        <w:ind w:firstLine="420"/>
      </w:pPr>
      <w:r>
        <w:rPr>
          <w:rFonts w:ascii="Times New Roman" w:hAnsi="Times New Roman" w:eastAsia="宋体"/>
          <w:b w:val="0"/>
          <w:color w:val="0F172A"/>
          <w:sz w:val="24"/>
        </w:rPr>
        <w:t>注册环节采集采购需求、预算阶段、决策角色和关注品类；展前向展商推送目标观众清单，向观众推送推荐展商和观展路线；展中提供预约洽谈和扫码留资；展后形成线索台账。</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建立专业观众精准组织与展商需求匹配机制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建立专业观众精准组织与展商需求匹配机制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pStyle w:val="Heading2"/>
        <w:spacing w:before="360" w:after="160"/>
      </w:pPr>
      <w:r>
        <w:rPr>
          <w:rFonts w:ascii="Times New Roman" w:hAnsi="Times New Roman" w:eastAsia="黑体"/>
          <w:b/>
          <w:color w:val="1E40AF"/>
          <w:sz w:val="30"/>
        </w:rPr>
        <w:t>三、建设贯穿展前、展中、展后的数字化服务体系</w:t>
      </w:r>
    </w:p>
    <w:p>
      <w:pPr>
        <w:spacing w:line="348" w:lineRule="auto" w:before="0" w:after="80"/>
        <w:ind w:firstLine="420"/>
      </w:pPr>
      <w:r>
        <w:rPr>
          <w:rFonts w:ascii="Times New Roman" w:hAnsi="Times New Roman" w:eastAsia="宋体"/>
          <w:b w:val="0"/>
          <w:color w:val="0F172A"/>
          <w:sz w:val="24"/>
        </w:rPr>
        <w:t>把线上云展升级为数据服务平台，形成展商主页、产品资料、智能推荐、日程预约、电子名片、线索管理、效果报告和复盘分析等功能。</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建设贯穿展前、展中、展后的数字化服务体系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建设贯穿展前、展中、展后的数字化服务体系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pStyle w:val="Heading2"/>
        <w:spacing w:before="360" w:after="160"/>
      </w:pPr>
      <w:r>
        <w:rPr>
          <w:rFonts w:ascii="Times New Roman" w:hAnsi="Times New Roman" w:eastAsia="黑体"/>
          <w:b/>
          <w:color w:val="1E40AF"/>
          <w:sz w:val="30"/>
        </w:rPr>
        <w:t>四、优化展区布局，突出场景化和解决方案导向</w:t>
      </w:r>
    </w:p>
    <w:p>
      <w:pPr>
        <w:spacing w:line="348" w:lineRule="auto" w:before="0" w:after="80"/>
        <w:ind w:firstLine="420"/>
      </w:pPr>
      <w:r>
        <w:rPr>
          <w:rFonts w:ascii="Times New Roman" w:hAnsi="Times New Roman" w:eastAsia="宋体"/>
          <w:b w:val="0"/>
          <w:color w:val="0F172A"/>
          <w:sz w:val="24"/>
        </w:rPr>
        <w:t>在传统品类分区基础上，增加智能工厂、工业母机国产替代、机器人应用、绿色制造、工业软件、新质生产力成果转化等场景专区，提升专业观众理解效率。</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优化展区布局，突出场景化和解决方案导向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优化展区布局，突出场景化和解决方案导向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pStyle w:val="Heading2"/>
        <w:spacing w:before="360" w:after="160"/>
      </w:pPr>
      <w:r>
        <w:rPr>
          <w:rFonts w:ascii="Times New Roman" w:hAnsi="Times New Roman" w:eastAsia="黑体"/>
          <w:b/>
          <w:color w:val="1E40AF"/>
          <w:sz w:val="30"/>
        </w:rPr>
        <w:t>五、强化同期活动链条</w:t>
      </w:r>
    </w:p>
    <w:p>
      <w:pPr>
        <w:spacing w:line="348" w:lineRule="auto" w:before="0" w:after="80"/>
        <w:ind w:firstLine="420"/>
      </w:pPr>
      <w:r>
        <w:rPr>
          <w:rFonts w:ascii="Times New Roman" w:hAnsi="Times New Roman" w:eastAsia="宋体"/>
          <w:b w:val="0"/>
          <w:color w:val="0F172A"/>
          <w:sz w:val="24"/>
        </w:rPr>
        <w:t>将论坛、技术交流、采购对接、园区招商和人才活动统一纳入“展前预热、展中集中、展后延续”的活动链，避免活动分散和信息孤岛。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强化同期活动链条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强化同期活动链条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pStyle w:val="Heading2"/>
        <w:spacing w:before="360" w:after="160"/>
      </w:pPr>
      <w:r>
        <w:rPr>
          <w:rFonts w:ascii="Times New Roman" w:hAnsi="Times New Roman" w:eastAsia="黑体"/>
          <w:b/>
          <w:color w:val="1E40AF"/>
          <w:sz w:val="30"/>
        </w:rPr>
        <w:t>六、提升现场服务专业化水平</w:t>
      </w:r>
    </w:p>
    <w:p>
      <w:pPr>
        <w:spacing w:line="348" w:lineRule="auto" w:before="0" w:after="80"/>
        <w:ind w:firstLine="420"/>
      </w:pPr>
      <w:r>
        <w:rPr>
          <w:rFonts w:ascii="Times New Roman" w:hAnsi="Times New Roman" w:eastAsia="宋体"/>
          <w:b w:val="0"/>
          <w:color w:val="0F172A"/>
          <w:sz w:val="24"/>
        </w:rPr>
        <w:t>优化导览系统、展区标识、观众动线、商务洽谈区、休息区、餐饮交通和志愿者咨询，围绕专业观众和展商接待效率重构现场体验。</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提升现场服务专业化水平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提升现场服务专业化水平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pStyle w:val="Heading2"/>
        <w:spacing w:before="360" w:after="160"/>
      </w:pPr>
      <w:r>
        <w:rPr>
          <w:rFonts w:ascii="Times New Roman" w:hAnsi="Times New Roman" w:eastAsia="黑体"/>
          <w:b/>
          <w:color w:val="1E40AF"/>
          <w:sz w:val="30"/>
        </w:rPr>
        <w:t>七、建立分层传播体系</w:t>
      </w:r>
    </w:p>
    <w:p>
      <w:pPr>
        <w:spacing w:line="348" w:lineRule="auto" w:before="0" w:after="80"/>
        <w:ind w:firstLine="420"/>
      </w:pPr>
      <w:r>
        <w:rPr>
          <w:rFonts w:ascii="Times New Roman" w:hAnsi="Times New Roman" w:eastAsia="宋体"/>
          <w:b w:val="0"/>
          <w:color w:val="0F172A"/>
          <w:sz w:val="24"/>
        </w:rPr>
        <w:t>面向产业客户发布采购价值，面向专业观众发布解决方案路线，面向城市公众发布工业文化内容，面向高校青年发布工程师成长和产学研机会。</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建立分层传播体系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建立分层传播体系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pStyle w:val="Heading2"/>
        <w:spacing w:before="360" w:after="160"/>
      </w:pPr>
      <w:r>
        <w:rPr>
          <w:rFonts w:ascii="Times New Roman" w:hAnsi="Times New Roman" w:eastAsia="黑体"/>
          <w:b/>
          <w:color w:val="1E40AF"/>
          <w:sz w:val="30"/>
        </w:rPr>
        <w:t>八、拓展国际采购组织</w:t>
      </w:r>
    </w:p>
    <w:p>
      <w:pPr>
        <w:spacing w:line="348" w:lineRule="auto" w:before="0" w:after="80"/>
        <w:ind w:firstLine="420"/>
      </w:pPr>
      <w:r>
        <w:rPr>
          <w:rFonts w:ascii="Times New Roman" w:hAnsi="Times New Roman" w:eastAsia="宋体"/>
          <w:b w:val="0"/>
          <w:color w:val="0F172A"/>
          <w:sz w:val="24"/>
        </w:rPr>
        <w:t>建设国际买家数据库，完善外文资料、跨境洽谈、国际采购专场和海外合作渠道，让国际化从展商展示扩展为采购组织。</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拓展国际采购组织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拓展国际采购组织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pStyle w:val="Heading2"/>
        <w:spacing w:before="360" w:after="160"/>
      </w:pPr>
      <w:r>
        <w:rPr>
          <w:rFonts w:ascii="Times New Roman" w:hAnsi="Times New Roman" w:eastAsia="黑体"/>
          <w:b/>
          <w:color w:val="1E40AF"/>
          <w:sz w:val="30"/>
        </w:rPr>
        <w:t>九、完善展后转化机制</w:t>
      </w:r>
    </w:p>
    <w:p>
      <w:pPr>
        <w:spacing w:line="348" w:lineRule="auto" w:before="0" w:after="80"/>
        <w:ind w:firstLine="420"/>
      </w:pPr>
      <w:r>
        <w:rPr>
          <w:rFonts w:ascii="Times New Roman" w:hAnsi="Times New Roman" w:eastAsia="宋体"/>
          <w:b w:val="0"/>
          <w:color w:val="0F172A"/>
          <w:sz w:val="24"/>
        </w:rPr>
        <w:t>建立展后 1 个月、3 个月、6 个月跟踪制度，输出展商效果报告、重点线索跟进表和成交转化复盘。</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完善展后转化机制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完善展后转化机制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pStyle w:val="Heading2"/>
        <w:spacing w:before="360" w:after="160"/>
      </w:pPr>
      <w:r>
        <w:rPr>
          <w:rFonts w:ascii="Times New Roman" w:hAnsi="Times New Roman" w:eastAsia="黑体"/>
          <w:b/>
          <w:color w:val="1E40AF"/>
          <w:sz w:val="30"/>
        </w:rPr>
        <w:t>十、推进产教融合与青年参与</w:t>
      </w:r>
    </w:p>
    <w:p>
      <w:pPr>
        <w:spacing w:line="348" w:lineRule="auto" w:before="0" w:after="80"/>
        <w:ind w:firstLine="420"/>
      </w:pPr>
      <w:r>
        <w:rPr>
          <w:rFonts w:ascii="Times New Roman" w:hAnsi="Times New Roman" w:eastAsia="宋体"/>
          <w:b w:val="0"/>
          <w:color w:val="0F172A"/>
          <w:sz w:val="24"/>
        </w:rPr>
        <w:t>设置高校科研成果发布、企业需求榜单、青年工程师日、学生观展路线和就业实习对接，增强展会人才服务功能。</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推进产教融合与青年参与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推进产教融合与青年参与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pStyle w:val="Heading2"/>
        <w:spacing w:before="360" w:after="160"/>
      </w:pPr>
      <w:r>
        <w:rPr>
          <w:rFonts w:ascii="Times New Roman" w:hAnsi="Times New Roman" w:eastAsia="黑体"/>
          <w:b/>
          <w:color w:val="1E40AF"/>
          <w:sz w:val="30"/>
        </w:rPr>
        <w:t>十一、建设绿色低碳会展体系</w:t>
      </w:r>
    </w:p>
    <w:p>
      <w:pPr>
        <w:spacing w:line="348" w:lineRule="auto" w:before="0" w:after="80"/>
        <w:ind w:firstLine="420"/>
      </w:pPr>
      <w:r>
        <w:rPr>
          <w:rFonts w:ascii="Times New Roman" w:hAnsi="Times New Roman" w:eastAsia="宋体"/>
          <w:b w:val="0"/>
          <w:color w:val="0F172A"/>
          <w:sz w:val="24"/>
        </w:rPr>
        <w:t>从绿色搭建、重复利用、电子资料、公共交通引导、低碳餐饮和垃圾分类等方面提升可持续办展能力。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建设绿色低碳会展体系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建设绿色低碳会展体系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tbl>
      <w:tblPr>
        <w:tblStyle w:val="TableGrid"/>
        <w:tblW w:type="auto" w:w="0"/>
        <w:jc w:val="center"/>
        <w:tblLayout w:type="autofit"/>
        <w:tblLook w:firstColumn="1" w:firstRow="1" w:lastColumn="0" w:lastRow="0" w:noHBand="0" w:noVBand="1" w:val="04A0"/>
      </w:tblPr>
      <w:tblGrid>
        <w:gridCol w:w="2282"/>
        <w:gridCol w:w="2282"/>
        <w:gridCol w:w="2282"/>
        <w:gridCol w:w="2282"/>
      </w:tblGrid>
      <w:tr>
        <w:tc>
          <w:tcPr>
            <w:tcW w:type="dxa" w:w="1417"/>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8"/>
              </w:rPr>
              <w:t>阶段</w:t>
            </w:r>
          </w:p>
        </w:tc>
        <w:tc>
          <w:tcPr>
            <w:tcW w:type="dxa" w:w="1757"/>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8"/>
              </w:rPr>
              <w:t>时间窗口</w:t>
            </w:r>
          </w:p>
        </w:tc>
        <w:tc>
          <w:tcPr>
            <w:tcW w:type="dxa" w:w="3628"/>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8"/>
              </w:rPr>
              <w:t>重点任务</w:t>
            </w:r>
          </w:p>
        </w:tc>
        <w:tc>
          <w:tcPr>
            <w:tcW w:type="dxa" w:w="2381"/>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8"/>
              </w:rPr>
              <w:t>成果</w:t>
            </w:r>
          </w:p>
        </w:tc>
      </w:tr>
      <w:tr>
        <w:tc>
          <w:tcPr>
            <w:tcW w:type="dxa" w:w="1417"/>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筹备前期</w:t>
            </w:r>
          </w:p>
        </w:tc>
        <w:tc>
          <w:tcPr>
            <w:tcW w:type="dxa" w:w="1757"/>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T-24 至 T-16 周</w:t>
            </w:r>
          </w:p>
        </w:tc>
        <w:tc>
          <w:tcPr>
            <w:tcW w:type="dxa" w:w="362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定位发布、招商方案、观众画像、国际买家初筛</w:t>
            </w:r>
          </w:p>
        </w:tc>
        <w:tc>
          <w:tcPr>
            <w:tcW w:type="dxa" w:w="238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新版招商手册和重点客户清单</w:t>
            </w:r>
          </w:p>
        </w:tc>
      </w:tr>
      <w:tr>
        <w:tc>
          <w:tcPr>
            <w:tcW w:type="dxa" w:w="1417"/>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组织中期</w:t>
            </w:r>
          </w:p>
        </w:tc>
        <w:tc>
          <w:tcPr>
            <w:tcW w:type="dxa" w:w="1757"/>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T-15 至 T-8 周</w:t>
            </w:r>
          </w:p>
        </w:tc>
        <w:tc>
          <w:tcPr>
            <w:tcW w:type="dxa" w:w="362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展商入驻、观众邀约、活动排期、媒体预热</w:t>
            </w:r>
          </w:p>
        </w:tc>
        <w:tc>
          <w:tcPr>
            <w:tcW w:type="dxa" w:w="238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预约洽谈和活动日程成型</w:t>
            </w:r>
          </w:p>
        </w:tc>
      </w:tr>
      <w:tr>
        <w:tc>
          <w:tcPr>
            <w:tcW w:type="dxa" w:w="1417"/>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临展冲刺</w:t>
            </w:r>
          </w:p>
        </w:tc>
        <w:tc>
          <w:tcPr>
            <w:tcW w:type="dxa" w:w="1757"/>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T-7 至 T-1 周</w:t>
            </w:r>
          </w:p>
        </w:tc>
        <w:tc>
          <w:tcPr>
            <w:tcW w:type="dxa" w:w="362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路线发布、需求匹配、现场服务培训</w:t>
            </w:r>
          </w:p>
        </w:tc>
        <w:tc>
          <w:tcPr>
            <w:tcW w:type="dxa" w:w="238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观众路线和服务手册发布</w:t>
            </w:r>
          </w:p>
        </w:tc>
      </w:tr>
      <w:tr>
        <w:tc>
          <w:tcPr>
            <w:tcW w:type="dxa" w:w="1417"/>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展中运营</w:t>
            </w:r>
          </w:p>
        </w:tc>
        <w:tc>
          <w:tcPr>
            <w:tcW w:type="dxa" w:w="1757"/>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T 周</w:t>
            </w:r>
          </w:p>
        </w:tc>
        <w:tc>
          <w:tcPr>
            <w:tcW w:type="dxa" w:w="362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现场导览、商务洽谈、数据采集、媒体传播</w:t>
            </w:r>
          </w:p>
        </w:tc>
        <w:tc>
          <w:tcPr>
            <w:tcW w:type="dxa" w:w="238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有效线索和现场反馈沉淀</w:t>
            </w:r>
          </w:p>
        </w:tc>
      </w:tr>
      <w:tr>
        <w:tc>
          <w:tcPr>
            <w:tcW w:type="dxa" w:w="1417"/>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展后转化</w:t>
            </w:r>
          </w:p>
        </w:tc>
        <w:tc>
          <w:tcPr>
            <w:tcW w:type="dxa" w:w="1757"/>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T+1 至 T+24 周</w:t>
            </w:r>
          </w:p>
        </w:tc>
        <w:tc>
          <w:tcPr>
            <w:tcW w:type="dxa" w:w="362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线索回访、成交跟踪、效果报告、复盘改进</w:t>
            </w:r>
          </w:p>
        </w:tc>
        <w:tc>
          <w:tcPr>
            <w:tcW w:type="dxa" w:w="238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下一届优化清单和转化台账</w:t>
            </w:r>
          </w:p>
        </w:tc>
      </w:tr>
    </w:tbl>
    <w:p/>
    <w:p>
      <w:pPr>
        <w:spacing w:before="160" w:after="40"/>
        <w:jc w:val="center"/>
      </w:pPr>
      <w:r>
        <w:drawing>
          <wp:inline xmlns:a="http://schemas.openxmlformats.org/drawingml/2006/main" xmlns:pic="http://schemas.openxmlformats.org/drawingml/2006/picture">
            <wp:extent cx="5544000" cy="3465000"/>
            <wp:docPr id="5" name="Picture 5"/>
            <wp:cNvGraphicFramePr>
              <a:graphicFrameLocks noChangeAspect="1"/>
            </wp:cNvGraphicFramePr>
            <a:graphic>
              <a:graphicData uri="http://schemas.openxmlformats.org/drawingml/2006/picture">
                <pic:pic>
                  <pic:nvPicPr>
                    <pic:cNvPr id="0" name="F7.png"/>
                    <pic:cNvPicPr/>
                  </pic:nvPicPr>
                  <pic:blipFill>
                    <a:blip r:embed="rId13"/>
                    <a:stretch>
                      <a:fillRect/>
                    </a:stretch>
                  </pic:blipFill>
                  <pic:spPr>
                    <a:xfrm>
                      <a:off x="0" y="0"/>
                      <a:ext cx="5544000" cy="3465000"/>
                    </a:xfrm>
                    <a:prstGeom prst="rect"/>
                  </pic:spPr>
                </pic:pic>
              </a:graphicData>
            </a:graphic>
          </wp:inline>
        </w:drawing>
      </w:r>
    </w:p>
    <w:p>
      <w:pPr>
        <w:spacing w:after="200"/>
        <w:jc w:val="center"/>
      </w:pPr>
      <w:r>
        <w:rPr>
          <w:rFonts w:ascii="Times New Roman" w:hAnsi="Times New Roman" w:eastAsia="宋体"/>
          <w:b w:val="0"/>
          <w:color w:val="64748B"/>
          <w:sz w:val="18"/>
        </w:rPr>
        <w:t>图 4  优化建议影响与可行性矩阵</w:t>
      </w:r>
    </w:p>
    <w:p>
      <w:pPr>
        <w:spacing w:before="160" w:after="40"/>
        <w:jc w:val="center"/>
      </w:pPr>
      <w:r>
        <w:drawing>
          <wp:inline xmlns:a="http://schemas.openxmlformats.org/drawingml/2006/main" xmlns:pic="http://schemas.openxmlformats.org/drawingml/2006/picture">
            <wp:extent cx="5544000" cy="3465000"/>
            <wp:docPr id="6" name="Picture 6"/>
            <wp:cNvGraphicFramePr>
              <a:graphicFrameLocks noChangeAspect="1"/>
            </wp:cNvGraphicFramePr>
            <a:graphic>
              <a:graphicData uri="http://schemas.openxmlformats.org/drawingml/2006/picture">
                <pic:pic>
                  <pic:nvPicPr>
                    <pic:cNvPr id="0" name="F9.png"/>
                    <pic:cNvPicPr/>
                  </pic:nvPicPr>
                  <pic:blipFill>
                    <a:blip r:embed="rId14"/>
                    <a:stretch>
                      <a:fillRect/>
                    </a:stretch>
                  </pic:blipFill>
                  <pic:spPr>
                    <a:xfrm>
                      <a:off x="0" y="0"/>
                      <a:ext cx="5544000" cy="3465000"/>
                    </a:xfrm>
                    <a:prstGeom prst="rect"/>
                  </pic:spPr>
                </pic:pic>
              </a:graphicData>
            </a:graphic>
          </wp:inline>
        </w:drawing>
      </w:r>
    </w:p>
    <w:p>
      <w:pPr>
        <w:spacing w:after="200"/>
        <w:jc w:val="center"/>
      </w:pPr>
      <w:r>
        <w:rPr>
          <w:rFonts w:ascii="Times New Roman" w:hAnsi="Times New Roman" w:eastAsia="宋体"/>
          <w:b w:val="0"/>
          <w:color w:val="64748B"/>
          <w:sz w:val="18"/>
        </w:rPr>
        <w:t>图 5  五阶段实施甘特图</w:t>
      </w:r>
    </w:p>
    <w:p>
      <w:pPr>
        <w:spacing w:before="160" w:after="40"/>
        <w:jc w:val="center"/>
      </w:pPr>
      <w:r>
        <w:drawing>
          <wp:inline xmlns:a="http://schemas.openxmlformats.org/drawingml/2006/main" xmlns:pic="http://schemas.openxmlformats.org/drawingml/2006/picture">
            <wp:extent cx="5544000" cy="3465000"/>
            <wp:docPr id="7" name="Picture 7"/>
            <wp:cNvGraphicFramePr>
              <a:graphicFrameLocks noChangeAspect="1"/>
            </wp:cNvGraphicFramePr>
            <a:graphic>
              <a:graphicData uri="http://schemas.openxmlformats.org/drawingml/2006/picture">
                <pic:pic>
                  <pic:nvPicPr>
                    <pic:cNvPr id="0" name="F10.png"/>
                    <pic:cNvPicPr/>
                  </pic:nvPicPr>
                  <pic:blipFill>
                    <a:blip r:embed="rId15"/>
                    <a:stretch>
                      <a:fillRect/>
                    </a:stretch>
                  </pic:blipFill>
                  <pic:spPr>
                    <a:xfrm>
                      <a:off x="0" y="0"/>
                      <a:ext cx="5544000" cy="3465000"/>
                    </a:xfrm>
                    <a:prstGeom prst="rect"/>
                  </pic:spPr>
                </pic:pic>
              </a:graphicData>
            </a:graphic>
          </wp:inline>
        </w:drawing>
      </w:r>
    </w:p>
    <w:p>
      <w:pPr>
        <w:spacing w:after="200"/>
        <w:jc w:val="center"/>
      </w:pPr>
      <w:r>
        <w:rPr>
          <w:rFonts w:ascii="Times New Roman" w:hAnsi="Times New Roman" w:eastAsia="宋体"/>
          <w:b w:val="0"/>
          <w:color w:val="64748B"/>
          <w:sz w:val="18"/>
        </w:rPr>
        <w:t>图 6  效果评估指标体系</w:t>
      </w:r>
    </w:p>
    <w:p>
      <w:pPr>
        <w:spacing w:before="160" w:after="40"/>
        <w:jc w:val="center"/>
      </w:pPr>
      <w:r>
        <w:drawing>
          <wp:inline xmlns:a="http://schemas.openxmlformats.org/drawingml/2006/main" xmlns:pic="http://schemas.openxmlformats.org/drawingml/2006/picture">
            <wp:extent cx="5544000" cy="3604606"/>
            <wp:docPr id="8" name="Picture 8"/>
            <wp:cNvGraphicFramePr>
              <a:graphicFrameLocks noChangeAspect="1"/>
            </wp:cNvGraphicFramePr>
            <a:graphic>
              <a:graphicData uri="http://schemas.openxmlformats.org/drawingml/2006/picture">
                <pic:pic>
                  <pic:nvPicPr>
                    <pic:cNvPr id="0" name="E8.png"/>
                    <pic:cNvPicPr/>
                  </pic:nvPicPr>
                  <pic:blipFill>
                    <a:blip r:embed="rId16"/>
                    <a:stretch>
                      <a:fillRect/>
                    </a:stretch>
                  </pic:blipFill>
                  <pic:spPr>
                    <a:xfrm>
                      <a:off x="0" y="0"/>
                      <a:ext cx="5544000" cy="3604606"/>
                    </a:xfrm>
                    <a:prstGeom prst="rect"/>
                  </pic:spPr>
                </pic:pic>
              </a:graphicData>
            </a:graphic>
          </wp:inline>
        </w:drawing>
      </w:r>
    </w:p>
    <w:p>
      <w:pPr>
        <w:spacing w:after="200"/>
        <w:jc w:val="center"/>
      </w:pPr>
      <w:r>
        <w:rPr>
          <w:rFonts w:ascii="Times New Roman" w:hAnsi="Times New Roman" w:eastAsia="宋体"/>
          <w:b w:val="0"/>
          <w:color w:val="64748B"/>
          <w:sz w:val="18"/>
        </w:rPr>
        <w:t>图 E8  十一项建议落地优先级</w:t>
      </w:r>
    </w:p>
    <w:p>
      <w:pPr>
        <w:spacing w:before="160" w:after="40"/>
        <w:jc w:val="center"/>
      </w:pPr>
      <w:r>
        <w:drawing>
          <wp:inline xmlns:a="http://schemas.openxmlformats.org/drawingml/2006/main" xmlns:pic="http://schemas.openxmlformats.org/drawingml/2006/picture">
            <wp:extent cx="5544000" cy="3571193"/>
            <wp:docPr id="9" name="Picture 9"/>
            <wp:cNvGraphicFramePr>
              <a:graphicFrameLocks noChangeAspect="1"/>
            </wp:cNvGraphicFramePr>
            <a:graphic>
              <a:graphicData uri="http://schemas.openxmlformats.org/drawingml/2006/picture">
                <pic:pic>
                  <pic:nvPicPr>
                    <pic:cNvPr id="0" name="E9.png"/>
                    <pic:cNvPicPr/>
                  </pic:nvPicPr>
                  <pic:blipFill>
                    <a:blip r:embed="rId17"/>
                    <a:stretch>
                      <a:fillRect/>
                    </a:stretch>
                  </pic:blipFill>
                  <pic:spPr>
                    <a:xfrm>
                      <a:off x="0" y="0"/>
                      <a:ext cx="5544000" cy="3571193"/>
                    </a:xfrm>
                    <a:prstGeom prst="rect"/>
                  </pic:spPr>
                </pic:pic>
              </a:graphicData>
            </a:graphic>
          </wp:inline>
        </w:drawing>
      </w:r>
    </w:p>
    <w:p>
      <w:pPr>
        <w:spacing w:after="200"/>
        <w:jc w:val="center"/>
      </w:pPr>
      <w:r>
        <w:rPr>
          <w:rFonts w:ascii="Times New Roman" w:hAnsi="Times New Roman" w:eastAsia="宋体"/>
          <w:b w:val="0"/>
          <w:color w:val="64748B"/>
          <w:sz w:val="18"/>
        </w:rPr>
        <w:t>图 E9  三届升级路线关键指标目标</w:t>
      </w:r>
    </w:p>
    <w:p>
      <w:pPr>
        <w:pStyle w:val="Heading1"/>
        <w:spacing w:before="360" w:after="160"/>
        <w:jc w:val="center"/>
      </w:pPr>
      <w:r>
        <w:rPr>
          <w:rFonts w:ascii="Times New Roman" w:hAnsi="Times New Roman" w:eastAsia="黑体"/>
          <w:b/>
          <w:color w:val="0F1F4F"/>
          <w:sz w:val="40"/>
        </w:rPr>
        <w:t>第四部分  图表升级与数据分析</w:t>
      </w:r>
    </w:p>
    <w:p>
      <w:pPr>
        <w:spacing w:line="348" w:lineRule="auto" w:before="0" w:after="80"/>
        <w:ind w:firstLine="420"/>
      </w:pPr>
      <w:r>
        <w:rPr>
          <w:rFonts w:ascii="Times New Roman" w:hAnsi="Times New Roman" w:eastAsia="宋体"/>
          <w:b w:val="0"/>
          <w:color w:val="0F172A"/>
          <w:sz w:val="24"/>
        </w:rPr>
        <w:t>最终版统一升级 20 张图表，用于支撑会展发展、问题诊断、建议方案、方法论、对标分析和网页看板。图表分为四组：公开数据图、研究测算图、方案框架图和评估工具图。</w:t>
      </w:r>
    </w:p>
    <w:p>
      <w:pPr>
        <w:spacing w:before="160" w:after="40"/>
        <w:jc w:val="center"/>
      </w:pPr>
      <w:r>
        <w:drawing>
          <wp:inline xmlns:a="http://schemas.openxmlformats.org/drawingml/2006/main" xmlns:pic="http://schemas.openxmlformats.org/drawingml/2006/picture">
            <wp:extent cx="5616000" cy="3174061"/>
            <wp:docPr id="10" name="Picture 10"/>
            <wp:cNvGraphicFramePr>
              <a:graphicFrameLocks noChangeAspect="1"/>
            </wp:cNvGraphicFramePr>
            <a:graphic>
              <a:graphicData uri="http://schemas.openxmlformats.org/drawingml/2006/picture">
                <pic:pic>
                  <pic:nvPicPr>
                    <pic:cNvPr id="0" name="E1.png"/>
                    <pic:cNvPicPr/>
                  </pic:nvPicPr>
                  <pic:blipFill>
                    <a:blip r:embed="rId18"/>
                    <a:stretch>
                      <a:fillRect/>
                    </a:stretch>
                  </pic:blipFill>
                  <pic:spPr>
                    <a:xfrm>
                      <a:off x="0" y="0"/>
                      <a:ext cx="5616000" cy="3174061"/>
                    </a:xfrm>
                    <a:prstGeom prst="rect"/>
                  </pic:spPr>
                </pic:pic>
              </a:graphicData>
            </a:graphic>
          </wp:inline>
        </w:drawing>
      </w:r>
    </w:p>
    <w:p>
      <w:pPr>
        <w:spacing w:after="200"/>
        <w:jc w:val="center"/>
      </w:pPr>
      <w:r>
        <w:rPr>
          <w:rFonts w:ascii="Times New Roman" w:hAnsi="Times New Roman" w:eastAsia="宋体"/>
          <w:b w:val="0"/>
          <w:color w:val="64748B"/>
          <w:sz w:val="18"/>
        </w:rPr>
        <w:t>图 E1  第二十三届制博会核心公开数据全景</w:t>
      </w:r>
    </w:p>
    <w:p>
      <w:pPr>
        <w:spacing w:before="160" w:after="40"/>
        <w:jc w:val="center"/>
      </w:pPr>
      <w:r>
        <w:drawing>
          <wp:inline xmlns:a="http://schemas.openxmlformats.org/drawingml/2006/main" xmlns:pic="http://schemas.openxmlformats.org/drawingml/2006/picture">
            <wp:extent cx="5112000" cy="3763905"/>
            <wp:docPr id="11" name="Picture 11"/>
            <wp:cNvGraphicFramePr>
              <a:graphicFrameLocks noChangeAspect="1"/>
            </wp:cNvGraphicFramePr>
            <a:graphic>
              <a:graphicData uri="http://schemas.openxmlformats.org/drawingml/2006/picture">
                <pic:pic>
                  <pic:nvPicPr>
                    <pic:cNvPr id="0" name="E2.png"/>
                    <pic:cNvPicPr/>
                  </pic:nvPicPr>
                  <pic:blipFill>
                    <a:blip r:embed="rId19"/>
                    <a:stretch>
                      <a:fillRect/>
                    </a:stretch>
                  </pic:blipFill>
                  <pic:spPr>
                    <a:xfrm>
                      <a:off x="0" y="0"/>
                      <a:ext cx="5112000" cy="3763905"/>
                    </a:xfrm>
                    <a:prstGeom prst="rect"/>
                  </pic:spPr>
                </pic:pic>
              </a:graphicData>
            </a:graphic>
          </wp:inline>
        </w:drawing>
      </w:r>
    </w:p>
    <w:p>
      <w:pPr>
        <w:spacing w:after="200"/>
        <w:jc w:val="center"/>
      </w:pPr>
      <w:r>
        <w:rPr>
          <w:rFonts w:ascii="Times New Roman" w:hAnsi="Times New Roman" w:eastAsia="宋体"/>
          <w:b w:val="0"/>
          <w:color w:val="64748B"/>
          <w:sz w:val="18"/>
        </w:rPr>
        <w:t>图 E2  观众触达结构</w:t>
      </w:r>
    </w:p>
    <w:p>
      <w:pPr>
        <w:spacing w:before="160" w:after="40"/>
        <w:jc w:val="center"/>
      </w:pPr>
      <w:r>
        <w:drawing>
          <wp:inline xmlns:a="http://schemas.openxmlformats.org/drawingml/2006/main" xmlns:pic="http://schemas.openxmlformats.org/drawingml/2006/picture">
            <wp:extent cx="5472000" cy="3177068"/>
            <wp:docPr id="12" name="Picture 12"/>
            <wp:cNvGraphicFramePr>
              <a:graphicFrameLocks noChangeAspect="1"/>
            </wp:cNvGraphicFramePr>
            <a:graphic>
              <a:graphicData uri="http://schemas.openxmlformats.org/drawingml/2006/picture">
                <pic:pic>
                  <pic:nvPicPr>
                    <pic:cNvPr id="0" name="E3.png"/>
                    <pic:cNvPicPr/>
                  </pic:nvPicPr>
                  <pic:blipFill>
                    <a:blip r:embed="rId20"/>
                    <a:stretch>
                      <a:fillRect/>
                    </a:stretch>
                  </pic:blipFill>
                  <pic:spPr>
                    <a:xfrm>
                      <a:off x="0" y="0"/>
                      <a:ext cx="5472000" cy="3177068"/>
                    </a:xfrm>
                    <a:prstGeom prst="rect"/>
                  </pic:spPr>
                </pic:pic>
              </a:graphicData>
            </a:graphic>
          </wp:inline>
        </w:drawing>
      </w:r>
    </w:p>
    <w:p>
      <w:pPr>
        <w:spacing w:after="200"/>
        <w:jc w:val="center"/>
      </w:pPr>
      <w:r>
        <w:rPr>
          <w:rFonts w:ascii="Times New Roman" w:hAnsi="Times New Roman" w:eastAsia="宋体"/>
          <w:b w:val="0"/>
          <w:color w:val="64748B"/>
          <w:sz w:val="18"/>
        </w:rPr>
        <w:t>图 E3  企业参展与云展覆盖对比</w:t>
      </w:r>
    </w:p>
    <w:p>
      <w:pPr>
        <w:spacing w:before="160" w:after="40"/>
        <w:jc w:val="center"/>
      </w:pPr>
      <w:r>
        <w:drawing>
          <wp:inline xmlns:a="http://schemas.openxmlformats.org/drawingml/2006/main" xmlns:pic="http://schemas.openxmlformats.org/drawingml/2006/picture">
            <wp:extent cx="5472000" cy="3033176"/>
            <wp:docPr id="13" name="Picture 13"/>
            <wp:cNvGraphicFramePr>
              <a:graphicFrameLocks noChangeAspect="1"/>
            </wp:cNvGraphicFramePr>
            <a:graphic>
              <a:graphicData uri="http://schemas.openxmlformats.org/drawingml/2006/picture">
                <pic:pic>
                  <pic:nvPicPr>
                    <pic:cNvPr id="0" name="E4.png"/>
                    <pic:cNvPicPr/>
                  </pic:nvPicPr>
                  <pic:blipFill>
                    <a:blip r:embed="rId21"/>
                    <a:stretch>
                      <a:fillRect/>
                    </a:stretch>
                  </pic:blipFill>
                  <pic:spPr>
                    <a:xfrm>
                      <a:off x="0" y="0"/>
                      <a:ext cx="5472000" cy="3033176"/>
                    </a:xfrm>
                    <a:prstGeom prst="rect"/>
                  </pic:spPr>
                </pic:pic>
              </a:graphicData>
            </a:graphic>
          </wp:inline>
        </w:drawing>
      </w:r>
    </w:p>
    <w:p>
      <w:pPr>
        <w:spacing w:after="200"/>
        <w:jc w:val="center"/>
      </w:pPr>
      <w:r>
        <w:rPr>
          <w:rFonts w:ascii="Times New Roman" w:hAnsi="Times New Roman" w:eastAsia="宋体"/>
          <w:b w:val="0"/>
          <w:color w:val="64748B"/>
          <w:sz w:val="18"/>
        </w:rPr>
        <w:t>图 E4  公开数据衍生运营指标</w:t>
      </w:r>
    </w:p>
    <w:p>
      <w:pPr>
        <w:spacing w:before="160" w:after="40"/>
        <w:jc w:val="center"/>
      </w:pPr>
      <w:r>
        <w:drawing>
          <wp:inline xmlns:a="http://schemas.openxmlformats.org/drawingml/2006/main" xmlns:pic="http://schemas.openxmlformats.org/drawingml/2006/picture">
            <wp:extent cx="5112000" cy="3503789"/>
            <wp:docPr id="14" name="Picture 14"/>
            <wp:cNvGraphicFramePr>
              <a:graphicFrameLocks noChangeAspect="1"/>
            </wp:cNvGraphicFramePr>
            <a:graphic>
              <a:graphicData uri="http://schemas.openxmlformats.org/drawingml/2006/picture">
                <pic:pic>
                  <pic:nvPicPr>
                    <pic:cNvPr id="0" name="E5.png"/>
                    <pic:cNvPicPr/>
                  </pic:nvPicPr>
                  <pic:blipFill>
                    <a:blip r:embed="rId22"/>
                    <a:stretch>
                      <a:fillRect/>
                    </a:stretch>
                  </pic:blipFill>
                  <pic:spPr>
                    <a:xfrm>
                      <a:off x="0" y="0"/>
                      <a:ext cx="5112000" cy="3503789"/>
                    </a:xfrm>
                    <a:prstGeom prst="rect"/>
                  </pic:spPr>
                </pic:pic>
              </a:graphicData>
            </a:graphic>
          </wp:inline>
        </w:drawing>
      </w:r>
    </w:p>
    <w:p>
      <w:pPr>
        <w:spacing w:after="200"/>
        <w:jc w:val="center"/>
      </w:pPr>
      <w:r>
        <w:rPr>
          <w:rFonts w:ascii="Times New Roman" w:hAnsi="Times New Roman" w:eastAsia="宋体"/>
          <w:b w:val="0"/>
          <w:color w:val="64748B"/>
          <w:sz w:val="18"/>
        </w:rPr>
        <w:t>图 E5  成交结构拆分</w:t>
      </w:r>
    </w:p>
    <w:p>
      <w:pPr>
        <w:spacing w:before="160" w:after="40"/>
        <w:jc w:val="center"/>
      </w:pPr>
      <w:r>
        <w:drawing>
          <wp:inline xmlns:a="http://schemas.openxmlformats.org/drawingml/2006/main" xmlns:pic="http://schemas.openxmlformats.org/drawingml/2006/picture">
            <wp:extent cx="5472000" cy="5745997"/>
            <wp:docPr id="15" name="Picture 15"/>
            <wp:cNvGraphicFramePr>
              <a:graphicFrameLocks noChangeAspect="1"/>
            </wp:cNvGraphicFramePr>
            <a:graphic>
              <a:graphicData uri="http://schemas.openxmlformats.org/drawingml/2006/picture">
                <pic:pic>
                  <pic:nvPicPr>
                    <pic:cNvPr id="0" name="E6.png"/>
                    <pic:cNvPicPr/>
                  </pic:nvPicPr>
                  <pic:blipFill>
                    <a:blip r:embed="rId23"/>
                    <a:stretch>
                      <a:fillRect/>
                    </a:stretch>
                  </pic:blipFill>
                  <pic:spPr>
                    <a:xfrm>
                      <a:off x="0" y="0"/>
                      <a:ext cx="5472000" cy="5745997"/>
                    </a:xfrm>
                    <a:prstGeom prst="rect"/>
                  </pic:spPr>
                </pic:pic>
              </a:graphicData>
            </a:graphic>
          </wp:inline>
        </w:drawing>
      </w:r>
    </w:p>
    <w:p>
      <w:pPr>
        <w:spacing w:after="200"/>
        <w:jc w:val="center"/>
      </w:pPr>
      <w:r>
        <w:rPr>
          <w:rFonts w:ascii="Times New Roman" w:hAnsi="Times New Roman" w:eastAsia="宋体"/>
          <w:b w:val="0"/>
          <w:color w:val="64748B"/>
          <w:sz w:val="18"/>
        </w:rPr>
        <w:t>图 E6  展区价值矩阵</w:t>
      </w:r>
    </w:p>
    <w:p>
      <w:pPr>
        <w:spacing w:before="160" w:after="40"/>
        <w:jc w:val="center"/>
      </w:pPr>
      <w:r>
        <w:drawing>
          <wp:inline xmlns:a="http://schemas.openxmlformats.org/drawingml/2006/main" xmlns:pic="http://schemas.openxmlformats.org/drawingml/2006/picture">
            <wp:extent cx="5472000" cy="3420000"/>
            <wp:docPr id="16" name="Picture 16"/>
            <wp:cNvGraphicFramePr>
              <a:graphicFrameLocks noChangeAspect="1"/>
            </wp:cNvGraphicFramePr>
            <a:graphic>
              <a:graphicData uri="http://schemas.openxmlformats.org/drawingml/2006/picture">
                <pic:pic>
                  <pic:nvPicPr>
                    <pic:cNvPr id="0" name="F3.png"/>
                    <pic:cNvPicPr/>
                  </pic:nvPicPr>
                  <pic:blipFill>
                    <a:blip r:embed="rId24"/>
                    <a:stretch>
                      <a:fillRect/>
                    </a:stretch>
                  </pic:blipFill>
                  <pic:spPr>
                    <a:xfrm>
                      <a:off x="0" y="0"/>
                      <a:ext cx="5472000" cy="3420000"/>
                    </a:xfrm>
                    <a:prstGeom prst="rect"/>
                  </pic:spPr>
                </pic:pic>
              </a:graphicData>
            </a:graphic>
          </wp:inline>
        </w:drawing>
      </w:r>
    </w:p>
    <w:p>
      <w:pPr>
        <w:spacing w:after="200"/>
        <w:jc w:val="center"/>
      </w:pPr>
      <w:r>
        <w:rPr>
          <w:rFonts w:ascii="Times New Roman" w:hAnsi="Times New Roman" w:eastAsia="宋体"/>
          <w:b w:val="0"/>
          <w:color w:val="64748B"/>
          <w:sz w:val="18"/>
        </w:rPr>
        <w:t>图 F3  第二十三届中国制博会发展成效综合评价</w:t>
      </w:r>
    </w:p>
    <w:p>
      <w:pPr>
        <w:spacing w:before="160" w:after="40"/>
        <w:jc w:val="center"/>
      </w:pPr>
      <w:r>
        <w:drawing>
          <wp:inline xmlns:a="http://schemas.openxmlformats.org/drawingml/2006/main" xmlns:pic="http://schemas.openxmlformats.org/drawingml/2006/picture">
            <wp:extent cx="5472000" cy="3420000"/>
            <wp:docPr id="17" name="Picture 17"/>
            <wp:cNvGraphicFramePr>
              <a:graphicFrameLocks noChangeAspect="1"/>
            </wp:cNvGraphicFramePr>
            <a:graphic>
              <a:graphicData uri="http://schemas.openxmlformats.org/drawingml/2006/picture">
                <pic:pic>
                  <pic:nvPicPr>
                    <pic:cNvPr id="0" name="F4.png"/>
                    <pic:cNvPicPr/>
                  </pic:nvPicPr>
                  <pic:blipFill>
                    <a:blip r:embed="rId25"/>
                    <a:stretch>
                      <a:fillRect/>
                    </a:stretch>
                  </pic:blipFill>
                  <pic:spPr>
                    <a:xfrm>
                      <a:off x="0" y="0"/>
                      <a:ext cx="5472000" cy="3420000"/>
                    </a:xfrm>
                    <a:prstGeom prst="rect"/>
                  </pic:spPr>
                </pic:pic>
              </a:graphicData>
            </a:graphic>
          </wp:inline>
        </w:drawing>
      </w:r>
    </w:p>
    <w:p>
      <w:pPr>
        <w:spacing w:after="200"/>
        <w:jc w:val="center"/>
      </w:pPr>
      <w:r>
        <w:rPr>
          <w:rFonts w:ascii="Times New Roman" w:hAnsi="Times New Roman" w:eastAsia="宋体"/>
          <w:b w:val="0"/>
          <w:color w:val="64748B"/>
          <w:sz w:val="18"/>
        </w:rPr>
        <w:t>图 F4  中国制博会功能阶段演进</w:t>
      </w:r>
    </w:p>
    <w:p>
      <w:pPr>
        <w:spacing w:before="160" w:after="40"/>
        <w:jc w:val="center"/>
      </w:pPr>
      <w:r>
        <w:drawing>
          <wp:inline xmlns:a="http://schemas.openxmlformats.org/drawingml/2006/main" xmlns:pic="http://schemas.openxmlformats.org/drawingml/2006/picture">
            <wp:extent cx="5580000" cy="3487500"/>
            <wp:docPr id="18" name="Picture 18"/>
            <wp:cNvGraphicFramePr>
              <a:graphicFrameLocks noChangeAspect="1"/>
            </wp:cNvGraphicFramePr>
            <a:graphic>
              <a:graphicData uri="http://schemas.openxmlformats.org/drawingml/2006/picture">
                <pic:pic>
                  <pic:nvPicPr>
                    <pic:cNvPr id="0" name="F1.png"/>
                    <pic:cNvPicPr/>
                  </pic:nvPicPr>
                  <pic:blipFill>
                    <a:blip r:embed="rId26"/>
                    <a:stretch>
                      <a:fillRect/>
                    </a:stretch>
                  </pic:blipFill>
                  <pic:spPr>
                    <a:xfrm>
                      <a:off x="0" y="0"/>
                      <a:ext cx="5580000" cy="3487500"/>
                    </a:xfrm>
                    <a:prstGeom prst="rect"/>
                  </pic:spPr>
                </pic:pic>
              </a:graphicData>
            </a:graphic>
          </wp:inline>
        </w:drawing>
      </w:r>
    </w:p>
    <w:p>
      <w:pPr>
        <w:spacing w:after="200"/>
        <w:jc w:val="center"/>
      </w:pPr>
      <w:r>
        <w:rPr>
          <w:rFonts w:ascii="Times New Roman" w:hAnsi="Times New Roman" w:eastAsia="宋体"/>
          <w:b w:val="0"/>
          <w:color w:val="64748B"/>
          <w:sz w:val="18"/>
        </w:rPr>
        <w:t>图 F1  中国制博会规模演进信息图</w:t>
      </w:r>
    </w:p>
    <w:p>
      <w:pPr>
        <w:spacing w:line="348" w:lineRule="auto" w:before="0" w:after="80"/>
        <w:ind w:firstLine="420"/>
      </w:pPr>
      <w:r/>
    </w:p>
    <w:p>
      <w:pPr>
        <w:spacing w:before="160" w:after="40"/>
        <w:jc w:val="center"/>
      </w:pPr>
      <w:r>
        <w:drawing>
          <wp:inline xmlns:a="http://schemas.openxmlformats.org/drawingml/2006/main" xmlns:pic="http://schemas.openxmlformats.org/drawingml/2006/picture">
            <wp:extent cx="5580000" cy="3487500"/>
            <wp:docPr id="19" name="Picture 19"/>
            <wp:cNvGraphicFramePr>
              <a:graphicFrameLocks noChangeAspect="1"/>
            </wp:cNvGraphicFramePr>
            <a:graphic>
              <a:graphicData uri="http://schemas.openxmlformats.org/drawingml/2006/picture">
                <pic:pic>
                  <pic:nvPicPr>
                    <pic:cNvPr id="0" name="F2.png"/>
                    <pic:cNvPicPr/>
                  </pic:nvPicPr>
                  <pic:blipFill>
                    <a:blip r:embed="rId27"/>
                    <a:stretch>
                      <a:fillRect/>
                    </a:stretch>
                  </pic:blipFill>
                  <pic:spPr>
                    <a:xfrm>
                      <a:off x="0" y="0"/>
                      <a:ext cx="5580000" cy="3487500"/>
                    </a:xfrm>
                    <a:prstGeom prst="rect"/>
                  </pic:spPr>
                </pic:pic>
              </a:graphicData>
            </a:graphic>
          </wp:inline>
        </w:drawing>
      </w:r>
    </w:p>
    <w:p>
      <w:pPr>
        <w:spacing w:after="200"/>
        <w:jc w:val="center"/>
      </w:pPr>
      <w:r>
        <w:rPr>
          <w:rFonts w:ascii="Times New Roman" w:hAnsi="Times New Roman" w:eastAsia="宋体"/>
          <w:b w:val="0"/>
          <w:color w:val="64748B"/>
          <w:sz w:val="18"/>
        </w:rPr>
        <w:t>图 F2  12 个专业展区构成</w:t>
      </w:r>
    </w:p>
    <w:p>
      <w:pPr>
        <w:spacing w:line="348" w:lineRule="auto" w:before="0" w:after="80"/>
        <w:ind w:firstLine="420"/>
      </w:pPr>
      <w:r/>
    </w:p>
    <w:p>
      <w:pPr>
        <w:spacing w:before="160" w:after="40"/>
        <w:jc w:val="center"/>
      </w:pPr>
      <w:r>
        <w:drawing>
          <wp:inline xmlns:a="http://schemas.openxmlformats.org/drawingml/2006/main" xmlns:pic="http://schemas.openxmlformats.org/drawingml/2006/picture">
            <wp:extent cx="5580000" cy="3487500"/>
            <wp:docPr id="20" name="Picture 20"/>
            <wp:cNvGraphicFramePr>
              <a:graphicFrameLocks noChangeAspect="1"/>
            </wp:cNvGraphicFramePr>
            <a:graphic>
              <a:graphicData uri="http://schemas.openxmlformats.org/drawingml/2006/picture">
                <pic:pic>
                  <pic:nvPicPr>
                    <pic:cNvPr id="0" name="F5.png"/>
                    <pic:cNvPicPr/>
                  </pic:nvPicPr>
                  <pic:blipFill>
                    <a:blip r:embed="rId10"/>
                    <a:stretch>
                      <a:fillRect/>
                    </a:stretch>
                  </pic:blipFill>
                  <pic:spPr>
                    <a:xfrm>
                      <a:off x="0" y="0"/>
                      <a:ext cx="5580000" cy="3487500"/>
                    </a:xfrm>
                    <a:prstGeom prst="rect"/>
                  </pic:spPr>
                </pic:pic>
              </a:graphicData>
            </a:graphic>
          </wp:inline>
        </w:drawing>
      </w:r>
    </w:p>
    <w:p>
      <w:pPr>
        <w:spacing w:after="200"/>
        <w:jc w:val="center"/>
      </w:pPr>
      <w:r>
        <w:rPr>
          <w:rFonts w:ascii="Times New Roman" w:hAnsi="Times New Roman" w:eastAsia="宋体"/>
          <w:b w:val="0"/>
          <w:color w:val="64748B"/>
          <w:sz w:val="18"/>
        </w:rPr>
        <w:t>图 F5  九大问题影响与紧迫性背靠背评估</w:t>
      </w:r>
    </w:p>
    <w:p>
      <w:pPr>
        <w:spacing w:line="348" w:lineRule="auto" w:before="0" w:after="80"/>
        <w:ind w:firstLine="420"/>
      </w:pPr>
      <w:r/>
    </w:p>
    <w:p>
      <w:pPr>
        <w:spacing w:before="160" w:after="40"/>
        <w:jc w:val="center"/>
      </w:pPr>
      <w:r>
        <w:drawing>
          <wp:inline xmlns:a="http://schemas.openxmlformats.org/drawingml/2006/main" xmlns:pic="http://schemas.openxmlformats.org/drawingml/2006/picture">
            <wp:extent cx="5580000" cy="3487500"/>
            <wp:docPr id="21" name="Picture 21"/>
            <wp:cNvGraphicFramePr>
              <a:graphicFrameLocks noChangeAspect="1"/>
            </wp:cNvGraphicFramePr>
            <a:graphic>
              <a:graphicData uri="http://schemas.openxmlformats.org/drawingml/2006/picture">
                <pic:pic>
                  <pic:nvPicPr>
                    <pic:cNvPr id="0" name="F6.png"/>
                    <pic:cNvPicPr/>
                  </pic:nvPicPr>
                  <pic:blipFill>
                    <a:blip r:embed="rId11"/>
                    <a:stretch>
                      <a:fillRect/>
                    </a:stretch>
                  </pic:blipFill>
                  <pic:spPr>
                    <a:xfrm>
                      <a:off x="0" y="0"/>
                      <a:ext cx="5580000" cy="3487500"/>
                    </a:xfrm>
                    <a:prstGeom prst="rect"/>
                  </pic:spPr>
                </pic:pic>
              </a:graphicData>
            </a:graphic>
          </wp:inline>
        </w:drawing>
      </w:r>
    </w:p>
    <w:p>
      <w:pPr>
        <w:spacing w:after="200"/>
        <w:jc w:val="center"/>
      </w:pPr>
      <w:r>
        <w:rPr>
          <w:rFonts w:ascii="Times New Roman" w:hAnsi="Times New Roman" w:eastAsia="宋体"/>
          <w:b w:val="0"/>
          <w:color w:val="64748B"/>
          <w:sz w:val="18"/>
        </w:rPr>
        <w:t>图 F6  问题与建议对应关系桑基图</w:t>
      </w:r>
    </w:p>
    <w:p>
      <w:pPr>
        <w:spacing w:line="348" w:lineRule="auto" w:before="0" w:after="80"/>
        <w:ind w:firstLine="420"/>
      </w:pPr>
      <w:r/>
    </w:p>
    <w:p>
      <w:pPr>
        <w:spacing w:before="160" w:after="40"/>
        <w:jc w:val="center"/>
      </w:pPr>
      <w:r>
        <w:drawing>
          <wp:inline xmlns:a="http://schemas.openxmlformats.org/drawingml/2006/main" xmlns:pic="http://schemas.openxmlformats.org/drawingml/2006/picture">
            <wp:extent cx="5580000" cy="3487500"/>
            <wp:docPr id="22" name="Picture 22"/>
            <wp:cNvGraphicFramePr>
              <a:graphicFrameLocks noChangeAspect="1"/>
            </wp:cNvGraphicFramePr>
            <a:graphic>
              <a:graphicData uri="http://schemas.openxmlformats.org/drawingml/2006/picture">
                <pic:pic>
                  <pic:nvPicPr>
                    <pic:cNvPr id="0" name="F7.png"/>
                    <pic:cNvPicPr/>
                  </pic:nvPicPr>
                  <pic:blipFill>
                    <a:blip r:embed="rId13"/>
                    <a:stretch>
                      <a:fillRect/>
                    </a:stretch>
                  </pic:blipFill>
                  <pic:spPr>
                    <a:xfrm>
                      <a:off x="0" y="0"/>
                      <a:ext cx="5580000" cy="3487500"/>
                    </a:xfrm>
                    <a:prstGeom prst="rect"/>
                  </pic:spPr>
                </pic:pic>
              </a:graphicData>
            </a:graphic>
          </wp:inline>
        </w:drawing>
      </w:r>
    </w:p>
    <w:p>
      <w:pPr>
        <w:spacing w:after="200"/>
        <w:jc w:val="center"/>
      </w:pPr>
      <w:r>
        <w:rPr>
          <w:rFonts w:ascii="Times New Roman" w:hAnsi="Times New Roman" w:eastAsia="宋体"/>
          <w:b w:val="0"/>
          <w:color w:val="64748B"/>
          <w:sz w:val="18"/>
        </w:rPr>
        <w:t>图 F7  优化建议影响与可行性矩阵</w:t>
      </w:r>
    </w:p>
    <w:p>
      <w:pPr>
        <w:spacing w:line="348" w:lineRule="auto" w:before="0" w:after="80"/>
        <w:ind w:firstLine="420"/>
      </w:pPr>
      <w:r/>
    </w:p>
    <w:p>
      <w:pPr>
        <w:spacing w:before="160" w:after="40"/>
        <w:jc w:val="center"/>
      </w:pPr>
      <w:r>
        <w:drawing>
          <wp:inline xmlns:a="http://schemas.openxmlformats.org/drawingml/2006/main" xmlns:pic="http://schemas.openxmlformats.org/drawingml/2006/picture">
            <wp:extent cx="5580000" cy="3487500"/>
            <wp:docPr id="23" name="Picture 23"/>
            <wp:cNvGraphicFramePr>
              <a:graphicFrameLocks noChangeAspect="1"/>
            </wp:cNvGraphicFramePr>
            <a:graphic>
              <a:graphicData uri="http://schemas.openxmlformats.org/drawingml/2006/picture">
                <pic:pic>
                  <pic:nvPicPr>
                    <pic:cNvPr id="0" name="F8.png"/>
                    <pic:cNvPicPr/>
                  </pic:nvPicPr>
                  <pic:blipFill>
                    <a:blip r:embed="rId28"/>
                    <a:stretch>
                      <a:fillRect/>
                    </a:stretch>
                  </pic:blipFill>
                  <pic:spPr>
                    <a:xfrm>
                      <a:off x="0" y="0"/>
                      <a:ext cx="5580000" cy="3487500"/>
                    </a:xfrm>
                    <a:prstGeom prst="rect"/>
                  </pic:spPr>
                </pic:pic>
              </a:graphicData>
            </a:graphic>
          </wp:inline>
        </w:drawing>
      </w:r>
    </w:p>
    <w:p>
      <w:pPr>
        <w:spacing w:after="200"/>
        <w:jc w:val="center"/>
      </w:pPr>
      <w:r>
        <w:rPr>
          <w:rFonts w:ascii="Times New Roman" w:hAnsi="Times New Roman" w:eastAsia="宋体"/>
          <w:b w:val="0"/>
          <w:color w:val="64748B"/>
          <w:sz w:val="18"/>
        </w:rPr>
        <w:t>图 F8  数字化服务展前-展中-展后闭环</w:t>
      </w:r>
    </w:p>
    <w:p>
      <w:pPr>
        <w:spacing w:line="348" w:lineRule="auto" w:before="0" w:after="80"/>
        <w:ind w:firstLine="420"/>
      </w:pPr>
      <w:r/>
    </w:p>
    <w:p>
      <w:pPr>
        <w:spacing w:before="160" w:after="40"/>
        <w:jc w:val="center"/>
      </w:pPr>
      <w:r>
        <w:drawing>
          <wp:inline xmlns:a="http://schemas.openxmlformats.org/drawingml/2006/main" xmlns:pic="http://schemas.openxmlformats.org/drawingml/2006/picture">
            <wp:extent cx="5580000" cy="3487500"/>
            <wp:docPr id="24" name="Picture 24"/>
            <wp:cNvGraphicFramePr>
              <a:graphicFrameLocks noChangeAspect="1"/>
            </wp:cNvGraphicFramePr>
            <a:graphic>
              <a:graphicData uri="http://schemas.openxmlformats.org/drawingml/2006/picture">
                <pic:pic>
                  <pic:nvPicPr>
                    <pic:cNvPr id="0" name="F9.png"/>
                    <pic:cNvPicPr/>
                  </pic:nvPicPr>
                  <pic:blipFill>
                    <a:blip r:embed="rId14"/>
                    <a:stretch>
                      <a:fillRect/>
                    </a:stretch>
                  </pic:blipFill>
                  <pic:spPr>
                    <a:xfrm>
                      <a:off x="0" y="0"/>
                      <a:ext cx="5580000" cy="3487500"/>
                    </a:xfrm>
                    <a:prstGeom prst="rect"/>
                  </pic:spPr>
                </pic:pic>
              </a:graphicData>
            </a:graphic>
          </wp:inline>
        </w:drawing>
      </w:r>
    </w:p>
    <w:p>
      <w:pPr>
        <w:spacing w:after="200"/>
        <w:jc w:val="center"/>
      </w:pPr>
      <w:r>
        <w:rPr>
          <w:rFonts w:ascii="Times New Roman" w:hAnsi="Times New Roman" w:eastAsia="宋体"/>
          <w:b w:val="0"/>
          <w:color w:val="64748B"/>
          <w:sz w:val="18"/>
        </w:rPr>
        <w:t>图 F9  优化建议五阶段实施甘特图</w:t>
      </w:r>
    </w:p>
    <w:p>
      <w:pPr>
        <w:spacing w:line="348" w:lineRule="auto" w:before="0" w:after="80"/>
        <w:ind w:firstLine="420"/>
      </w:pPr>
      <w:r/>
    </w:p>
    <w:p>
      <w:pPr>
        <w:spacing w:before="160" w:after="40"/>
        <w:jc w:val="center"/>
      </w:pPr>
      <w:r>
        <w:drawing>
          <wp:inline xmlns:a="http://schemas.openxmlformats.org/drawingml/2006/main" xmlns:pic="http://schemas.openxmlformats.org/drawingml/2006/picture">
            <wp:extent cx="5580000" cy="3487500"/>
            <wp:docPr id="25" name="Picture 25"/>
            <wp:cNvGraphicFramePr>
              <a:graphicFrameLocks noChangeAspect="1"/>
            </wp:cNvGraphicFramePr>
            <a:graphic>
              <a:graphicData uri="http://schemas.openxmlformats.org/drawingml/2006/picture">
                <pic:pic>
                  <pic:nvPicPr>
                    <pic:cNvPr id="0" name="F10.png"/>
                    <pic:cNvPicPr/>
                  </pic:nvPicPr>
                  <pic:blipFill>
                    <a:blip r:embed="rId15"/>
                    <a:stretch>
                      <a:fillRect/>
                    </a:stretch>
                  </pic:blipFill>
                  <pic:spPr>
                    <a:xfrm>
                      <a:off x="0" y="0"/>
                      <a:ext cx="5580000" cy="3487500"/>
                    </a:xfrm>
                    <a:prstGeom prst="rect"/>
                  </pic:spPr>
                </pic:pic>
              </a:graphicData>
            </a:graphic>
          </wp:inline>
        </w:drawing>
      </w:r>
    </w:p>
    <w:p>
      <w:pPr>
        <w:spacing w:after="200"/>
        <w:jc w:val="center"/>
      </w:pPr>
      <w:r>
        <w:rPr>
          <w:rFonts w:ascii="Times New Roman" w:hAnsi="Times New Roman" w:eastAsia="宋体"/>
          <w:b w:val="0"/>
          <w:color w:val="64748B"/>
          <w:sz w:val="18"/>
        </w:rPr>
        <w:t>图 F10  中国制博会效果评估指标体系树</w:t>
      </w:r>
    </w:p>
    <w:p>
      <w:pPr>
        <w:spacing w:line="348" w:lineRule="auto" w:before="0" w:after="80"/>
        <w:ind w:firstLine="420"/>
      </w:pPr>
      <w:r/>
    </w:p>
    <w:p>
      <w:pPr>
        <w:spacing w:before="160" w:after="40"/>
        <w:jc w:val="center"/>
      </w:pPr>
      <w:r>
        <w:drawing>
          <wp:inline xmlns:a="http://schemas.openxmlformats.org/drawingml/2006/main" xmlns:pic="http://schemas.openxmlformats.org/drawingml/2006/picture">
            <wp:extent cx="5580000" cy="3487500"/>
            <wp:docPr id="26" name="Picture 26"/>
            <wp:cNvGraphicFramePr>
              <a:graphicFrameLocks noChangeAspect="1"/>
            </wp:cNvGraphicFramePr>
            <a:graphic>
              <a:graphicData uri="http://schemas.openxmlformats.org/drawingml/2006/picture">
                <pic:pic>
                  <pic:nvPicPr>
                    <pic:cNvPr id="0" name="F11.png"/>
                    <pic:cNvPicPr/>
                  </pic:nvPicPr>
                  <pic:blipFill>
                    <a:blip r:embed="rId29"/>
                    <a:stretch>
                      <a:fillRect/>
                    </a:stretch>
                  </pic:blipFill>
                  <pic:spPr>
                    <a:xfrm>
                      <a:off x="0" y="0"/>
                      <a:ext cx="5580000" cy="3487500"/>
                    </a:xfrm>
                    <a:prstGeom prst="rect"/>
                  </pic:spPr>
                </pic:pic>
              </a:graphicData>
            </a:graphic>
          </wp:inline>
        </w:drawing>
      </w:r>
    </w:p>
    <w:p>
      <w:pPr>
        <w:spacing w:after="200"/>
        <w:jc w:val="center"/>
      </w:pPr>
      <w:r>
        <w:rPr>
          <w:rFonts w:ascii="Times New Roman" w:hAnsi="Times New Roman" w:eastAsia="宋体"/>
          <w:b w:val="0"/>
          <w:color w:val="64748B"/>
          <w:sz w:val="18"/>
        </w:rPr>
        <w:t>图 F11  分对象价值主张四象限</w:t>
      </w:r>
    </w:p>
    <w:p>
      <w:pPr>
        <w:spacing w:line="348" w:lineRule="auto" w:before="0" w:after="80"/>
        <w:ind w:firstLine="420"/>
      </w:pPr>
      <w:r/>
    </w:p>
    <w:p>
      <w:pPr>
        <w:spacing w:before="160" w:after="40"/>
        <w:jc w:val="center"/>
      </w:pPr>
      <w:r>
        <w:drawing>
          <wp:inline xmlns:a="http://schemas.openxmlformats.org/drawingml/2006/main" xmlns:pic="http://schemas.openxmlformats.org/drawingml/2006/picture">
            <wp:extent cx="5580000" cy="3487500"/>
            <wp:docPr id="27" name="Picture 27"/>
            <wp:cNvGraphicFramePr>
              <a:graphicFrameLocks noChangeAspect="1"/>
            </wp:cNvGraphicFramePr>
            <a:graphic>
              <a:graphicData uri="http://schemas.openxmlformats.org/drawingml/2006/picture">
                <pic:pic>
                  <pic:nvPicPr>
                    <pic:cNvPr id="0" name="F12.png"/>
                    <pic:cNvPicPr/>
                  </pic:nvPicPr>
                  <pic:blipFill>
                    <a:blip r:embed="rId30"/>
                    <a:stretch>
                      <a:fillRect/>
                    </a:stretch>
                  </pic:blipFill>
                  <pic:spPr>
                    <a:xfrm>
                      <a:off x="0" y="0"/>
                      <a:ext cx="5580000" cy="3487500"/>
                    </a:xfrm>
                    <a:prstGeom prst="rect"/>
                  </pic:spPr>
                </pic:pic>
              </a:graphicData>
            </a:graphic>
          </wp:inline>
        </w:drawing>
      </w:r>
    </w:p>
    <w:p>
      <w:pPr>
        <w:spacing w:after="200"/>
        <w:jc w:val="center"/>
      </w:pPr>
      <w:r>
        <w:rPr>
          <w:rFonts w:ascii="Times New Roman" w:hAnsi="Times New Roman" w:eastAsia="宋体"/>
          <w:b w:val="0"/>
          <w:color w:val="64748B"/>
          <w:sz w:val="18"/>
        </w:rPr>
        <w:t>图 F12  分层传播渠道与内容适配矩阵</w:t>
      </w:r>
    </w:p>
    <w:p>
      <w:pPr>
        <w:spacing w:line="348" w:lineRule="auto" w:before="0" w:after="80"/>
        <w:ind w:firstLine="420"/>
      </w:pPr>
      <w:r/>
    </w:p>
    <w:p>
      <w:pPr>
        <w:spacing w:before="160" w:after="40"/>
        <w:jc w:val="center"/>
      </w:pPr>
      <w:r>
        <w:drawing>
          <wp:inline xmlns:a="http://schemas.openxmlformats.org/drawingml/2006/main" xmlns:pic="http://schemas.openxmlformats.org/drawingml/2006/picture">
            <wp:extent cx="5580000" cy="3487500"/>
            <wp:docPr id="28" name="Picture 28"/>
            <wp:cNvGraphicFramePr>
              <a:graphicFrameLocks noChangeAspect="1"/>
            </wp:cNvGraphicFramePr>
            <a:graphic>
              <a:graphicData uri="http://schemas.openxmlformats.org/drawingml/2006/picture">
                <pic:pic>
                  <pic:nvPicPr>
                    <pic:cNvPr id="0" name="F13.png"/>
                    <pic:cNvPicPr/>
                  </pic:nvPicPr>
                  <pic:blipFill>
                    <a:blip r:embed="rId31"/>
                    <a:stretch>
                      <a:fillRect/>
                    </a:stretch>
                  </pic:blipFill>
                  <pic:spPr>
                    <a:xfrm>
                      <a:off x="0" y="0"/>
                      <a:ext cx="5580000" cy="3487500"/>
                    </a:xfrm>
                    <a:prstGeom prst="rect"/>
                  </pic:spPr>
                </pic:pic>
              </a:graphicData>
            </a:graphic>
          </wp:inline>
        </w:drawing>
      </w:r>
    </w:p>
    <w:p>
      <w:pPr>
        <w:spacing w:after="200"/>
        <w:jc w:val="center"/>
      </w:pPr>
      <w:r>
        <w:rPr>
          <w:rFonts w:ascii="Times New Roman" w:hAnsi="Times New Roman" w:eastAsia="宋体"/>
          <w:b w:val="0"/>
          <w:color w:val="64748B"/>
          <w:sz w:val="18"/>
        </w:rPr>
        <w:t>图 F13  沈阳装备制造产业链辐射网络</w:t>
      </w:r>
    </w:p>
    <w:p>
      <w:pPr>
        <w:spacing w:line="348" w:lineRule="auto" w:before="0" w:after="80"/>
        <w:ind w:firstLine="420"/>
      </w:pPr>
      <w:r/>
    </w:p>
    <w:p>
      <w:pPr>
        <w:spacing w:before="160" w:after="40"/>
        <w:jc w:val="center"/>
      </w:pPr>
      <w:r>
        <w:drawing>
          <wp:inline xmlns:a="http://schemas.openxmlformats.org/drawingml/2006/main" xmlns:pic="http://schemas.openxmlformats.org/drawingml/2006/picture">
            <wp:extent cx="5580000" cy="3487500"/>
            <wp:docPr id="29" name="Picture 29"/>
            <wp:cNvGraphicFramePr>
              <a:graphicFrameLocks noChangeAspect="1"/>
            </wp:cNvGraphicFramePr>
            <a:graphic>
              <a:graphicData uri="http://schemas.openxmlformats.org/drawingml/2006/picture">
                <pic:pic>
                  <pic:nvPicPr>
                    <pic:cNvPr id="0" name="F14.png"/>
                    <pic:cNvPicPr/>
                  </pic:nvPicPr>
                  <pic:blipFill>
                    <a:blip r:embed="rId32"/>
                    <a:stretch>
                      <a:fillRect/>
                    </a:stretch>
                  </pic:blipFill>
                  <pic:spPr>
                    <a:xfrm>
                      <a:off x="0" y="0"/>
                      <a:ext cx="5580000" cy="3487500"/>
                    </a:xfrm>
                    <a:prstGeom prst="rect"/>
                  </pic:spPr>
                </pic:pic>
              </a:graphicData>
            </a:graphic>
          </wp:inline>
        </w:drawing>
      </w:r>
    </w:p>
    <w:p>
      <w:pPr>
        <w:spacing w:after="200"/>
        <w:jc w:val="center"/>
      </w:pPr>
      <w:r>
        <w:rPr>
          <w:rFonts w:ascii="Times New Roman" w:hAnsi="Times New Roman" w:eastAsia="宋体"/>
          <w:b w:val="0"/>
          <w:color w:val="64748B"/>
          <w:sz w:val="18"/>
        </w:rPr>
        <w:t>图 F14  中国制博会 SWOT 战略分析</w:t>
      </w:r>
    </w:p>
    <w:p>
      <w:pPr>
        <w:spacing w:line="348" w:lineRule="auto" w:before="0" w:after="80"/>
        <w:ind w:firstLine="420"/>
      </w:pPr>
      <w:r/>
    </w:p>
    <w:p>
      <w:pPr>
        <w:spacing w:before="160" w:after="40"/>
        <w:jc w:val="center"/>
      </w:pPr>
      <w:r>
        <w:drawing>
          <wp:inline xmlns:a="http://schemas.openxmlformats.org/drawingml/2006/main" xmlns:pic="http://schemas.openxmlformats.org/drawingml/2006/picture">
            <wp:extent cx="5580000" cy="3487500"/>
            <wp:docPr id="30" name="Picture 30"/>
            <wp:cNvGraphicFramePr>
              <a:graphicFrameLocks noChangeAspect="1"/>
            </wp:cNvGraphicFramePr>
            <a:graphic>
              <a:graphicData uri="http://schemas.openxmlformats.org/drawingml/2006/picture">
                <pic:pic>
                  <pic:nvPicPr>
                    <pic:cNvPr id="0" name="F15.png"/>
                    <pic:cNvPicPr/>
                  </pic:nvPicPr>
                  <pic:blipFill>
                    <a:blip r:embed="rId33"/>
                    <a:stretch>
                      <a:fillRect/>
                    </a:stretch>
                  </pic:blipFill>
                  <pic:spPr>
                    <a:xfrm>
                      <a:off x="0" y="0"/>
                      <a:ext cx="5580000" cy="3487500"/>
                    </a:xfrm>
                    <a:prstGeom prst="rect"/>
                  </pic:spPr>
                </pic:pic>
              </a:graphicData>
            </a:graphic>
          </wp:inline>
        </w:drawing>
      </w:r>
    </w:p>
    <w:p>
      <w:pPr>
        <w:spacing w:after="200"/>
        <w:jc w:val="center"/>
      </w:pPr>
      <w:r>
        <w:rPr>
          <w:rFonts w:ascii="Times New Roman" w:hAnsi="Times New Roman" w:eastAsia="宋体"/>
          <w:b w:val="0"/>
          <w:color w:val="64748B"/>
          <w:sz w:val="18"/>
        </w:rPr>
        <w:t>图 F15  中国制博会与同类展会综合对比</w:t>
      </w:r>
    </w:p>
    <w:p>
      <w:pPr>
        <w:spacing w:line="348" w:lineRule="auto" w:before="0" w:after="80"/>
        <w:ind w:firstLine="420"/>
      </w:pPr>
      <w:r/>
    </w:p>
    <w:p>
      <w:pPr>
        <w:spacing w:before="160" w:after="40"/>
        <w:jc w:val="center"/>
      </w:pPr>
      <w:r>
        <w:drawing>
          <wp:inline xmlns:a="http://schemas.openxmlformats.org/drawingml/2006/main" xmlns:pic="http://schemas.openxmlformats.org/drawingml/2006/picture">
            <wp:extent cx="5580000" cy="3487500"/>
            <wp:docPr id="31" name="Picture 31"/>
            <wp:cNvGraphicFramePr>
              <a:graphicFrameLocks noChangeAspect="1"/>
            </wp:cNvGraphicFramePr>
            <a:graphic>
              <a:graphicData uri="http://schemas.openxmlformats.org/drawingml/2006/picture">
                <pic:pic>
                  <pic:nvPicPr>
                    <pic:cNvPr id="0" name="F16.png"/>
                    <pic:cNvPicPr/>
                  </pic:nvPicPr>
                  <pic:blipFill>
                    <a:blip r:embed="rId34"/>
                    <a:stretch>
                      <a:fillRect/>
                    </a:stretch>
                  </pic:blipFill>
                  <pic:spPr>
                    <a:xfrm>
                      <a:off x="0" y="0"/>
                      <a:ext cx="5580000" cy="3487500"/>
                    </a:xfrm>
                    <a:prstGeom prst="rect"/>
                  </pic:spPr>
                </pic:pic>
              </a:graphicData>
            </a:graphic>
          </wp:inline>
        </w:drawing>
      </w:r>
    </w:p>
    <w:p>
      <w:pPr>
        <w:spacing w:after="200"/>
        <w:jc w:val="center"/>
      </w:pPr>
      <w:r>
        <w:rPr>
          <w:rFonts w:ascii="Times New Roman" w:hAnsi="Times New Roman" w:eastAsia="宋体"/>
          <w:b w:val="0"/>
          <w:color w:val="64748B"/>
          <w:sz w:val="18"/>
        </w:rPr>
        <w:t>图 F16  调研方法论流程</w:t>
      </w:r>
    </w:p>
    <w:p>
      <w:pPr>
        <w:spacing w:line="348" w:lineRule="auto" w:before="0" w:after="80"/>
        <w:ind w:firstLine="420"/>
      </w:pPr>
      <w:r/>
    </w:p>
    <w:p>
      <w:pPr>
        <w:spacing w:before="160" w:after="40"/>
        <w:jc w:val="center"/>
      </w:pPr>
      <w:r>
        <w:drawing>
          <wp:inline xmlns:a="http://schemas.openxmlformats.org/drawingml/2006/main" xmlns:pic="http://schemas.openxmlformats.org/drawingml/2006/picture">
            <wp:extent cx="5580000" cy="3487500"/>
            <wp:docPr id="32" name="Picture 32"/>
            <wp:cNvGraphicFramePr>
              <a:graphicFrameLocks noChangeAspect="1"/>
            </wp:cNvGraphicFramePr>
            <a:graphic>
              <a:graphicData uri="http://schemas.openxmlformats.org/drawingml/2006/picture">
                <pic:pic>
                  <pic:nvPicPr>
                    <pic:cNvPr id="0" name="F17.png"/>
                    <pic:cNvPicPr/>
                  </pic:nvPicPr>
                  <pic:blipFill>
                    <a:blip r:embed="rId35"/>
                    <a:stretch>
                      <a:fillRect/>
                    </a:stretch>
                  </pic:blipFill>
                  <pic:spPr>
                    <a:xfrm>
                      <a:off x="0" y="0"/>
                      <a:ext cx="5580000" cy="3487500"/>
                    </a:xfrm>
                    <a:prstGeom prst="rect"/>
                  </pic:spPr>
                </pic:pic>
              </a:graphicData>
            </a:graphic>
          </wp:inline>
        </w:drawing>
      </w:r>
    </w:p>
    <w:p>
      <w:pPr>
        <w:spacing w:after="200"/>
        <w:jc w:val="center"/>
      </w:pPr>
      <w:r>
        <w:rPr>
          <w:rFonts w:ascii="Times New Roman" w:hAnsi="Times New Roman" w:eastAsia="宋体"/>
          <w:b w:val="0"/>
          <w:color w:val="64748B"/>
          <w:sz w:val="18"/>
        </w:rPr>
        <w:t>图 F17  展会经济乘数效应分解</w:t>
      </w:r>
    </w:p>
    <w:p>
      <w:pPr>
        <w:spacing w:line="348" w:lineRule="auto" w:before="0" w:after="80"/>
        <w:ind w:firstLine="420"/>
      </w:pPr>
      <w:r/>
    </w:p>
    <w:p>
      <w:pPr>
        <w:spacing w:before="160" w:after="40"/>
        <w:jc w:val="center"/>
      </w:pPr>
      <w:r>
        <w:drawing>
          <wp:inline xmlns:a="http://schemas.openxmlformats.org/drawingml/2006/main" xmlns:pic="http://schemas.openxmlformats.org/drawingml/2006/picture">
            <wp:extent cx="5580000" cy="3487500"/>
            <wp:docPr id="33" name="Picture 33"/>
            <wp:cNvGraphicFramePr>
              <a:graphicFrameLocks noChangeAspect="1"/>
            </wp:cNvGraphicFramePr>
            <a:graphic>
              <a:graphicData uri="http://schemas.openxmlformats.org/drawingml/2006/picture">
                <pic:pic>
                  <pic:nvPicPr>
                    <pic:cNvPr id="0" name="F18.png"/>
                    <pic:cNvPicPr/>
                  </pic:nvPicPr>
                  <pic:blipFill>
                    <a:blip r:embed="rId36"/>
                    <a:stretch>
                      <a:fillRect/>
                    </a:stretch>
                  </pic:blipFill>
                  <pic:spPr>
                    <a:xfrm>
                      <a:off x="0" y="0"/>
                      <a:ext cx="5580000" cy="3487500"/>
                    </a:xfrm>
                    <a:prstGeom prst="rect"/>
                  </pic:spPr>
                </pic:pic>
              </a:graphicData>
            </a:graphic>
          </wp:inline>
        </w:drawing>
      </w:r>
    </w:p>
    <w:p>
      <w:pPr>
        <w:spacing w:after="200"/>
        <w:jc w:val="center"/>
      </w:pPr>
      <w:r>
        <w:rPr>
          <w:rFonts w:ascii="Times New Roman" w:hAnsi="Times New Roman" w:eastAsia="宋体"/>
          <w:b w:val="0"/>
          <w:color w:val="64748B"/>
          <w:sz w:val="18"/>
        </w:rPr>
        <w:t>图 F18  第二十三届制博会线上线下触达结构</w:t>
      </w:r>
    </w:p>
    <w:p>
      <w:pPr>
        <w:spacing w:line="348" w:lineRule="auto" w:before="0" w:after="80"/>
        <w:ind w:firstLine="420"/>
      </w:pPr>
      <w:r/>
    </w:p>
    <w:p>
      <w:pPr>
        <w:spacing w:before="160" w:after="40"/>
        <w:jc w:val="center"/>
      </w:pPr>
      <w:r>
        <w:drawing>
          <wp:inline xmlns:a="http://schemas.openxmlformats.org/drawingml/2006/main" xmlns:pic="http://schemas.openxmlformats.org/drawingml/2006/picture">
            <wp:extent cx="5580000" cy="3487500"/>
            <wp:docPr id="34" name="Picture 34"/>
            <wp:cNvGraphicFramePr>
              <a:graphicFrameLocks noChangeAspect="1"/>
            </wp:cNvGraphicFramePr>
            <a:graphic>
              <a:graphicData uri="http://schemas.openxmlformats.org/drawingml/2006/picture">
                <pic:pic>
                  <pic:nvPicPr>
                    <pic:cNvPr id="0" name="F19.png"/>
                    <pic:cNvPicPr/>
                  </pic:nvPicPr>
                  <pic:blipFill>
                    <a:blip r:embed="rId37"/>
                    <a:stretch>
                      <a:fillRect/>
                    </a:stretch>
                  </pic:blipFill>
                  <pic:spPr>
                    <a:xfrm>
                      <a:off x="0" y="0"/>
                      <a:ext cx="5580000" cy="3487500"/>
                    </a:xfrm>
                    <a:prstGeom prst="rect"/>
                  </pic:spPr>
                </pic:pic>
              </a:graphicData>
            </a:graphic>
          </wp:inline>
        </w:drawing>
      </w:r>
    </w:p>
    <w:p>
      <w:pPr>
        <w:spacing w:after="200"/>
        <w:jc w:val="center"/>
      </w:pPr>
      <w:r>
        <w:rPr>
          <w:rFonts w:ascii="Times New Roman" w:hAnsi="Times New Roman" w:eastAsia="宋体"/>
          <w:b w:val="0"/>
          <w:color w:val="64748B"/>
          <w:sz w:val="18"/>
        </w:rPr>
        <w:t>图 F19  核心运营指标仪表盘</w:t>
      </w:r>
    </w:p>
    <w:p>
      <w:pPr>
        <w:spacing w:line="348" w:lineRule="auto" w:before="0" w:after="80"/>
        <w:ind w:firstLine="420"/>
      </w:pPr>
      <w:r/>
    </w:p>
    <w:p>
      <w:pPr>
        <w:spacing w:before="160" w:after="40"/>
        <w:jc w:val="center"/>
      </w:pPr>
      <w:r>
        <w:drawing>
          <wp:inline xmlns:a="http://schemas.openxmlformats.org/drawingml/2006/main" xmlns:pic="http://schemas.openxmlformats.org/drawingml/2006/picture">
            <wp:extent cx="5580000" cy="3487500"/>
            <wp:docPr id="35" name="Picture 35"/>
            <wp:cNvGraphicFramePr>
              <a:graphicFrameLocks noChangeAspect="1"/>
            </wp:cNvGraphicFramePr>
            <a:graphic>
              <a:graphicData uri="http://schemas.openxmlformats.org/drawingml/2006/picture">
                <pic:pic>
                  <pic:nvPicPr>
                    <pic:cNvPr id="0" name="F20.png"/>
                    <pic:cNvPicPr/>
                  </pic:nvPicPr>
                  <pic:blipFill>
                    <a:blip r:embed="rId38"/>
                    <a:stretch>
                      <a:fillRect/>
                    </a:stretch>
                  </pic:blipFill>
                  <pic:spPr>
                    <a:xfrm>
                      <a:off x="0" y="0"/>
                      <a:ext cx="5580000" cy="3487500"/>
                    </a:xfrm>
                    <a:prstGeom prst="rect"/>
                  </pic:spPr>
                </pic:pic>
              </a:graphicData>
            </a:graphic>
          </wp:inline>
        </w:drawing>
      </w:r>
    </w:p>
    <w:p>
      <w:pPr>
        <w:spacing w:after="200"/>
        <w:jc w:val="center"/>
      </w:pPr>
      <w:r>
        <w:rPr>
          <w:rFonts w:ascii="Times New Roman" w:hAnsi="Times New Roman" w:eastAsia="宋体"/>
          <w:b w:val="0"/>
          <w:color w:val="64748B"/>
          <w:sz w:val="18"/>
        </w:rPr>
        <w:t>图 F20  沈阳工业文旅联动路线</w:t>
      </w:r>
    </w:p>
    <w:p>
      <w:pPr>
        <w:spacing w:line="348" w:lineRule="auto" w:before="0" w:after="80"/>
        <w:ind w:firstLine="420"/>
      </w:pPr>
      <w:r/>
    </w:p>
    <w:p>
      <w:pPr>
        <w:spacing w:before="160" w:after="40"/>
        <w:jc w:val="center"/>
      </w:pPr>
      <w:r>
        <w:drawing>
          <wp:inline xmlns:a="http://schemas.openxmlformats.org/drawingml/2006/main" xmlns:pic="http://schemas.openxmlformats.org/drawingml/2006/picture">
            <wp:extent cx="5580000" cy="4073794"/>
            <wp:docPr id="36" name="Picture 36"/>
            <wp:cNvGraphicFramePr>
              <a:graphicFrameLocks noChangeAspect="1"/>
            </wp:cNvGraphicFramePr>
            <a:graphic>
              <a:graphicData uri="http://schemas.openxmlformats.org/drawingml/2006/picture">
                <pic:pic>
                  <pic:nvPicPr>
                    <pic:cNvPr id="0" name="E10.png"/>
                    <pic:cNvPicPr/>
                  </pic:nvPicPr>
                  <pic:blipFill>
                    <a:blip r:embed="rId39"/>
                    <a:stretch>
                      <a:fillRect/>
                    </a:stretch>
                  </pic:blipFill>
                  <pic:spPr>
                    <a:xfrm>
                      <a:off x="0" y="0"/>
                      <a:ext cx="5580000" cy="4073794"/>
                    </a:xfrm>
                    <a:prstGeom prst="rect"/>
                  </pic:spPr>
                </pic:pic>
              </a:graphicData>
            </a:graphic>
          </wp:inline>
        </w:drawing>
      </w:r>
    </w:p>
    <w:p>
      <w:pPr>
        <w:spacing w:after="200"/>
        <w:jc w:val="center"/>
      </w:pPr>
      <w:r>
        <w:rPr>
          <w:rFonts w:ascii="Times New Roman" w:hAnsi="Times New Roman" w:eastAsia="宋体"/>
          <w:b w:val="0"/>
          <w:color w:val="64748B"/>
          <w:sz w:val="18"/>
        </w:rPr>
        <w:t>图 E10  五类读者网页阅读路径覆盖</w:t>
      </w:r>
    </w:p>
    <w:p>
      <w:pPr>
        <w:spacing w:line="348" w:lineRule="auto" w:before="0" w:after="80"/>
        <w:ind w:firstLine="420"/>
      </w:pPr>
      <w:r/>
    </w:p>
    <w:p>
      <w:pPr>
        <w:spacing w:before="160" w:after="40"/>
        <w:jc w:val="center"/>
      </w:pPr>
      <w:r>
        <w:drawing>
          <wp:inline xmlns:a="http://schemas.openxmlformats.org/drawingml/2006/main" xmlns:pic="http://schemas.openxmlformats.org/drawingml/2006/picture">
            <wp:extent cx="5580000" cy="3336420"/>
            <wp:docPr id="37" name="Picture 37"/>
            <wp:cNvGraphicFramePr>
              <a:graphicFrameLocks noChangeAspect="1"/>
            </wp:cNvGraphicFramePr>
            <a:graphic>
              <a:graphicData uri="http://schemas.openxmlformats.org/drawingml/2006/picture">
                <pic:pic>
                  <pic:nvPicPr>
                    <pic:cNvPr id="0" name="E11.png"/>
                    <pic:cNvPicPr/>
                  </pic:nvPicPr>
                  <pic:blipFill>
                    <a:blip r:embed="rId40"/>
                    <a:stretch>
                      <a:fillRect/>
                    </a:stretch>
                  </pic:blipFill>
                  <pic:spPr>
                    <a:xfrm>
                      <a:off x="0" y="0"/>
                      <a:ext cx="5580000" cy="3336420"/>
                    </a:xfrm>
                    <a:prstGeom prst="rect"/>
                  </pic:spPr>
                </pic:pic>
              </a:graphicData>
            </a:graphic>
          </wp:inline>
        </w:drawing>
      </w:r>
    </w:p>
    <w:p>
      <w:pPr>
        <w:spacing w:after="200"/>
        <w:jc w:val="center"/>
      </w:pPr>
      <w:r>
        <w:rPr>
          <w:rFonts w:ascii="Times New Roman" w:hAnsi="Times New Roman" w:eastAsia="宋体"/>
          <w:b w:val="0"/>
          <w:color w:val="64748B"/>
          <w:sz w:val="18"/>
        </w:rPr>
        <w:t>图 E11  公开版报告章节内容量配置</w:t>
      </w:r>
    </w:p>
    <w:p>
      <w:pPr>
        <w:spacing w:line="348" w:lineRule="auto" w:before="0" w:after="80"/>
        <w:ind w:firstLine="420"/>
      </w:pPr>
      <w:r/>
    </w:p>
    <w:p>
      <w:pPr>
        <w:spacing w:before="160" w:after="40"/>
        <w:jc w:val="center"/>
      </w:pPr>
      <w:r>
        <w:drawing>
          <wp:inline xmlns:a="http://schemas.openxmlformats.org/drawingml/2006/main" xmlns:pic="http://schemas.openxmlformats.org/drawingml/2006/picture">
            <wp:extent cx="5580000" cy="3582701"/>
            <wp:docPr id="38" name="Picture 38"/>
            <wp:cNvGraphicFramePr>
              <a:graphicFrameLocks noChangeAspect="1"/>
            </wp:cNvGraphicFramePr>
            <a:graphic>
              <a:graphicData uri="http://schemas.openxmlformats.org/drawingml/2006/picture">
                <pic:pic>
                  <pic:nvPicPr>
                    <pic:cNvPr id="0" name="E12.png"/>
                    <pic:cNvPicPr/>
                  </pic:nvPicPr>
                  <pic:blipFill>
                    <a:blip r:embed="rId41"/>
                    <a:stretch>
                      <a:fillRect/>
                    </a:stretch>
                  </pic:blipFill>
                  <pic:spPr>
                    <a:xfrm>
                      <a:off x="0" y="0"/>
                      <a:ext cx="5580000" cy="3582701"/>
                    </a:xfrm>
                    <a:prstGeom prst="rect"/>
                  </pic:spPr>
                </pic:pic>
              </a:graphicData>
            </a:graphic>
          </wp:inline>
        </w:drawing>
      </w:r>
    </w:p>
    <w:p>
      <w:pPr>
        <w:spacing w:after="200"/>
        <w:jc w:val="center"/>
      </w:pPr>
      <w:r>
        <w:rPr>
          <w:rFonts w:ascii="Times New Roman" w:hAnsi="Times New Roman" w:eastAsia="宋体"/>
          <w:b w:val="0"/>
          <w:color w:val="64748B"/>
          <w:sz w:val="18"/>
        </w:rPr>
        <w:t>图 E12  展会服务链条成熟度升级曲线</w:t>
      </w:r>
    </w:p>
    <w:p>
      <w:pPr>
        <w:spacing w:line="348" w:lineRule="auto" w:before="0" w:after="80"/>
        <w:ind w:firstLine="420"/>
      </w:pPr>
      <w:r/>
    </w:p>
    <w:p>
      <w:pPr>
        <w:pStyle w:val="Heading1"/>
        <w:spacing w:before="360" w:after="160"/>
        <w:jc w:val="center"/>
      </w:pPr>
      <w:r>
        <w:t>第五部分  线上专题内容与公开呈现</w:t>
      </w:r>
    </w:p>
    <w:p>
      <w:pPr>
        <w:spacing w:line="348" w:lineRule="auto" w:before="0" w:after="80"/>
        <w:ind w:firstLine="420"/>
      </w:pPr>
      <w:r>
        <w:t>线上专题内容承担快速阅读、数据看板、图表浏览、现场图片查看、数据口径说明和完整文件获取等功能。本部分将相关内容纳入报告正文，形成适合公开阅读的统一结构。</w:t>
      </w:r>
    </w:p>
    <w:tbl>
      <w:tblPr>
        <w:tblStyle w:val="TableGrid"/>
        <w:tblW w:type="auto" w:w="0"/>
        <w:jc w:val="center"/>
        <w:tblLayout w:type="autofit"/>
        <w:tblLook w:firstColumn="1" w:firstRow="1" w:lastColumn="0" w:lastRow="0" w:noHBand="0" w:noVBand="1" w:val="04A0"/>
      </w:tblPr>
      <w:tblGrid>
        <w:gridCol w:w="3043"/>
        <w:gridCol w:w="3043"/>
        <w:gridCol w:w="3043"/>
      </w:tblGrid>
      <w:tr>
        <w:tc>
          <w:tcPr>
            <w:tcW w:type="dxa" w:w="1701"/>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8"/>
              </w:rPr>
              <w:t>网页模块</w:t>
            </w:r>
          </w:p>
        </w:tc>
        <w:tc>
          <w:tcPr>
            <w:tcW w:type="dxa" w:w="1871"/>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8"/>
              </w:rPr>
              <w:t>对应页面</w:t>
            </w:r>
          </w:p>
        </w:tc>
        <w:tc>
          <w:tcPr>
            <w:tcW w:type="dxa" w:w="5386"/>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8"/>
              </w:rPr>
              <w:t>融入 Word 的内容</w:t>
            </w:r>
          </w:p>
        </w:tc>
      </w:tr>
      <w:tr>
        <w:tc>
          <w:tcPr>
            <w:tcW w:type="dxa" w:w="170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首页</w:t>
            </w:r>
          </w:p>
        </w:tc>
        <w:tc>
          <w:tcPr>
            <w:tcW w:type="dxa" w:w="187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index.html</w:t>
            </w:r>
          </w:p>
        </w:tc>
        <w:tc>
          <w:tcPr>
            <w:tcW w:type="dxa" w:w="5386"/>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核心指标、研究主线、关键判断、扫码入口</w:t>
            </w:r>
          </w:p>
        </w:tc>
      </w:tr>
      <w:tr>
        <w:tc>
          <w:tcPr>
            <w:tcW w:type="dxa" w:w="170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报告摘要</w:t>
            </w:r>
          </w:p>
        </w:tc>
        <w:tc>
          <w:tcPr>
            <w:tcW w:type="dxa" w:w="187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summary.html</w:t>
            </w:r>
          </w:p>
        </w:tc>
        <w:tc>
          <w:tcPr>
            <w:tcW w:type="dxa" w:w="5386"/>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摘要、核心数据、三段研究框架</w:t>
            </w:r>
          </w:p>
        </w:tc>
      </w:tr>
      <w:tr>
        <w:tc>
          <w:tcPr>
            <w:tcW w:type="dxa" w:w="170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会展发展情况</w:t>
            </w:r>
          </w:p>
        </w:tc>
        <w:tc>
          <w:tcPr>
            <w:tcW w:type="dxa" w:w="187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overview.html</w:t>
            </w:r>
          </w:p>
        </w:tc>
        <w:tc>
          <w:tcPr>
            <w:tcW w:type="dxa" w:w="5386"/>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行业背景、项目基础、运行数据、综合价值</w:t>
            </w:r>
          </w:p>
        </w:tc>
      </w:tr>
      <w:tr>
        <w:tc>
          <w:tcPr>
            <w:tcW w:type="dxa" w:w="170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存在问题</w:t>
            </w:r>
          </w:p>
        </w:tc>
        <w:tc>
          <w:tcPr>
            <w:tcW w:type="dxa" w:w="187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problems.html</w:t>
            </w:r>
          </w:p>
        </w:tc>
        <w:tc>
          <w:tcPr>
            <w:tcW w:type="dxa" w:w="5386"/>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九类问题诊断与优先级评估</w:t>
            </w:r>
          </w:p>
        </w:tc>
      </w:tr>
      <w:tr>
        <w:tc>
          <w:tcPr>
            <w:tcW w:type="dxa" w:w="170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建议方案</w:t>
            </w:r>
          </w:p>
        </w:tc>
        <w:tc>
          <w:tcPr>
            <w:tcW w:type="dxa" w:w="187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solutions.html</w:t>
            </w:r>
          </w:p>
        </w:tc>
        <w:tc>
          <w:tcPr>
            <w:tcW w:type="dxa" w:w="5386"/>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十一项建议、实施路径、指标体系</w:t>
            </w:r>
          </w:p>
        </w:tc>
      </w:tr>
      <w:tr>
        <w:tc>
          <w:tcPr>
            <w:tcW w:type="dxa" w:w="170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数据看板</w:t>
            </w:r>
          </w:p>
        </w:tc>
        <w:tc>
          <w:tcPr>
            <w:tcW w:type="dxa" w:w="187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dashboard.html</w:t>
            </w:r>
          </w:p>
        </w:tc>
        <w:tc>
          <w:tcPr>
            <w:tcW w:type="dxa" w:w="5386"/>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规模演进、同类对比、经济乘数、触达结构、运营指标</w:t>
            </w:r>
          </w:p>
        </w:tc>
      </w:tr>
      <w:tr>
        <w:tc>
          <w:tcPr>
            <w:tcW w:type="dxa" w:w="170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图表画廊</w:t>
            </w:r>
          </w:p>
        </w:tc>
        <w:tc>
          <w:tcPr>
            <w:tcW w:type="dxa" w:w="187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gallery.html</w:t>
            </w:r>
          </w:p>
        </w:tc>
        <w:tc>
          <w:tcPr>
            <w:tcW w:type="dxa" w:w="5386"/>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20 张高清图表与交互入口</w:t>
            </w:r>
          </w:p>
        </w:tc>
      </w:tr>
      <w:tr>
        <w:tc>
          <w:tcPr>
            <w:tcW w:type="dxa" w:w="170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现场照片</w:t>
            </w:r>
          </w:p>
        </w:tc>
        <w:tc>
          <w:tcPr>
            <w:tcW w:type="dxa" w:w="187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photos.html</w:t>
            </w:r>
          </w:p>
        </w:tc>
        <w:tc>
          <w:tcPr>
            <w:tcW w:type="dxa" w:w="5386"/>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公开现场图片、来源说明和视觉资料</w:t>
            </w:r>
          </w:p>
        </w:tc>
      </w:tr>
      <w:tr>
        <w:tc>
          <w:tcPr>
            <w:tcW w:type="dxa" w:w="170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方法论</w:t>
            </w:r>
          </w:p>
        </w:tc>
        <w:tc>
          <w:tcPr>
            <w:tcW w:type="dxa" w:w="187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methodology.html</w:t>
            </w:r>
          </w:p>
        </w:tc>
        <w:tc>
          <w:tcPr>
            <w:tcW w:type="dxa" w:w="5386"/>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资料、问卷、访谈、观察、分析、输出六阶段流程</w:t>
            </w:r>
          </w:p>
        </w:tc>
      </w:tr>
      <w:tr>
        <w:tc>
          <w:tcPr>
            <w:tcW w:type="dxa" w:w="170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数据透明度</w:t>
            </w:r>
          </w:p>
        </w:tc>
        <w:tc>
          <w:tcPr>
            <w:tcW w:type="dxa" w:w="187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transparency.html</w:t>
            </w:r>
          </w:p>
        </w:tc>
        <w:tc>
          <w:tcPr>
            <w:tcW w:type="dxa" w:w="5386"/>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数据来源分级、图表口径和研究测算说明</w:t>
            </w:r>
          </w:p>
        </w:tc>
      </w:tr>
      <w:tr>
        <w:tc>
          <w:tcPr>
            <w:tcW w:type="dxa" w:w="170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团队</w:t>
            </w:r>
          </w:p>
        </w:tc>
        <w:tc>
          <w:tcPr>
            <w:tcW w:type="dxa" w:w="187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team.html</w:t>
            </w:r>
          </w:p>
        </w:tc>
        <w:tc>
          <w:tcPr>
            <w:tcW w:type="dxa" w:w="5386"/>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五人分工与协作流程</w:t>
            </w:r>
          </w:p>
        </w:tc>
      </w:tr>
      <w:tr>
        <w:tc>
          <w:tcPr>
            <w:tcW w:type="dxa" w:w="170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阅读路径</w:t>
            </w:r>
          </w:p>
        </w:tc>
        <w:tc>
          <w:tcPr>
            <w:tcW w:type="dxa" w:w="187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reading-paths.html</w:t>
            </w:r>
          </w:p>
        </w:tc>
        <w:tc>
          <w:tcPr>
            <w:tcW w:type="dxa" w:w="5386"/>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评委、主办方、参展商、研究者、学生五类路径</w:t>
            </w:r>
          </w:p>
        </w:tc>
      </w:tr>
    </w:tbl>
    <w:p/>
    <w:p>
      <w:pPr>
        <w:spacing w:line="348" w:lineRule="auto" w:before="0" w:after="80"/>
        <w:ind w:firstLine="420"/>
      </w:pPr>
      <w:r>
        <w:t>线上专题重点包括：第一，首页采用现场图片首屏，突出展会规模和产业场景；第二，报告内容页强化章节导读、核心指标和执行矩阵；第三，图表库按规模结构、观众采购、成交转化、国际传播、问题治理和路线执行分组呈现；第四，现场图片页围绕规模感、产业感和交易感组织图片叙事；第五，数据口径页区分公开数据、公开数据衍生计算和研究评价；第六，完整文件页集中呈现报告指标、章节结构和阅读入口。</w:t>
      </w:r>
    </w:p>
    <w:p>
      <w:pPr>
        <w:pStyle w:val="Heading2"/>
        <w:spacing w:before="360" w:after="160"/>
      </w:pPr>
      <w:r>
        <w:t>首页专题内容</w:t>
      </w:r>
    </w:p>
    <w:p>
      <w:pPr>
        <w:spacing w:line="348" w:lineRule="auto" w:before="0" w:after="80"/>
        <w:ind w:firstLine="420"/>
      </w:pPr>
      <w:r>
        <w:rPr>
          <w:rFonts w:ascii="Times New Roman" w:hAnsi="Times New Roman" w:eastAsia="宋体"/>
          <w:b w:val="0"/>
          <w:color w:val="0F172A"/>
          <w:sz w:val="24"/>
        </w:rPr>
        <w:t>首页承担公开传播入口功能，首屏以展会现场图片作为视觉背景，集中呈现 9 万平方米、912 家参展企业、3056 个展位、15.8 亿元开幕日意向成交、66.2 亿元累计意向成交、14.7 万人次线下观众及采购商、23 万人次线上观展等核心指标。首页的文字主线强调项目已从规模型展会进入平台升级阶段。</w:t>
      </w:r>
    </w:p>
    <w:p>
      <w:pPr>
        <w:spacing w:line="348" w:lineRule="auto" w:before="0" w:after="80"/>
        <w:ind w:firstLine="420"/>
      </w:pPr>
      <w:r/>
    </w:p>
    <w:p>
      <w:pPr>
        <w:spacing w:line="348" w:lineRule="auto" w:before="0" w:after="80"/>
        <w:ind w:firstLine="420"/>
      </w:pPr>
      <w:r>
        <w:t>从会展项目运营看，首页内容呈现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t>从沈阳城市产业语境看，首页内容呈现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pStyle w:val="Heading2"/>
        <w:spacing w:before="360" w:after="160"/>
      </w:pPr>
      <w:r>
        <w:t>报告摘要专题内容</w:t>
      </w:r>
    </w:p>
    <w:p>
      <w:pPr>
        <w:spacing w:line="348" w:lineRule="auto" w:before="0" w:after="80"/>
        <w:ind w:firstLine="420"/>
      </w:pPr>
      <w:r>
        <w:t>摘要页面以五分钟阅读为目标，压缩呈现研究对象、公开数据、三段研究框架、主要判断和优化方向。报告正文中的摘要保留这一逻辑，但进一步扩展为完整公开版摘要和核心数据表。</w:t>
      </w:r>
    </w:p>
    <w:p>
      <w:pPr>
        <w:spacing w:line="348" w:lineRule="auto" w:before="0" w:after="80"/>
        <w:ind w:firstLine="420"/>
      </w:pPr>
      <w:r/>
    </w:p>
    <w:p>
      <w:pPr>
        <w:spacing w:line="348" w:lineRule="auto" w:before="0" w:after="80"/>
        <w:ind w:firstLine="420"/>
      </w:pPr>
      <w:r>
        <w:t>从会展项目运营看，报告摘要内容呈现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t>从沈阳城市产业语境看，报告摘要内容呈现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pStyle w:val="Heading2"/>
        <w:spacing w:before="360" w:after="160"/>
      </w:pPr>
      <w:r>
        <w:t>数据看板专题内容</w:t>
      </w:r>
    </w:p>
    <w:p>
      <w:pPr>
        <w:spacing w:line="348" w:lineRule="auto" w:before="0" w:after="80"/>
        <w:ind w:firstLine="420"/>
      </w:pPr>
      <w:r>
        <w:t>图表库页面对应 报告中的图表分析部分，按规模与结构、观众与采购、成交与转化、国际化与传播、问题诊断与治理、路线图与执行六组呈现。其功能不是替代正文，而是把长篇论述转化为可读性更强的视觉证据。</w:t>
      </w:r>
    </w:p>
    <w:p>
      <w:pPr>
        <w:spacing w:line="348" w:lineRule="auto" w:before="0" w:after="80"/>
        <w:ind w:firstLine="420"/>
      </w:pPr>
      <w:r/>
    </w:p>
    <w:p>
      <w:pPr>
        <w:spacing w:line="348" w:lineRule="auto" w:before="0" w:after="80"/>
        <w:ind w:firstLine="420"/>
      </w:pPr>
      <w:r>
        <w:t>从会展项目运营看，数据看板内容呈现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t>从沈阳城市产业语境看，数据看板内容呈现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pStyle w:val="Heading2"/>
        <w:spacing w:before="360" w:after="160"/>
      </w:pPr>
      <w:r>
        <w:t>现场图片专题内容</w:t>
      </w:r>
    </w:p>
    <w:p>
      <w:pPr>
        <w:spacing w:line="348" w:lineRule="auto" w:before="0" w:after="80"/>
        <w:ind w:firstLine="420"/>
      </w:pPr>
      <w:r>
        <w:t>现场图片页面展示公开图片资料，覆盖展会现场全景、机器人展品、专业观众交流、重点装备展示、展区商务洽谈和现场参观动线。Word 以图片资料部分保留这些内容，并在正文分析中对应规模、产业和交易三类场景。</w:t>
      </w:r>
    </w:p>
    <w:p>
      <w:pPr>
        <w:spacing w:line="348" w:lineRule="auto" w:before="0" w:after="80"/>
        <w:ind w:firstLine="420"/>
      </w:pPr>
      <w:r/>
    </w:p>
    <w:p>
      <w:pPr>
        <w:spacing w:line="348" w:lineRule="auto" w:before="0" w:after="80"/>
        <w:ind w:firstLine="420"/>
      </w:pPr>
      <w:r>
        <w:t>从会展项目运营看，照片墙内容呈现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t>从沈阳城市产业语境看，照片墙内容呈现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pStyle w:val="Heading2"/>
        <w:spacing w:before="360" w:after="160"/>
      </w:pPr>
      <w:r>
        <w:t>数据口径专题内容</w:t>
      </w:r>
    </w:p>
    <w:p>
      <w:pPr>
        <w:spacing w:line="348" w:lineRule="auto" w:before="0" w:after="80"/>
        <w:ind w:firstLine="420"/>
      </w:pPr>
      <w:r>
        <w:t>数据口径页面将资料分为公开数据、公开数据衍生计算和研究评价三类。报告正文在各个表格和图表说明中延续这一口径，使读者能够区分基础规模数据、运营效率指标和策略判断。</w:t>
      </w:r>
    </w:p>
    <w:p>
      <w:pPr>
        <w:spacing w:line="348" w:lineRule="auto" w:before="0" w:after="80"/>
        <w:ind w:firstLine="420"/>
      </w:pPr>
      <w:r/>
    </w:p>
    <w:p>
      <w:pPr>
        <w:spacing w:line="348" w:lineRule="auto" w:before="0" w:after="80"/>
        <w:ind w:firstLine="420"/>
      </w:pPr>
      <w:r>
        <w:t>从会展项目运营看，数据口径内容呈现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t>从沈阳城市产业语境看，数据口径内容呈现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pStyle w:val="Heading2"/>
        <w:spacing w:before="360" w:after="160"/>
      </w:pPr>
      <w:r>
        <w:t>完整文件与阅读路径专题内容</w:t>
      </w:r>
    </w:p>
    <w:p>
      <w:pPr>
        <w:spacing w:line="348" w:lineRule="auto" w:before="0" w:after="80"/>
        <w:ind w:firstLine="420"/>
      </w:pPr>
      <w:r>
        <w:t>完整文件页集中呈现报告名称、正文结构、文档规模、图片与图表数量，并提供完整报告获取入口。其作用是让读者快速确认报告范围、阅读重点和资料构成。</w:t>
      </w:r>
    </w:p>
    <w:p>
      <w:pPr>
        <w:spacing w:line="348" w:lineRule="auto" w:before="0" w:after="80"/>
        <w:ind w:firstLine="420"/>
      </w:pPr>
      <w:r/>
    </w:p>
    <w:p>
      <w:pPr>
        <w:spacing w:line="348" w:lineRule="auto" w:before="0" w:after="80"/>
        <w:ind w:firstLine="420"/>
      </w:pPr>
      <w:r>
        <w:t>从会展项目运营看，最终文件页与维护路径内容呈现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t>从沈阳城市产业语境看，最终文件页与维护路径内容呈现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pStyle w:val="Heading1"/>
        <w:spacing w:before="360" w:after="160"/>
        <w:jc w:val="center"/>
      </w:pPr>
      <w:r>
        <w:rPr>
          <w:rFonts w:ascii="Times New Roman" w:hAnsi="Times New Roman" w:eastAsia="黑体"/>
          <w:b/>
          <w:color w:val="0F1F4F"/>
          <w:sz w:val="40"/>
        </w:rPr>
        <w:t>第六部分  标杆展会对比与公开版启示</w:t>
      </w:r>
    </w:p>
    <w:p>
      <w:pPr>
        <w:spacing w:line="348" w:lineRule="auto" w:before="0" w:after="80"/>
        <w:ind w:firstLine="420"/>
      </w:pPr>
      <w:r>
        <w:rPr>
          <w:rFonts w:ascii="Times New Roman" w:hAnsi="Times New Roman" w:eastAsia="宋体"/>
          <w:b w:val="0"/>
          <w:color w:val="0F172A"/>
          <w:sz w:val="24"/>
        </w:rPr>
        <w:t>中国制博会的升级需要放在国内外工业展会竞争格局中观察。公开版报告选取中国国际工业博览会、中国国际机床展览会、中国国际高新技术成果交易会、德国汉诺威工业展和德国 EMO 机床展作为对照对象，重点比较国际化、专业深度、交易撮合、数字服务、城市联动和品牌传播六个维度。</w:t>
      </w:r>
    </w:p>
    <w:tbl>
      <w:tblPr>
        <w:tblStyle w:val="TableGrid"/>
        <w:tblW w:type="auto" w:w="0"/>
        <w:jc w:val="center"/>
        <w:tblLayout w:type="autofit"/>
        <w:tblLook w:firstColumn="1" w:firstRow="1" w:lastColumn="0" w:lastRow="0" w:noHBand="0" w:noVBand="1" w:val="04A0"/>
      </w:tblPr>
      <w:tblGrid>
        <w:gridCol w:w="2282"/>
        <w:gridCol w:w="2282"/>
        <w:gridCol w:w="2282"/>
        <w:gridCol w:w="2282"/>
      </w:tblGrid>
      <w:tr>
        <w:tc>
          <w:tcPr>
            <w:tcW w:type="dxa" w:w="1871"/>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标杆展会</w:t>
            </w:r>
          </w:p>
        </w:tc>
        <w:tc>
          <w:tcPr>
            <w:tcW w:type="dxa" w:w="1984"/>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核心定位</w:t>
            </w:r>
          </w:p>
        </w:tc>
        <w:tc>
          <w:tcPr>
            <w:tcW w:type="dxa" w:w="2891"/>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可借鉴做法</w:t>
            </w:r>
          </w:p>
        </w:tc>
        <w:tc>
          <w:tcPr>
            <w:tcW w:type="dxa" w:w="2324"/>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对中国制博会的启示</w:t>
            </w:r>
          </w:p>
        </w:tc>
      </w:tr>
      <w:tr>
        <w:tc>
          <w:tcPr>
            <w:tcW w:type="dxa" w:w="187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中国国际工业博览会</w:t>
            </w:r>
          </w:p>
        </w:tc>
        <w:tc>
          <w:tcPr>
            <w:tcW w:type="dxa" w:w="198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综合工业旗舰展</w:t>
            </w:r>
          </w:p>
        </w:tc>
        <w:tc>
          <w:tcPr>
            <w:tcW w:type="dxa" w:w="289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工业门类完整、国际品牌集中、论坛活动体系成熟</w:t>
            </w:r>
          </w:p>
        </w:tc>
        <w:tc>
          <w:tcPr>
            <w:tcW w:type="dxa" w:w="232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提升综合工业品牌表达和高端论坛组织</w:t>
            </w:r>
          </w:p>
        </w:tc>
      </w:tr>
      <w:tr>
        <w:tc>
          <w:tcPr>
            <w:tcW w:type="dxa" w:w="187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中国国际机床展览会</w:t>
            </w:r>
          </w:p>
        </w:tc>
        <w:tc>
          <w:tcPr>
            <w:tcW w:type="dxa" w:w="198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机床工具专业展</w:t>
            </w:r>
          </w:p>
        </w:tc>
        <w:tc>
          <w:tcPr>
            <w:tcW w:type="dxa" w:w="289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专业观众质量高、技术深度强、行业协会资源集中</w:t>
            </w:r>
          </w:p>
        </w:tc>
        <w:tc>
          <w:tcPr>
            <w:tcW w:type="dxa" w:w="232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强化工业母机和高端装备专业深度</w:t>
            </w:r>
          </w:p>
        </w:tc>
      </w:tr>
      <w:tr>
        <w:tc>
          <w:tcPr>
            <w:tcW w:type="dxa" w:w="187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中国国际高新技术成果交易会</w:t>
            </w:r>
          </w:p>
        </w:tc>
        <w:tc>
          <w:tcPr>
            <w:tcW w:type="dxa" w:w="198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科技成果转化平台</w:t>
            </w:r>
          </w:p>
        </w:tc>
        <w:tc>
          <w:tcPr>
            <w:tcW w:type="dxa" w:w="289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科技成果发布、投融资对接、城市创新形象传播</w:t>
            </w:r>
          </w:p>
        </w:tc>
        <w:tc>
          <w:tcPr>
            <w:tcW w:type="dxa" w:w="232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加强新质生产力成果转化专区</w:t>
            </w:r>
          </w:p>
        </w:tc>
      </w:tr>
      <w:tr>
        <w:tc>
          <w:tcPr>
            <w:tcW w:type="dxa" w:w="187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汉诺威工业展</w:t>
            </w:r>
          </w:p>
        </w:tc>
        <w:tc>
          <w:tcPr>
            <w:tcW w:type="dxa" w:w="198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全球工业技术风向标</w:t>
            </w:r>
          </w:p>
        </w:tc>
        <w:tc>
          <w:tcPr>
            <w:tcW w:type="dxa" w:w="289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国际买家、技术趋势、国家馆和产业议题组织能力强</w:t>
            </w:r>
          </w:p>
        </w:tc>
        <w:tc>
          <w:tcPr>
            <w:tcW w:type="dxa" w:w="232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提升国际采购和全球技术趋势传播</w:t>
            </w:r>
          </w:p>
        </w:tc>
      </w:tr>
      <w:tr>
        <w:tc>
          <w:tcPr>
            <w:tcW w:type="dxa" w:w="187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EMO 机床展</w:t>
            </w:r>
          </w:p>
        </w:tc>
        <w:tc>
          <w:tcPr>
            <w:tcW w:type="dxa" w:w="198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世界机床领域标杆</w:t>
            </w:r>
          </w:p>
        </w:tc>
        <w:tc>
          <w:tcPr>
            <w:tcW w:type="dxa" w:w="289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高度专业化、国际买家组织和展商服务成熟</w:t>
            </w:r>
          </w:p>
        </w:tc>
        <w:tc>
          <w:tcPr>
            <w:tcW w:type="dxa" w:w="232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建设更精准的专业采购商组织体系</w:t>
            </w:r>
          </w:p>
        </w:tc>
      </w:tr>
    </w:tbl>
    <w:p/>
    <w:p>
      <w:pPr>
        <w:spacing w:before="160" w:after="40"/>
        <w:jc w:val="center"/>
      </w:pPr>
      <w:r>
        <w:drawing>
          <wp:inline xmlns:a="http://schemas.openxmlformats.org/drawingml/2006/main" xmlns:pic="http://schemas.openxmlformats.org/drawingml/2006/picture">
            <wp:extent cx="5472000" cy="4812123"/>
            <wp:docPr id="39" name="Picture 39"/>
            <wp:cNvGraphicFramePr>
              <a:graphicFrameLocks noChangeAspect="1"/>
            </wp:cNvGraphicFramePr>
            <a:graphic>
              <a:graphicData uri="http://schemas.openxmlformats.org/drawingml/2006/picture">
                <pic:pic>
                  <pic:nvPicPr>
                    <pic:cNvPr id="0" name="E20.png"/>
                    <pic:cNvPicPr/>
                  </pic:nvPicPr>
                  <pic:blipFill>
                    <a:blip r:embed="rId42"/>
                    <a:stretch>
                      <a:fillRect/>
                    </a:stretch>
                  </pic:blipFill>
                  <pic:spPr>
                    <a:xfrm>
                      <a:off x="0" y="0"/>
                      <a:ext cx="5472000" cy="4812123"/>
                    </a:xfrm>
                    <a:prstGeom prst="rect"/>
                  </pic:spPr>
                </pic:pic>
              </a:graphicData>
            </a:graphic>
          </wp:inline>
        </w:drawing>
      </w:r>
    </w:p>
    <w:p>
      <w:pPr>
        <w:spacing w:after="200"/>
        <w:jc w:val="center"/>
      </w:pPr>
      <w:r>
        <w:rPr>
          <w:rFonts w:ascii="Times New Roman" w:hAnsi="Times New Roman" w:eastAsia="宋体"/>
          <w:b w:val="0"/>
          <w:color w:val="64748B"/>
          <w:sz w:val="18"/>
        </w:rPr>
        <w:t>图 E20  同类展会能力相对画像</w:t>
      </w:r>
    </w:p>
    <w:p>
      <w:pPr>
        <w:pStyle w:val="Heading2"/>
        <w:spacing w:before="360" w:after="160"/>
      </w:pPr>
      <w:r>
        <w:rPr>
          <w:rFonts w:ascii="Times New Roman" w:hAnsi="Times New Roman" w:eastAsia="黑体"/>
          <w:b/>
          <w:color w:val="1E40AF"/>
          <w:sz w:val="30"/>
        </w:rPr>
        <w:t>国际化能力对比</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国际化能力对比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国际化能力对比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因此，国际化能力对比的升级重点不是另起炉灶，而是在已有 9 万平方米展览规模、912 家参展企业、11.2 万专业观众、66.2 亿元累计意向成交和 23 万线上观展人次的基础上，把规模流量转化为产业链协同效率。</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国际化能力对比不能只停留在单一活动或单点改进上，而应嵌入展前、展中、展后完整链条。展前要完成需求识别和资源匹配，展中要提升交流效率和现场体验，展后要沉淀线索、跟踪合作并形成下一届优化依据。</w:t>
      </w:r>
    </w:p>
    <w:p>
      <w:pPr>
        <w:pStyle w:val="Heading2"/>
        <w:spacing w:before="360" w:after="160"/>
      </w:pPr>
      <w:r>
        <w:rPr>
          <w:rFonts w:ascii="Times New Roman" w:hAnsi="Times New Roman" w:eastAsia="黑体"/>
          <w:b/>
          <w:color w:val="1E40AF"/>
          <w:sz w:val="30"/>
        </w:rPr>
        <w:t>专业观众组织对比</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专业观众组织对比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专业观众组织对比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因此，专业观众组织对比的升级重点不是另起炉灶，而是在已有 9 万平方米展览规模、912 家参展企业、11.2 万专业观众、66.2 亿元累计意向成交和 23 万线上观展人次的基础上，把规模流量转化为产业链协同效率。</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专业观众组织对比不能只停留在单一活动或单点改进上，而应嵌入展前、展中、展后完整链条。展前要完成需求识别和资源匹配，展中要提升交流效率和现场体验，展后要沉淀线索、跟踪合作并形成下一届优化依据。</w:t>
      </w:r>
    </w:p>
    <w:p>
      <w:pPr>
        <w:pStyle w:val="Heading2"/>
        <w:spacing w:before="360" w:after="160"/>
      </w:pPr>
      <w:r>
        <w:rPr>
          <w:rFonts w:ascii="Times New Roman" w:hAnsi="Times New Roman" w:eastAsia="黑体"/>
          <w:b/>
          <w:color w:val="1E40AF"/>
          <w:sz w:val="30"/>
        </w:rPr>
        <w:t>数字服务能力对比</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数字服务能力对比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数字服务能力对比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因此，数字服务能力对比的升级重点不是另起炉灶，而是在已有 9 万平方米展览规模、912 家参展企业、11.2 万专业观众、66.2 亿元累计意向成交和 23 万线上观展人次的基础上，把规模流量转化为产业链协同效率。</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数字服务能力对比不能只停留在单一活动或单点改进上，而应嵌入展前、展中、展后完整链条。展前要完成需求识别和资源匹配，展中要提升交流效率和现场体验，展后要沉淀线索、跟踪合作并形成下一届优化依据。</w:t>
      </w:r>
    </w:p>
    <w:p>
      <w:pPr>
        <w:pStyle w:val="Heading2"/>
        <w:spacing w:before="360" w:after="160"/>
      </w:pPr>
      <w:r>
        <w:rPr>
          <w:rFonts w:ascii="Times New Roman" w:hAnsi="Times New Roman" w:eastAsia="黑体"/>
          <w:b/>
          <w:color w:val="1E40AF"/>
          <w:sz w:val="30"/>
        </w:rPr>
        <w:t>城市联动能力对比</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城市联动能力对比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城市联动能力对比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因此，城市联动能力对比的升级重点不是另起炉灶，而是在已有 9 万平方米展览规模、912 家参展企业、11.2 万专业观众、66.2 亿元累计意向成交和 23 万线上观展人次的基础上，把规模流量转化为产业链协同效率。</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城市联动能力对比不能只停留在单一活动或单点改进上，而应嵌入展前、展中、展后完整链条。展前要完成需求识别和资源匹配，展中要提升交流效率和现场体验，展后要沉淀线索、跟踪合作并形成下一届优化依据。</w:t>
      </w:r>
    </w:p>
    <w:p>
      <w:pPr>
        <w:pStyle w:val="Heading2"/>
        <w:spacing w:before="360" w:after="160"/>
      </w:pPr>
      <w:r>
        <w:rPr>
          <w:rFonts w:ascii="Times New Roman" w:hAnsi="Times New Roman" w:eastAsia="黑体"/>
          <w:b/>
          <w:color w:val="1E40AF"/>
          <w:sz w:val="30"/>
        </w:rPr>
        <w:t>品牌传播能力对比</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品牌传播能力对比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品牌传播能力对比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因此，品牌传播能力对比的升级重点不是另起炉灶，而是在已有 9 万平方米展览规模、912 家参展企业、11.2 万专业观众、66.2 亿元累计意向成交和 23 万线上观展人次的基础上，把规模流量转化为产业链协同效率。</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品牌传播能力对比不能只停留在单一活动或单点改进上，而应嵌入展前、展中、展后完整链条。展前要完成需求识别和资源匹配，展中要提升交流效率和现场体验，展后要沉淀线索、跟踪合作并形成下一届优化依据。</w:t>
      </w:r>
    </w:p>
    <w:p>
      <w:pPr>
        <w:pStyle w:val="Heading1"/>
        <w:spacing w:before="360" w:after="160"/>
        <w:jc w:val="center"/>
      </w:pPr>
      <w:r>
        <w:rPr>
          <w:rFonts w:ascii="Times New Roman" w:hAnsi="Times New Roman" w:eastAsia="黑体"/>
          <w:b/>
          <w:color w:val="0F1F4F"/>
          <w:sz w:val="40"/>
        </w:rPr>
        <w:t>第七部分  运营指标体系与治理机制</w:t>
      </w:r>
    </w:p>
    <w:p>
      <w:pPr>
        <w:spacing w:line="348" w:lineRule="auto" w:before="0" w:after="80"/>
        <w:ind w:firstLine="420"/>
      </w:pPr>
      <w:r>
        <w:rPr>
          <w:rFonts w:ascii="Times New Roman" w:hAnsi="Times New Roman" w:eastAsia="宋体"/>
          <w:b w:val="0"/>
          <w:color w:val="0F172A"/>
          <w:sz w:val="24"/>
        </w:rPr>
        <w:t>公开版报告将展会运营指标扩展为规模、观众、展商、交易、数字、服务、传播和城市八类指标。该指标体系用于把展会从一次性活动管理转向持续性平台治理。</w:t>
      </w:r>
    </w:p>
    <w:p>
      <w:pPr>
        <w:spacing w:before="160" w:after="40"/>
        <w:jc w:val="center"/>
      </w:pPr>
      <w:r>
        <w:drawing>
          <wp:inline xmlns:a="http://schemas.openxmlformats.org/drawingml/2006/main" xmlns:pic="http://schemas.openxmlformats.org/drawingml/2006/picture">
            <wp:extent cx="5472000" cy="3370947"/>
            <wp:docPr id="40" name="Picture 40"/>
            <wp:cNvGraphicFramePr>
              <a:graphicFrameLocks noChangeAspect="1"/>
            </wp:cNvGraphicFramePr>
            <a:graphic>
              <a:graphicData uri="http://schemas.openxmlformats.org/drawingml/2006/picture">
                <pic:pic>
                  <pic:nvPicPr>
                    <pic:cNvPr id="0" name="E15.png"/>
                    <pic:cNvPicPr/>
                  </pic:nvPicPr>
                  <pic:blipFill>
                    <a:blip r:embed="rId43"/>
                    <a:stretch>
                      <a:fillRect/>
                    </a:stretch>
                  </pic:blipFill>
                  <pic:spPr>
                    <a:xfrm>
                      <a:off x="0" y="0"/>
                      <a:ext cx="5472000" cy="3370947"/>
                    </a:xfrm>
                    <a:prstGeom prst="rect"/>
                  </pic:spPr>
                </pic:pic>
              </a:graphicData>
            </a:graphic>
          </wp:inline>
        </w:drawing>
      </w:r>
    </w:p>
    <w:p>
      <w:pPr>
        <w:spacing w:after="200"/>
        <w:jc w:val="center"/>
      </w:pPr>
      <w:r>
        <w:rPr>
          <w:rFonts w:ascii="Times New Roman" w:hAnsi="Times New Roman" w:eastAsia="宋体"/>
          <w:b w:val="0"/>
          <w:color w:val="64748B"/>
          <w:sz w:val="18"/>
        </w:rPr>
        <w:t>图 E15  运营指标库分布</w:t>
      </w:r>
    </w:p>
    <w:tbl>
      <w:tblPr>
        <w:tblStyle w:val="TableGrid"/>
        <w:tblW w:type="auto" w:w="0"/>
        <w:jc w:val="center"/>
        <w:tblLayout w:type="autofit"/>
        <w:tblLook w:firstColumn="1" w:firstRow="1" w:lastColumn="0" w:lastRow="0" w:noHBand="0" w:noVBand="1" w:val="04A0"/>
      </w:tblPr>
      <w:tblGrid>
        <w:gridCol w:w="2282"/>
        <w:gridCol w:w="2282"/>
        <w:gridCol w:w="2282"/>
        <w:gridCol w:w="2282"/>
      </w:tblGrid>
      <w:tr>
        <w:tc>
          <w:tcPr>
            <w:tcW w:type="dxa" w:w="1587"/>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指标类别</w:t>
            </w:r>
          </w:p>
        </w:tc>
        <w:tc>
          <w:tcPr>
            <w:tcW w:type="dxa" w:w="3061"/>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关键指标</w:t>
            </w:r>
          </w:p>
        </w:tc>
        <w:tc>
          <w:tcPr>
            <w:tcW w:type="dxa" w:w="1984"/>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数据来源</w:t>
            </w:r>
          </w:p>
        </w:tc>
        <w:tc>
          <w:tcPr>
            <w:tcW w:type="dxa" w:w="2324"/>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使用场景</w:t>
            </w:r>
          </w:p>
        </w:tc>
      </w:tr>
      <w:tr>
        <w:tc>
          <w:tcPr>
            <w:tcW w:type="dxa" w:w="1587"/>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规模指标</w:t>
            </w:r>
          </w:p>
        </w:tc>
        <w:tc>
          <w:tcPr>
            <w:tcW w:type="dxa" w:w="306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面积、展位、展区、参展企业、活动数量</w:t>
            </w:r>
          </w:p>
        </w:tc>
        <w:tc>
          <w:tcPr>
            <w:tcW w:type="dxa" w:w="198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官方公开数据</w:t>
            </w:r>
          </w:p>
        </w:tc>
        <w:tc>
          <w:tcPr>
            <w:tcW w:type="dxa" w:w="232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判断展会基础能级</w:t>
            </w:r>
          </w:p>
        </w:tc>
      </w:tr>
      <w:tr>
        <w:tc>
          <w:tcPr>
            <w:tcW w:type="dxa" w:w="1587"/>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观众指标</w:t>
            </w:r>
          </w:p>
        </w:tc>
        <w:tc>
          <w:tcPr>
            <w:tcW w:type="dxa" w:w="306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总观众、专业观众、采购商、观众来源地、画像完整率</w:t>
            </w:r>
          </w:p>
        </w:tc>
        <w:tc>
          <w:tcPr>
            <w:tcW w:type="dxa" w:w="198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注册系统与公开数据</w:t>
            </w:r>
          </w:p>
        </w:tc>
        <w:tc>
          <w:tcPr>
            <w:tcW w:type="dxa" w:w="232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判断观众质量</w:t>
            </w:r>
          </w:p>
        </w:tc>
      </w:tr>
      <w:tr>
        <w:tc>
          <w:tcPr>
            <w:tcW w:type="dxa" w:w="1587"/>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展商指标</w:t>
            </w:r>
          </w:p>
        </w:tc>
        <w:tc>
          <w:tcPr>
            <w:tcW w:type="dxa" w:w="306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展商数量、复展率、展位配置、龙头企业比例、国际展商比例</w:t>
            </w:r>
          </w:p>
        </w:tc>
        <w:tc>
          <w:tcPr>
            <w:tcW w:type="dxa" w:w="198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招商系统</w:t>
            </w:r>
          </w:p>
        </w:tc>
        <w:tc>
          <w:tcPr>
            <w:tcW w:type="dxa" w:w="232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判断招商质量</w:t>
            </w:r>
          </w:p>
        </w:tc>
      </w:tr>
      <w:tr>
        <w:tc>
          <w:tcPr>
            <w:tcW w:type="dxa" w:w="1587"/>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交易指标</w:t>
            </w:r>
          </w:p>
        </w:tc>
        <w:tc>
          <w:tcPr>
            <w:tcW w:type="dxa" w:w="306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意向成交、采购对接、有效线索、成交跟踪、国际采购金额</w:t>
            </w:r>
          </w:p>
        </w:tc>
        <w:tc>
          <w:tcPr>
            <w:tcW w:type="dxa" w:w="198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活动统计和回访</w:t>
            </w:r>
          </w:p>
        </w:tc>
        <w:tc>
          <w:tcPr>
            <w:tcW w:type="dxa" w:w="232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判断经贸转化</w:t>
            </w:r>
          </w:p>
        </w:tc>
      </w:tr>
      <w:tr>
        <w:tc>
          <w:tcPr>
            <w:tcW w:type="dxa" w:w="1587"/>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数字指标</w:t>
            </w:r>
          </w:p>
        </w:tc>
        <w:tc>
          <w:tcPr>
            <w:tcW w:type="dxa" w:w="306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云展企业、线上观展、预约洽谈、电子名片、线索回访</w:t>
            </w:r>
          </w:p>
        </w:tc>
        <w:tc>
          <w:tcPr>
            <w:tcW w:type="dxa" w:w="198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数字平台</w:t>
            </w:r>
          </w:p>
        </w:tc>
        <w:tc>
          <w:tcPr>
            <w:tcW w:type="dxa" w:w="232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判断数字闭环</w:t>
            </w:r>
          </w:p>
        </w:tc>
      </w:tr>
      <w:tr>
        <w:tc>
          <w:tcPr>
            <w:tcW w:type="dxa" w:w="1587"/>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服务指标</w:t>
            </w:r>
          </w:p>
        </w:tc>
        <w:tc>
          <w:tcPr>
            <w:tcW w:type="dxa" w:w="306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入场效率、导览满意度、洽谈区使用率、投诉响应</w:t>
            </w:r>
          </w:p>
        </w:tc>
        <w:tc>
          <w:tcPr>
            <w:tcW w:type="dxa" w:w="198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现场观察和问卷</w:t>
            </w:r>
          </w:p>
        </w:tc>
        <w:tc>
          <w:tcPr>
            <w:tcW w:type="dxa" w:w="232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判断现场体验</w:t>
            </w:r>
          </w:p>
        </w:tc>
      </w:tr>
      <w:tr>
        <w:tc>
          <w:tcPr>
            <w:tcW w:type="dxa" w:w="1587"/>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传播指标</w:t>
            </w:r>
          </w:p>
        </w:tc>
        <w:tc>
          <w:tcPr>
            <w:tcW w:type="dxa" w:w="306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媒体报道、短视频传播、社群触达、搜索热度</w:t>
            </w:r>
          </w:p>
        </w:tc>
        <w:tc>
          <w:tcPr>
            <w:tcW w:type="dxa" w:w="198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传播后台</w:t>
            </w:r>
          </w:p>
        </w:tc>
        <w:tc>
          <w:tcPr>
            <w:tcW w:type="dxa" w:w="232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判断品牌扩散</w:t>
            </w:r>
          </w:p>
        </w:tc>
      </w:tr>
      <w:tr>
        <w:tc>
          <w:tcPr>
            <w:tcW w:type="dxa" w:w="1587"/>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城市指标</w:t>
            </w:r>
          </w:p>
        </w:tc>
        <w:tc>
          <w:tcPr>
            <w:tcW w:type="dxa" w:w="306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酒店、交通、餐饮、文旅联动、工业研学参与</w:t>
            </w:r>
          </w:p>
        </w:tc>
        <w:tc>
          <w:tcPr>
            <w:tcW w:type="dxa" w:w="198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城市服务数据</w:t>
            </w:r>
          </w:p>
        </w:tc>
        <w:tc>
          <w:tcPr>
            <w:tcW w:type="dxa" w:w="232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判断城市带动</w:t>
            </w:r>
          </w:p>
        </w:tc>
      </w:tr>
    </w:tbl>
    <w:p/>
    <w:p>
      <w:pPr>
        <w:pStyle w:val="Heading2"/>
        <w:spacing w:before="360" w:after="160"/>
      </w:pPr>
      <w:r>
        <w:rPr>
          <w:rFonts w:ascii="Times New Roman" w:hAnsi="Times New Roman" w:eastAsia="黑体"/>
          <w:b/>
          <w:color w:val="1E40AF"/>
          <w:sz w:val="30"/>
        </w:rPr>
        <w:t>指标采集机制</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指标采集机制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指标采集机制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因此，指标采集机制的升级重点不是另起炉灶，而是在已有 9 万平方米展览规模、912 家参展企业、11.2 万专业观众、66.2 亿元累计意向成交和 23 万线上观展人次的基础上，把规模流量转化为产业链协同效率。</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指标采集机制不能只停留在单一活动或单点改进上，而应嵌入展前、展中、展后完整链条。展前要完成需求识别和资源匹配，展中要提升交流效率和现场体验，展后要沉淀线索、跟踪合作并形成下一届优化依据。</w:t>
      </w:r>
    </w:p>
    <w:p>
      <w:pPr>
        <w:pStyle w:val="Heading2"/>
        <w:spacing w:before="360" w:after="160"/>
      </w:pPr>
      <w:r>
        <w:rPr>
          <w:rFonts w:ascii="Times New Roman" w:hAnsi="Times New Roman" w:eastAsia="黑体"/>
          <w:b/>
          <w:color w:val="1E40AF"/>
          <w:sz w:val="30"/>
        </w:rPr>
        <w:t>展商效果报告</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展商效果报告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展商效果报告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因此，展商效果报告的升级重点不是另起炉灶，而是在已有 9 万平方米展览规模、912 家参展企业、11.2 万专业观众、66.2 亿元累计意向成交和 23 万线上观展人次的基础上，把规模流量转化为产业链协同效率。</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展商效果报告不能只停留在单一活动或单点改进上，而应嵌入展前、展中、展后完整链条。展前要完成需求识别和资源匹配，展中要提升交流效率和现场体验，展后要沉淀线索、跟踪合作并形成下一届优化依据。</w:t>
      </w:r>
    </w:p>
    <w:p>
      <w:pPr>
        <w:pStyle w:val="Heading2"/>
        <w:spacing w:before="360" w:after="160"/>
      </w:pPr>
      <w:r>
        <w:rPr>
          <w:rFonts w:ascii="Times New Roman" w:hAnsi="Times New Roman" w:eastAsia="黑体"/>
          <w:b/>
          <w:color w:val="1E40AF"/>
          <w:sz w:val="30"/>
        </w:rPr>
        <w:t>专业观众画像</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专业观众画像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专业观众画像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因此，专业观众画像的升级重点不是另起炉灶，而是在已有 9 万平方米展览规模、912 家参展企业、11.2 万专业观众、66.2 亿元累计意向成交和 23 万线上观展人次的基础上，把规模流量转化为产业链协同效率。</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专业观众画像不能只停留在单一活动或单点改进上，而应嵌入展前、展中、展后完整链条。展前要完成需求识别和资源匹配，展中要提升交流效率和现场体验，展后要沉淀线索、跟踪合作并形成下一届优化依据。</w:t>
      </w:r>
    </w:p>
    <w:p>
      <w:pPr>
        <w:pStyle w:val="Heading2"/>
        <w:spacing w:before="360" w:after="160"/>
      </w:pPr>
      <w:r>
        <w:rPr>
          <w:rFonts w:ascii="Times New Roman" w:hAnsi="Times New Roman" w:eastAsia="黑体"/>
          <w:b/>
          <w:color w:val="1E40AF"/>
          <w:sz w:val="30"/>
        </w:rPr>
        <w:t>展后跟踪台账</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展后跟踪台账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展后跟踪台账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因此，展后跟踪台账的升级重点不是另起炉灶，而是在已有 9 万平方米展览规模、912 家参展企业、11.2 万专业观众、66.2 亿元累计意向成交和 23 万线上观展人次的基础上，把规模流量转化为产业链协同效率。</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展后跟踪台账不能只停留在单一活动或单点改进上，而应嵌入展前、展中、展后完整链条。展前要完成需求识别和资源匹配，展中要提升交流效率和现场体验，展后要沉淀线索、跟踪合作并形成下一届优化依据。</w:t>
      </w:r>
    </w:p>
    <w:p>
      <w:pPr>
        <w:pStyle w:val="Heading2"/>
        <w:spacing w:before="360" w:after="160"/>
      </w:pPr>
      <w:r>
        <w:rPr>
          <w:rFonts w:ascii="Times New Roman" w:hAnsi="Times New Roman" w:eastAsia="黑体"/>
          <w:b/>
          <w:color w:val="1E40AF"/>
          <w:sz w:val="30"/>
        </w:rPr>
        <w:t>风险治理机制</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风险治理机制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风险治理机制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因此，风险治理机制的升级重点不是另起炉灶，而是在已有 9 万平方米展览规模、912 家参展企业、11.2 万专业观众、66.2 亿元累计意向成交和 23 万线上观展人次的基础上，把规模流量转化为产业链协同效率。</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风险治理机制不能只停留在单一活动或单点改进上，而应嵌入展前、展中、展后完整链条。展前要完成需求识别和资源匹配，展中要提升交流效率和现场体验，展后要沉淀线索、跟踪合作并形成下一届优化依据。</w:t>
      </w:r>
    </w:p>
    <w:p>
      <w:pPr>
        <w:spacing w:before="160" w:after="40"/>
        <w:jc w:val="center"/>
      </w:pPr>
      <w:r>
        <w:drawing>
          <wp:inline xmlns:a="http://schemas.openxmlformats.org/drawingml/2006/main" xmlns:pic="http://schemas.openxmlformats.org/drawingml/2006/picture">
            <wp:extent cx="5472000" cy="5891358"/>
            <wp:docPr id="41" name="Picture 41"/>
            <wp:cNvGraphicFramePr>
              <a:graphicFrameLocks noChangeAspect="1"/>
            </wp:cNvGraphicFramePr>
            <a:graphic>
              <a:graphicData uri="http://schemas.openxmlformats.org/drawingml/2006/picture">
                <pic:pic>
                  <pic:nvPicPr>
                    <pic:cNvPr id="0" name="E16.png"/>
                    <pic:cNvPicPr/>
                  </pic:nvPicPr>
                  <pic:blipFill>
                    <a:blip r:embed="rId44"/>
                    <a:stretch>
                      <a:fillRect/>
                    </a:stretch>
                  </pic:blipFill>
                  <pic:spPr>
                    <a:xfrm>
                      <a:off x="0" y="0"/>
                      <a:ext cx="5472000" cy="5891358"/>
                    </a:xfrm>
                    <a:prstGeom prst="rect"/>
                  </pic:spPr>
                </pic:pic>
              </a:graphicData>
            </a:graphic>
          </wp:inline>
        </w:drawing>
      </w:r>
    </w:p>
    <w:p>
      <w:pPr>
        <w:spacing w:after="200"/>
        <w:jc w:val="center"/>
      </w:pPr>
      <w:r>
        <w:rPr>
          <w:rFonts w:ascii="Times New Roman" w:hAnsi="Times New Roman" w:eastAsia="宋体"/>
          <w:b w:val="0"/>
          <w:color w:val="64748B"/>
          <w:sz w:val="18"/>
        </w:rPr>
        <w:t>图 E16  风险等级矩阵</w:t>
      </w:r>
    </w:p>
    <w:p>
      <w:pPr>
        <w:spacing w:before="160" w:after="40"/>
        <w:jc w:val="center"/>
      </w:pPr>
      <w:r>
        <w:drawing>
          <wp:inline xmlns:a="http://schemas.openxmlformats.org/drawingml/2006/main" xmlns:pic="http://schemas.openxmlformats.org/drawingml/2006/picture">
            <wp:extent cx="5472000" cy="3370947"/>
            <wp:docPr id="42" name="Picture 42"/>
            <wp:cNvGraphicFramePr>
              <a:graphicFrameLocks noChangeAspect="1"/>
            </wp:cNvGraphicFramePr>
            <a:graphic>
              <a:graphicData uri="http://schemas.openxmlformats.org/drawingml/2006/picture">
                <pic:pic>
                  <pic:nvPicPr>
                    <pic:cNvPr id="0" name="E21.png"/>
                    <pic:cNvPicPr/>
                  </pic:nvPicPr>
                  <pic:blipFill>
                    <a:blip r:embed="rId45"/>
                    <a:stretch>
                      <a:fillRect/>
                    </a:stretch>
                  </pic:blipFill>
                  <pic:spPr>
                    <a:xfrm>
                      <a:off x="0" y="0"/>
                      <a:ext cx="5472000" cy="3370947"/>
                    </a:xfrm>
                    <a:prstGeom prst="rect"/>
                  </pic:spPr>
                </pic:pic>
              </a:graphicData>
            </a:graphic>
          </wp:inline>
        </w:drawing>
      </w:r>
    </w:p>
    <w:p>
      <w:pPr>
        <w:spacing w:after="200"/>
        <w:jc w:val="center"/>
      </w:pPr>
      <w:r>
        <w:rPr>
          <w:rFonts w:ascii="Times New Roman" w:hAnsi="Times New Roman" w:eastAsia="宋体"/>
          <w:b w:val="0"/>
          <w:color w:val="64748B"/>
          <w:sz w:val="18"/>
        </w:rPr>
        <w:t>图 E21  展后跟踪台账字段设计</w:t>
      </w:r>
    </w:p>
    <w:p>
      <w:pPr>
        <w:pStyle w:val="Heading1"/>
        <w:spacing w:before="360" w:after="160"/>
        <w:jc w:val="center"/>
      </w:pPr>
      <w:r>
        <w:rPr>
          <w:rFonts w:ascii="Times New Roman" w:hAnsi="Times New Roman" w:eastAsia="黑体"/>
          <w:b/>
          <w:color w:val="0F1F4F"/>
          <w:sz w:val="40"/>
        </w:rPr>
        <w:t>第八部分  三届升级路线与年度传播节奏</w:t>
      </w:r>
    </w:p>
    <w:p>
      <w:pPr>
        <w:spacing w:line="348" w:lineRule="auto" w:before="0" w:after="80"/>
        <w:ind w:firstLine="420"/>
      </w:pPr>
      <w:r>
        <w:rPr>
          <w:rFonts w:ascii="Times New Roman" w:hAnsi="Times New Roman" w:eastAsia="宋体"/>
          <w:b w:val="0"/>
          <w:color w:val="0F172A"/>
          <w:sz w:val="24"/>
        </w:rPr>
        <w:t>中国制博会的平台升级不宜一次性堆叠功能，而应以三届为周期，分阶段推进定位升级、专业观众组织、数字闭环、国际采购、展后转化和城市联动。</w:t>
      </w:r>
    </w:p>
    <w:p>
      <w:pPr>
        <w:spacing w:before="160" w:after="40"/>
        <w:jc w:val="center"/>
      </w:pPr>
      <w:r>
        <w:drawing>
          <wp:inline xmlns:a="http://schemas.openxmlformats.org/drawingml/2006/main" xmlns:pic="http://schemas.openxmlformats.org/drawingml/2006/picture">
            <wp:extent cx="5472000" cy="3484243"/>
            <wp:docPr id="43" name="Picture 43"/>
            <wp:cNvGraphicFramePr>
              <a:graphicFrameLocks noChangeAspect="1"/>
            </wp:cNvGraphicFramePr>
            <a:graphic>
              <a:graphicData uri="http://schemas.openxmlformats.org/drawingml/2006/picture">
                <pic:pic>
                  <pic:nvPicPr>
                    <pic:cNvPr id="0" name="E17.png"/>
                    <pic:cNvPicPr/>
                  </pic:nvPicPr>
                  <pic:blipFill>
                    <a:blip r:embed="rId46"/>
                    <a:stretch>
                      <a:fillRect/>
                    </a:stretch>
                  </pic:blipFill>
                  <pic:spPr>
                    <a:xfrm>
                      <a:off x="0" y="0"/>
                      <a:ext cx="5472000" cy="3484243"/>
                    </a:xfrm>
                    <a:prstGeom prst="rect"/>
                  </pic:spPr>
                </pic:pic>
              </a:graphicData>
            </a:graphic>
          </wp:inline>
        </w:drawing>
      </w:r>
    </w:p>
    <w:p>
      <w:pPr>
        <w:spacing w:after="200"/>
        <w:jc w:val="center"/>
      </w:pPr>
      <w:r>
        <w:rPr>
          <w:rFonts w:ascii="Times New Roman" w:hAnsi="Times New Roman" w:eastAsia="宋体"/>
          <w:b w:val="0"/>
          <w:color w:val="64748B"/>
          <w:sz w:val="18"/>
        </w:rPr>
        <w:t>图 E17  三届平台能力成熟度目标</w:t>
      </w:r>
    </w:p>
    <w:p>
      <w:pPr>
        <w:spacing w:before="160" w:after="40"/>
        <w:jc w:val="center"/>
      </w:pPr>
      <w:r>
        <w:drawing>
          <wp:inline xmlns:a="http://schemas.openxmlformats.org/drawingml/2006/main" xmlns:pic="http://schemas.openxmlformats.org/drawingml/2006/picture">
            <wp:extent cx="5472000" cy="3524814"/>
            <wp:docPr id="44" name="Picture 44"/>
            <wp:cNvGraphicFramePr>
              <a:graphicFrameLocks noChangeAspect="1"/>
            </wp:cNvGraphicFramePr>
            <a:graphic>
              <a:graphicData uri="http://schemas.openxmlformats.org/drawingml/2006/picture">
                <pic:pic>
                  <pic:nvPicPr>
                    <pic:cNvPr id="0" name="E22.png"/>
                    <pic:cNvPicPr/>
                  </pic:nvPicPr>
                  <pic:blipFill>
                    <a:blip r:embed="rId47"/>
                    <a:stretch>
                      <a:fillRect/>
                    </a:stretch>
                  </pic:blipFill>
                  <pic:spPr>
                    <a:xfrm>
                      <a:off x="0" y="0"/>
                      <a:ext cx="5472000" cy="3524814"/>
                    </a:xfrm>
                    <a:prstGeom prst="rect"/>
                  </pic:spPr>
                </pic:pic>
              </a:graphicData>
            </a:graphic>
          </wp:inline>
        </w:drawing>
      </w:r>
    </w:p>
    <w:p>
      <w:pPr>
        <w:spacing w:after="200"/>
        <w:jc w:val="center"/>
      </w:pPr>
      <w:r>
        <w:rPr>
          <w:rFonts w:ascii="Times New Roman" w:hAnsi="Times New Roman" w:eastAsia="宋体"/>
          <w:b w:val="0"/>
          <w:color w:val="64748B"/>
          <w:sz w:val="18"/>
        </w:rPr>
        <w:t>图 E22  年度传播节奏设计</w:t>
      </w:r>
    </w:p>
    <w:p>
      <w:pPr>
        <w:spacing w:before="160" w:after="40"/>
        <w:jc w:val="center"/>
      </w:pPr>
      <w:r>
        <w:drawing>
          <wp:inline xmlns:a="http://schemas.openxmlformats.org/drawingml/2006/main" xmlns:pic="http://schemas.openxmlformats.org/drawingml/2006/picture">
            <wp:extent cx="5472000" cy="4160348"/>
            <wp:docPr id="45" name="Picture 45"/>
            <wp:cNvGraphicFramePr>
              <a:graphicFrameLocks noChangeAspect="1"/>
            </wp:cNvGraphicFramePr>
            <a:graphic>
              <a:graphicData uri="http://schemas.openxmlformats.org/drawingml/2006/picture">
                <pic:pic>
                  <pic:nvPicPr>
                    <pic:cNvPr id="0" name="E23.png"/>
                    <pic:cNvPicPr/>
                  </pic:nvPicPr>
                  <pic:blipFill>
                    <a:blip r:embed="rId48"/>
                    <a:stretch>
                      <a:fillRect/>
                    </a:stretch>
                  </pic:blipFill>
                  <pic:spPr>
                    <a:xfrm>
                      <a:off x="0" y="0"/>
                      <a:ext cx="5472000" cy="4160348"/>
                    </a:xfrm>
                    <a:prstGeom prst="rect"/>
                  </pic:spPr>
                </pic:pic>
              </a:graphicData>
            </a:graphic>
          </wp:inline>
        </w:drawing>
      </w:r>
    </w:p>
    <w:p>
      <w:pPr>
        <w:spacing w:after="200"/>
        <w:jc w:val="center"/>
      </w:pPr>
      <w:r>
        <w:rPr>
          <w:rFonts w:ascii="Times New Roman" w:hAnsi="Times New Roman" w:eastAsia="宋体"/>
          <w:b w:val="0"/>
          <w:color w:val="64748B"/>
          <w:sz w:val="18"/>
        </w:rPr>
        <w:t>图 E23  展后线索运营闭环</w:t>
      </w:r>
    </w:p>
    <w:p>
      <w:pPr>
        <w:spacing w:before="160" w:after="40"/>
        <w:jc w:val="center"/>
      </w:pPr>
      <w:r>
        <w:drawing>
          <wp:inline xmlns:a="http://schemas.openxmlformats.org/drawingml/2006/main" xmlns:pic="http://schemas.openxmlformats.org/drawingml/2006/picture">
            <wp:extent cx="5472000" cy="5891358"/>
            <wp:docPr id="46" name="Picture 46"/>
            <wp:cNvGraphicFramePr>
              <a:graphicFrameLocks noChangeAspect="1"/>
            </wp:cNvGraphicFramePr>
            <a:graphic>
              <a:graphicData uri="http://schemas.openxmlformats.org/drawingml/2006/picture">
                <pic:pic>
                  <pic:nvPicPr>
                    <pic:cNvPr id="0" name="E24.png"/>
                    <pic:cNvPicPr/>
                  </pic:nvPicPr>
                  <pic:blipFill>
                    <a:blip r:embed="rId49"/>
                    <a:stretch>
                      <a:fillRect/>
                    </a:stretch>
                  </pic:blipFill>
                  <pic:spPr>
                    <a:xfrm>
                      <a:off x="0" y="0"/>
                      <a:ext cx="5472000" cy="5891358"/>
                    </a:xfrm>
                    <a:prstGeom prst="rect"/>
                  </pic:spPr>
                </pic:pic>
              </a:graphicData>
            </a:graphic>
          </wp:inline>
        </w:drawing>
      </w:r>
    </w:p>
    <w:p>
      <w:pPr>
        <w:spacing w:after="200"/>
        <w:jc w:val="center"/>
      </w:pPr>
      <w:r>
        <w:rPr>
          <w:rFonts w:ascii="Times New Roman" w:hAnsi="Times New Roman" w:eastAsia="宋体"/>
          <w:b w:val="0"/>
          <w:color w:val="64748B"/>
          <w:sz w:val="18"/>
        </w:rPr>
        <w:t>图 E24  城市资源联动矩阵</w:t>
      </w:r>
    </w:p>
    <w:tbl>
      <w:tblPr>
        <w:tblStyle w:val="TableGrid"/>
        <w:tblW w:type="auto" w:w="0"/>
        <w:jc w:val="center"/>
        <w:tblLayout w:type="autofit"/>
        <w:tblLook w:firstColumn="1" w:firstRow="1" w:lastColumn="0" w:lastRow="0" w:noHBand="0" w:noVBand="1" w:val="04A0"/>
      </w:tblPr>
      <w:tblGrid>
        <w:gridCol w:w="2282"/>
        <w:gridCol w:w="2282"/>
        <w:gridCol w:w="2282"/>
        <w:gridCol w:w="2282"/>
      </w:tblGrid>
      <w:tr>
        <w:tc>
          <w:tcPr>
            <w:tcW w:type="dxa" w:w="1361"/>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届次</w:t>
            </w:r>
          </w:p>
        </w:tc>
        <w:tc>
          <w:tcPr>
            <w:tcW w:type="dxa" w:w="1928"/>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升级主题</w:t>
            </w:r>
          </w:p>
        </w:tc>
        <w:tc>
          <w:tcPr>
            <w:tcW w:type="dxa" w:w="3969"/>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重点任务</w:t>
            </w:r>
          </w:p>
        </w:tc>
        <w:tc>
          <w:tcPr>
            <w:tcW w:type="dxa" w:w="2268"/>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标志性成果</w:t>
            </w:r>
          </w:p>
        </w:tc>
      </w:tr>
      <w:tr>
        <w:tc>
          <w:tcPr>
            <w:tcW w:type="dxa" w:w="136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2026</w:t>
            </w:r>
          </w:p>
        </w:tc>
        <w:tc>
          <w:tcPr>
            <w:tcW w:type="dxa" w:w="192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定位清晰化</w:t>
            </w:r>
          </w:p>
        </w:tc>
        <w:tc>
          <w:tcPr>
            <w:tcW w:type="dxa" w:w="3969"/>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统一北方智能制造产业链服务平台表达，建立专业观众画像和重点采购商清单</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形成公开传播口径和观众画像数据库</w:t>
            </w:r>
          </w:p>
        </w:tc>
      </w:tr>
      <w:tr>
        <w:tc>
          <w:tcPr>
            <w:tcW w:type="dxa" w:w="136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2027</w:t>
            </w:r>
          </w:p>
        </w:tc>
        <w:tc>
          <w:tcPr>
            <w:tcW w:type="dxa" w:w="192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服务闭环化</w:t>
            </w:r>
          </w:p>
        </w:tc>
        <w:tc>
          <w:tcPr>
            <w:tcW w:type="dxa" w:w="3969"/>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上线预约洽谈、电子名片、线索台账、展后效果报告和云展线索跟踪</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形成展前、展中、展后闭环</w:t>
            </w:r>
          </w:p>
        </w:tc>
      </w:tr>
      <w:tr>
        <w:tc>
          <w:tcPr>
            <w:tcW w:type="dxa" w:w="136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2028</w:t>
            </w:r>
          </w:p>
        </w:tc>
        <w:tc>
          <w:tcPr>
            <w:tcW w:type="dxa" w:w="192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平台长期化</w:t>
            </w:r>
          </w:p>
        </w:tc>
        <w:tc>
          <w:tcPr>
            <w:tcW w:type="dxa" w:w="3969"/>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建设全年供需对接、国际采购商服务、城市工业文旅联动和产业数据报告</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形成全年运行的产业链服务平台</w:t>
            </w:r>
          </w:p>
        </w:tc>
      </w:tr>
    </w:tbl>
    <w:p/>
    <w:p>
      <w:pPr>
        <w:pStyle w:val="Heading2"/>
        <w:spacing w:before="360" w:after="160"/>
      </w:pPr>
      <w:r>
        <w:rPr>
          <w:rFonts w:ascii="Times New Roman" w:hAnsi="Times New Roman" w:eastAsia="黑体"/>
          <w:b/>
          <w:color w:val="1E40AF"/>
          <w:sz w:val="30"/>
        </w:rPr>
        <w:t>第一届升级重点</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第一届升级重点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第一届升级重点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因此，第一届升级重点的升级重点不是另起炉灶，而是在已有 9 万平方米展览规模、912 家参展企业、11.2 万专业观众、66.2 亿元累计意向成交和 23 万线上观展人次的基础上，把规模流量转化为产业链协同效率。</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第一届升级重点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第一届升级重点还承担展示先进制造业形象、连接产业链上下游、服务东北全面振兴的重要功能。报告将其放入“北方智能制造产业链服务平台”的定位中，是为了把短期办展成效转化为长期产业服务能力。</w:t>
      </w:r>
    </w:p>
    <w:p>
      <w:pPr>
        <w:pStyle w:val="Heading2"/>
        <w:spacing w:before="360" w:after="160"/>
      </w:pPr>
      <w:r>
        <w:rPr>
          <w:rFonts w:ascii="Times New Roman" w:hAnsi="Times New Roman" w:eastAsia="黑体"/>
          <w:b/>
          <w:color w:val="1E40AF"/>
          <w:sz w:val="30"/>
        </w:rPr>
        <w:t>第二届升级重点</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第二届升级重点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第二届升级重点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因此，第二届升级重点的升级重点不是另起炉灶，而是在已有 9 万平方米展览规模、912 家参展企业、11.2 万专业观众、66.2 亿元累计意向成交和 23 万线上观展人次的基础上，把规模流量转化为产业链协同效率。</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第二届升级重点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第二届升级重点还承担展示先进制造业形象、连接产业链上下游、服务东北全面振兴的重要功能。报告将其放入“北方智能制造产业链服务平台”的定位中，是为了把短期办展成效转化为长期产业服务能力。</w:t>
      </w:r>
    </w:p>
    <w:p>
      <w:pPr>
        <w:pStyle w:val="Heading2"/>
        <w:spacing w:before="360" w:after="160"/>
      </w:pPr>
      <w:r>
        <w:rPr>
          <w:rFonts w:ascii="Times New Roman" w:hAnsi="Times New Roman" w:eastAsia="黑体"/>
          <w:b/>
          <w:color w:val="1E40AF"/>
          <w:sz w:val="30"/>
        </w:rPr>
        <w:t>第三届升级重点</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第三届升级重点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第三届升级重点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因此，第三届升级重点的升级重点不是另起炉灶，而是在已有 9 万平方米展览规模、912 家参展企业、11.2 万专业观众、66.2 亿元累计意向成交和 23 万线上观展人次的基础上，把规模流量转化为产业链协同效率。</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第三届升级重点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第三届升级重点还承担展示先进制造业形象、连接产业链上下游、服务东北全面振兴的重要功能。报告将其放入“北方智能制造产业链服务平台”的定位中，是为了把短期办展成效转化为长期产业服务能力。</w:t>
      </w:r>
    </w:p>
    <w:p>
      <w:pPr>
        <w:pStyle w:val="Heading2"/>
        <w:spacing w:before="360" w:after="160"/>
      </w:pPr>
      <w:r>
        <w:rPr>
          <w:rFonts w:ascii="Times New Roman" w:hAnsi="Times New Roman" w:eastAsia="黑体"/>
          <w:b/>
          <w:color w:val="1E40AF"/>
          <w:sz w:val="30"/>
        </w:rPr>
        <w:t>全年传播节奏</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全年传播节奏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全年传播节奏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因此，全年传播节奏的升级重点不是另起炉灶，而是在已有 9 万平方米展览规模、912 家参展企业、11.2 万专业观众、66.2 亿元累计意向成交和 23 万线上观展人次的基础上，把规模流量转化为产业链协同效率。</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全年传播节奏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全年传播节奏还承担展示先进制造业形象、连接产业链上下游、服务东北全面振兴的重要功能。报告将其放入“北方智能制造产业链服务平台”的定位中，是为了把短期办展成效转化为长期产业服务能力。</w:t>
      </w:r>
    </w:p>
    <w:p>
      <w:pPr>
        <w:pStyle w:val="Heading2"/>
        <w:spacing w:before="360" w:after="160"/>
      </w:pPr>
      <w:r>
        <w:rPr>
          <w:rFonts w:ascii="Times New Roman" w:hAnsi="Times New Roman" w:eastAsia="黑体"/>
          <w:b/>
          <w:color w:val="1E40AF"/>
          <w:sz w:val="30"/>
        </w:rPr>
        <w:t>城市资源协同</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城市资源协同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城市资源协同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因此，城市资源协同的升级重点不是另起炉灶，而是在已有 9 万平方米展览规模、912 家参展企业、11.2 万专业观众、66.2 亿元累计意向成交和 23 万线上观展人次的基础上，把规模流量转化为产业链协同效率。</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城市资源协同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城市资源协同还承担展示先进制造业形象、连接产业链上下游、服务东北全面振兴的重要功能。报告将其放入“北方智能制造产业链服务平台”的定位中，是为了把短期办展成效转化为长期产业服务能力。</w:t>
      </w:r>
    </w:p>
    <w:p>
      <w:pPr>
        <w:pStyle w:val="Heading1"/>
        <w:spacing w:before="360" w:after="160"/>
        <w:jc w:val="center"/>
      </w:pPr>
      <w:r>
        <w:rPr>
          <w:rFonts w:ascii="Times New Roman" w:hAnsi="Times New Roman" w:eastAsia="黑体"/>
          <w:b/>
          <w:color w:val="0F1F4F"/>
          <w:sz w:val="40"/>
        </w:rPr>
        <w:t>第九部分  公开数据、指标库与执行矩阵</w:t>
      </w:r>
    </w:p>
    <w:p>
      <w:pPr>
        <w:spacing w:line="348" w:lineRule="auto" w:before="0" w:after="80"/>
        <w:ind w:firstLine="420"/>
      </w:pPr>
      <w:r>
        <w:rPr>
          <w:rFonts w:ascii="Times New Roman" w:hAnsi="Times New Roman" w:eastAsia="宋体"/>
          <w:b w:val="0"/>
          <w:color w:val="0F172A"/>
          <w:sz w:val="24"/>
        </w:rPr>
        <w:t>本部分将报告中的核心判断转化为可查阅、可执行、可复盘的长表。长表不是附带材料，而是公开报告的重要组成部分，便于主办方、参展商、研究者和评委快速定位数据、图表、问题、建议和责任环节。</w:t>
      </w:r>
    </w:p>
    <w:p>
      <w:pPr>
        <w:pStyle w:val="Heading2"/>
        <w:spacing w:before="360" w:after="160"/>
      </w:pPr>
      <w:r>
        <w:rPr>
          <w:rFonts w:ascii="Times New Roman" w:hAnsi="Times New Roman" w:eastAsia="黑体"/>
          <w:b/>
          <w:color w:val="1E40AF"/>
          <w:sz w:val="30"/>
        </w:rPr>
        <w:t>一、核心指标库</w:t>
      </w:r>
    </w:p>
    <w:tbl>
      <w:tblPr>
        <w:tblStyle w:val="TableGrid"/>
        <w:tblW w:type="auto" w:w="0"/>
        <w:jc w:val="center"/>
        <w:tblLayout w:type="autofit"/>
        <w:tblLook w:firstColumn="1" w:firstRow="1" w:lastColumn="0" w:lastRow="0" w:noHBand="0" w:noVBand="1" w:val="04A0"/>
      </w:tblPr>
      <w:tblGrid>
        <w:gridCol w:w="1826"/>
        <w:gridCol w:w="1826"/>
        <w:gridCol w:w="1826"/>
        <w:gridCol w:w="1826"/>
        <w:gridCol w:w="1826"/>
      </w:tblGrid>
      <w:tr>
        <w:tc>
          <w:tcPr>
            <w:tcW w:type="dxa" w:w="1134"/>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类别</w:t>
            </w:r>
          </w:p>
        </w:tc>
        <w:tc>
          <w:tcPr>
            <w:tcW w:type="dxa" w:w="1928"/>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指标</w:t>
            </w:r>
          </w:p>
        </w:tc>
        <w:tc>
          <w:tcPr>
            <w:tcW w:type="dxa" w:w="1814"/>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数值</w:t>
            </w:r>
          </w:p>
        </w:tc>
        <w:tc>
          <w:tcPr>
            <w:tcW w:type="dxa" w:w="1871"/>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来源类型</w:t>
            </w:r>
          </w:p>
        </w:tc>
        <w:tc>
          <w:tcPr>
            <w:tcW w:type="dxa" w:w="2268"/>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用途</w:t>
            </w:r>
          </w:p>
        </w:tc>
      </w:tr>
      <w:tr>
        <w:tc>
          <w:tcPr>
            <w:tcW w:type="dxa" w:w="113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规模</w:t>
            </w:r>
          </w:p>
        </w:tc>
        <w:tc>
          <w:tcPr>
            <w:tcW w:type="dxa" w:w="192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展览面积</w:t>
            </w:r>
          </w:p>
        </w:tc>
        <w:tc>
          <w:tcPr>
            <w:tcW w:type="dxa" w:w="181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9 万平方米</w:t>
            </w:r>
          </w:p>
        </w:tc>
        <w:tc>
          <w:tcPr>
            <w:tcW w:type="dxa" w:w="187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公开报道</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判断展会能级</w:t>
            </w:r>
          </w:p>
        </w:tc>
      </w:tr>
      <w:tr>
        <w:tc>
          <w:tcPr>
            <w:tcW w:type="dxa" w:w="113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规模</w:t>
            </w:r>
          </w:p>
        </w:tc>
        <w:tc>
          <w:tcPr>
            <w:tcW w:type="dxa" w:w="192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专业展区</w:t>
            </w:r>
          </w:p>
        </w:tc>
        <w:tc>
          <w:tcPr>
            <w:tcW w:type="dxa" w:w="181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12 个</w:t>
            </w:r>
          </w:p>
        </w:tc>
        <w:tc>
          <w:tcPr>
            <w:tcW w:type="dxa" w:w="187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公开报道</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判断产业链覆盖</w:t>
            </w:r>
          </w:p>
        </w:tc>
      </w:tr>
      <w:tr>
        <w:tc>
          <w:tcPr>
            <w:tcW w:type="dxa" w:w="113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规模</w:t>
            </w:r>
          </w:p>
        </w:tc>
        <w:tc>
          <w:tcPr>
            <w:tcW w:type="dxa" w:w="192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展位数量</w:t>
            </w:r>
          </w:p>
        </w:tc>
        <w:tc>
          <w:tcPr>
            <w:tcW w:type="dxa" w:w="181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3056 个</w:t>
            </w:r>
          </w:p>
        </w:tc>
        <w:tc>
          <w:tcPr>
            <w:tcW w:type="dxa" w:w="187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公开报道</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判断展品承载力</w:t>
            </w:r>
          </w:p>
        </w:tc>
      </w:tr>
      <w:tr>
        <w:tc>
          <w:tcPr>
            <w:tcW w:type="dxa" w:w="113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规模</w:t>
            </w:r>
          </w:p>
        </w:tc>
        <w:tc>
          <w:tcPr>
            <w:tcW w:type="dxa" w:w="192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参展企业</w:t>
            </w:r>
          </w:p>
        </w:tc>
        <w:tc>
          <w:tcPr>
            <w:tcW w:type="dxa" w:w="181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912 家</w:t>
            </w:r>
          </w:p>
        </w:tc>
        <w:tc>
          <w:tcPr>
            <w:tcW w:type="dxa" w:w="187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公开报道</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判断招商能力</w:t>
            </w:r>
          </w:p>
        </w:tc>
      </w:tr>
      <w:tr>
        <w:tc>
          <w:tcPr>
            <w:tcW w:type="dxa" w:w="113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规模</w:t>
            </w:r>
          </w:p>
        </w:tc>
        <w:tc>
          <w:tcPr>
            <w:tcW w:type="dxa" w:w="192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云展企业</w:t>
            </w:r>
          </w:p>
        </w:tc>
        <w:tc>
          <w:tcPr>
            <w:tcW w:type="dxa" w:w="181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1500 余家</w:t>
            </w:r>
          </w:p>
        </w:tc>
        <w:tc>
          <w:tcPr>
            <w:tcW w:type="dxa" w:w="187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公开报道</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判断线上承载力</w:t>
            </w:r>
          </w:p>
        </w:tc>
      </w:tr>
      <w:tr>
        <w:tc>
          <w:tcPr>
            <w:tcW w:type="dxa" w:w="113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观众</w:t>
            </w:r>
          </w:p>
        </w:tc>
        <w:tc>
          <w:tcPr>
            <w:tcW w:type="dxa" w:w="192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线下观众及采购商</w:t>
            </w:r>
          </w:p>
        </w:tc>
        <w:tc>
          <w:tcPr>
            <w:tcW w:type="dxa" w:w="181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14.7 万人次</w:t>
            </w:r>
          </w:p>
        </w:tc>
        <w:tc>
          <w:tcPr>
            <w:tcW w:type="dxa" w:w="187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公开报道</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判断现场流量</w:t>
            </w:r>
          </w:p>
        </w:tc>
      </w:tr>
      <w:tr>
        <w:tc>
          <w:tcPr>
            <w:tcW w:type="dxa" w:w="113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观众</w:t>
            </w:r>
          </w:p>
        </w:tc>
        <w:tc>
          <w:tcPr>
            <w:tcW w:type="dxa" w:w="192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专业观众</w:t>
            </w:r>
          </w:p>
        </w:tc>
        <w:tc>
          <w:tcPr>
            <w:tcW w:type="dxa" w:w="181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11.2 万人次</w:t>
            </w:r>
          </w:p>
        </w:tc>
        <w:tc>
          <w:tcPr>
            <w:tcW w:type="dxa" w:w="187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公开报道</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判断观众质量</w:t>
            </w:r>
          </w:p>
        </w:tc>
      </w:tr>
      <w:tr>
        <w:tc>
          <w:tcPr>
            <w:tcW w:type="dxa" w:w="113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观众</w:t>
            </w:r>
          </w:p>
        </w:tc>
        <w:tc>
          <w:tcPr>
            <w:tcW w:type="dxa" w:w="192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专业观众占比</w:t>
            </w:r>
          </w:p>
        </w:tc>
        <w:tc>
          <w:tcPr>
            <w:tcW w:type="dxa" w:w="181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约 76.2%</w:t>
            </w:r>
          </w:p>
        </w:tc>
        <w:tc>
          <w:tcPr>
            <w:tcW w:type="dxa" w:w="187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公开数据计算</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判断专业化程度</w:t>
            </w:r>
          </w:p>
        </w:tc>
      </w:tr>
      <w:tr>
        <w:tc>
          <w:tcPr>
            <w:tcW w:type="dxa" w:w="113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观众</w:t>
            </w:r>
          </w:p>
        </w:tc>
        <w:tc>
          <w:tcPr>
            <w:tcW w:type="dxa" w:w="192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专业观众/参展企业</w:t>
            </w:r>
          </w:p>
        </w:tc>
        <w:tc>
          <w:tcPr>
            <w:tcW w:type="dxa" w:w="181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约 123 人次/企业</w:t>
            </w:r>
          </w:p>
        </w:tc>
        <w:tc>
          <w:tcPr>
            <w:tcW w:type="dxa" w:w="187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公开数据计算</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判断潜在线索密度</w:t>
            </w:r>
          </w:p>
        </w:tc>
      </w:tr>
      <w:tr>
        <w:tc>
          <w:tcPr>
            <w:tcW w:type="dxa" w:w="113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交易</w:t>
            </w:r>
          </w:p>
        </w:tc>
        <w:tc>
          <w:tcPr>
            <w:tcW w:type="dxa" w:w="192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累计意向成交</w:t>
            </w:r>
          </w:p>
        </w:tc>
        <w:tc>
          <w:tcPr>
            <w:tcW w:type="dxa" w:w="181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66.2 亿元</w:t>
            </w:r>
          </w:p>
        </w:tc>
        <w:tc>
          <w:tcPr>
            <w:tcW w:type="dxa" w:w="187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公开报道</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判断经贸撮合</w:t>
            </w:r>
          </w:p>
        </w:tc>
      </w:tr>
      <w:tr>
        <w:tc>
          <w:tcPr>
            <w:tcW w:type="dxa" w:w="113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交易</w:t>
            </w:r>
          </w:p>
        </w:tc>
        <w:tc>
          <w:tcPr>
            <w:tcW w:type="dxa" w:w="192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开幕日意向成交</w:t>
            </w:r>
          </w:p>
        </w:tc>
        <w:tc>
          <w:tcPr>
            <w:tcW w:type="dxa" w:w="181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15.8 亿元</w:t>
            </w:r>
          </w:p>
        </w:tc>
        <w:tc>
          <w:tcPr>
            <w:tcW w:type="dxa" w:w="187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公开报道</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判断首日活跃度</w:t>
            </w:r>
          </w:p>
        </w:tc>
      </w:tr>
      <w:tr>
        <w:tc>
          <w:tcPr>
            <w:tcW w:type="dxa" w:w="113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交易</w:t>
            </w:r>
          </w:p>
        </w:tc>
        <w:tc>
          <w:tcPr>
            <w:tcW w:type="dxa" w:w="192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开幕日成交占比</w:t>
            </w:r>
          </w:p>
        </w:tc>
        <w:tc>
          <w:tcPr>
            <w:tcW w:type="dxa" w:w="181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约 23.9%</w:t>
            </w:r>
          </w:p>
        </w:tc>
        <w:tc>
          <w:tcPr>
            <w:tcW w:type="dxa" w:w="187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公开数据计算</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判断展期持续转化</w:t>
            </w:r>
          </w:p>
        </w:tc>
      </w:tr>
      <w:tr>
        <w:tc>
          <w:tcPr>
            <w:tcW w:type="dxa" w:w="113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交易</w:t>
            </w:r>
          </w:p>
        </w:tc>
        <w:tc>
          <w:tcPr>
            <w:tcW w:type="dxa" w:w="192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一带一路对接会意向采购</w:t>
            </w:r>
          </w:p>
        </w:tc>
        <w:tc>
          <w:tcPr>
            <w:tcW w:type="dxa" w:w="181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4.1 亿元</w:t>
            </w:r>
          </w:p>
        </w:tc>
        <w:tc>
          <w:tcPr>
            <w:tcW w:type="dxa" w:w="187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公开报道</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判断国际采购活动实效</w:t>
            </w:r>
          </w:p>
        </w:tc>
      </w:tr>
      <w:tr>
        <w:tc>
          <w:tcPr>
            <w:tcW w:type="dxa" w:w="113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国际</w:t>
            </w:r>
          </w:p>
        </w:tc>
        <w:tc>
          <w:tcPr>
            <w:tcW w:type="dxa" w:w="192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外资及合作企业</w:t>
            </w:r>
          </w:p>
        </w:tc>
        <w:tc>
          <w:tcPr>
            <w:tcW w:type="dxa" w:w="181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181 家</w:t>
            </w:r>
          </w:p>
        </w:tc>
        <w:tc>
          <w:tcPr>
            <w:tcW w:type="dxa" w:w="187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公开报道</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判断开放度</w:t>
            </w:r>
          </w:p>
        </w:tc>
      </w:tr>
      <w:tr>
        <w:tc>
          <w:tcPr>
            <w:tcW w:type="dxa" w:w="113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国际</w:t>
            </w:r>
          </w:p>
        </w:tc>
        <w:tc>
          <w:tcPr>
            <w:tcW w:type="dxa" w:w="192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一带一路采购商</w:t>
            </w:r>
          </w:p>
        </w:tc>
        <w:tc>
          <w:tcPr>
            <w:tcW w:type="dxa" w:w="181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18 个国家和地区、50 余位</w:t>
            </w:r>
          </w:p>
        </w:tc>
        <w:tc>
          <w:tcPr>
            <w:tcW w:type="dxa" w:w="187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公开报道</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判断国际买家组织</w:t>
            </w:r>
          </w:p>
        </w:tc>
      </w:tr>
      <w:tr>
        <w:tc>
          <w:tcPr>
            <w:tcW w:type="dxa" w:w="113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线上</w:t>
            </w:r>
          </w:p>
        </w:tc>
        <w:tc>
          <w:tcPr>
            <w:tcW w:type="dxa" w:w="192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线上观展</w:t>
            </w:r>
          </w:p>
        </w:tc>
        <w:tc>
          <w:tcPr>
            <w:tcW w:type="dxa" w:w="181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23 万人次</w:t>
            </w:r>
          </w:p>
        </w:tc>
        <w:tc>
          <w:tcPr>
            <w:tcW w:type="dxa" w:w="187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公开报道</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判断线上传播</w:t>
            </w:r>
          </w:p>
        </w:tc>
      </w:tr>
      <w:tr>
        <w:tc>
          <w:tcPr>
            <w:tcW w:type="dxa" w:w="113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线上</w:t>
            </w:r>
          </w:p>
        </w:tc>
        <w:tc>
          <w:tcPr>
            <w:tcW w:type="dxa" w:w="192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云展覆盖倍数</w:t>
            </w:r>
          </w:p>
        </w:tc>
        <w:tc>
          <w:tcPr>
            <w:tcW w:type="dxa" w:w="181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约 1.65 倍</w:t>
            </w:r>
          </w:p>
        </w:tc>
        <w:tc>
          <w:tcPr>
            <w:tcW w:type="dxa" w:w="187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公开数据计算</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判断线上覆盖广度</w:t>
            </w:r>
          </w:p>
        </w:tc>
      </w:tr>
      <w:tr>
        <w:tc>
          <w:tcPr>
            <w:tcW w:type="dxa" w:w="113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运营</w:t>
            </w:r>
          </w:p>
        </w:tc>
        <w:tc>
          <w:tcPr>
            <w:tcW w:type="dxa" w:w="192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平均展位配置</w:t>
            </w:r>
          </w:p>
        </w:tc>
        <w:tc>
          <w:tcPr>
            <w:tcW w:type="dxa" w:w="181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约 3.35 个/企业</w:t>
            </w:r>
          </w:p>
        </w:tc>
        <w:tc>
          <w:tcPr>
            <w:tcW w:type="dxa" w:w="187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公开数据计算</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判断展位资源配置</w:t>
            </w:r>
          </w:p>
        </w:tc>
      </w:tr>
      <w:tr>
        <w:tc>
          <w:tcPr>
            <w:tcW w:type="dxa" w:w="113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传播</w:t>
            </w:r>
          </w:p>
        </w:tc>
        <w:tc>
          <w:tcPr>
            <w:tcW w:type="dxa" w:w="192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现场图片资料</w:t>
            </w:r>
          </w:p>
        </w:tc>
        <w:tc>
          <w:tcPr>
            <w:tcW w:type="dxa" w:w="181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7 张公开图片</w:t>
            </w:r>
          </w:p>
        </w:tc>
        <w:tc>
          <w:tcPr>
            <w:tcW w:type="dxa" w:w="187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公开媒体图片</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支撑视觉呈现</w:t>
            </w:r>
          </w:p>
        </w:tc>
      </w:tr>
      <w:tr>
        <w:tc>
          <w:tcPr>
            <w:tcW w:type="dxa" w:w="113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成果</w:t>
            </w:r>
          </w:p>
        </w:tc>
        <w:tc>
          <w:tcPr>
            <w:tcW w:type="dxa" w:w="192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报告图表</w:t>
            </w:r>
          </w:p>
        </w:tc>
        <w:tc>
          <w:tcPr>
            <w:tcW w:type="dxa" w:w="181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44 张</w:t>
            </w:r>
          </w:p>
        </w:tc>
        <w:tc>
          <w:tcPr>
            <w:tcW w:type="dxa" w:w="187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公开数据与研究评价</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支撑正文论证</w:t>
            </w:r>
          </w:p>
        </w:tc>
      </w:tr>
    </w:tbl>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核心指标库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核心指标库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因此，核心指标库的升级重点不是另起炉灶，而是在已有 9 万平方米展览规模、912 家参展企业、11.2 万专业观众、66.2 亿元累计意向成交和 23 万线上观展人次的基础上，把规模流量转化为产业链协同效率。</w:t>
      </w:r>
    </w:p>
    <w:p>
      <w:pPr>
        <w:spacing w:line="348" w:lineRule="auto" w:before="0" w:after="80"/>
        <w:ind w:firstLine="420"/>
      </w:pPr>
      <w:r/>
    </w:p>
    <w:p>
      <w:pPr>
        <w:pStyle w:val="Heading2"/>
        <w:spacing w:before="360" w:after="160"/>
      </w:pPr>
      <w:r>
        <w:rPr>
          <w:rFonts w:ascii="Times New Roman" w:hAnsi="Times New Roman" w:eastAsia="黑体"/>
          <w:b/>
          <w:color w:val="1E40AF"/>
          <w:sz w:val="30"/>
        </w:rPr>
        <w:t>二、问题-建议执行矩阵</w:t>
      </w:r>
    </w:p>
    <w:tbl>
      <w:tblPr>
        <w:tblStyle w:val="TableGrid"/>
        <w:tblW w:type="auto" w:w="0"/>
        <w:jc w:val="center"/>
        <w:tblLayout w:type="autofit"/>
        <w:tblLook w:firstColumn="1" w:firstRow="1" w:lastColumn="0" w:lastRow="0" w:noHBand="0" w:noVBand="1" w:val="04A0"/>
      </w:tblPr>
      <w:tblGrid>
        <w:gridCol w:w="1826"/>
        <w:gridCol w:w="1826"/>
        <w:gridCol w:w="1826"/>
        <w:gridCol w:w="1826"/>
        <w:gridCol w:w="1826"/>
      </w:tblGrid>
      <w:tr>
        <w:tc>
          <w:tcPr>
            <w:tcW w:type="dxa" w:w="1361"/>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问题</w:t>
            </w:r>
          </w:p>
        </w:tc>
        <w:tc>
          <w:tcPr>
            <w:tcW w:type="dxa" w:w="1587"/>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核心动作</w:t>
            </w:r>
          </w:p>
        </w:tc>
        <w:tc>
          <w:tcPr>
            <w:tcW w:type="dxa" w:w="3005"/>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执行路径</w:t>
            </w:r>
          </w:p>
        </w:tc>
        <w:tc>
          <w:tcPr>
            <w:tcW w:type="dxa" w:w="1928"/>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评价指标</w:t>
            </w:r>
          </w:p>
        </w:tc>
        <w:tc>
          <w:tcPr>
            <w:tcW w:type="dxa" w:w="1984"/>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协同主体</w:t>
            </w:r>
          </w:p>
        </w:tc>
      </w:tr>
      <w:tr>
        <w:tc>
          <w:tcPr>
            <w:tcW w:type="dxa" w:w="136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战略定位</w:t>
            </w:r>
          </w:p>
        </w:tc>
        <w:tc>
          <w:tcPr>
            <w:tcW w:type="dxa" w:w="1587"/>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平台定位</w:t>
            </w:r>
          </w:p>
        </w:tc>
        <w:tc>
          <w:tcPr>
            <w:tcW w:type="dxa" w:w="300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展前明确目标，展中采集数据，展后形成复盘</w:t>
            </w:r>
          </w:p>
        </w:tc>
        <w:tc>
          <w:tcPr>
            <w:tcW w:type="dxa" w:w="192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专业观众质量、有效线索、服务满意度</w:t>
            </w:r>
          </w:p>
        </w:tc>
        <w:tc>
          <w:tcPr>
            <w:tcW w:type="dxa" w:w="198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主办方、承办机构、展商、服务商</w:t>
            </w:r>
          </w:p>
        </w:tc>
      </w:tr>
      <w:tr>
        <w:tc>
          <w:tcPr>
            <w:tcW w:type="dxa" w:w="136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专业观众</w:t>
            </w:r>
          </w:p>
        </w:tc>
        <w:tc>
          <w:tcPr>
            <w:tcW w:type="dxa" w:w="1587"/>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观众画像</w:t>
            </w:r>
          </w:p>
        </w:tc>
        <w:tc>
          <w:tcPr>
            <w:tcW w:type="dxa" w:w="300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展前明确目标，展中采集数据，展后形成复盘</w:t>
            </w:r>
          </w:p>
        </w:tc>
        <w:tc>
          <w:tcPr>
            <w:tcW w:type="dxa" w:w="192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专业观众质量、有效线索、服务满意度</w:t>
            </w:r>
          </w:p>
        </w:tc>
        <w:tc>
          <w:tcPr>
            <w:tcW w:type="dxa" w:w="198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主办方、承办机构、展商、服务商</w:t>
            </w:r>
          </w:p>
        </w:tc>
      </w:tr>
      <w:tr>
        <w:tc>
          <w:tcPr>
            <w:tcW w:type="dxa" w:w="136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数字闭环</w:t>
            </w:r>
          </w:p>
        </w:tc>
        <w:tc>
          <w:tcPr>
            <w:tcW w:type="dxa" w:w="1587"/>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预约洽谈</w:t>
            </w:r>
          </w:p>
        </w:tc>
        <w:tc>
          <w:tcPr>
            <w:tcW w:type="dxa" w:w="300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展前明确目标，展中采集数据，展后形成复盘</w:t>
            </w:r>
          </w:p>
        </w:tc>
        <w:tc>
          <w:tcPr>
            <w:tcW w:type="dxa" w:w="192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专业观众质量、有效线索、服务满意度</w:t>
            </w:r>
          </w:p>
        </w:tc>
        <w:tc>
          <w:tcPr>
            <w:tcW w:type="dxa" w:w="198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主办方、承办机构、展商、服务商</w:t>
            </w:r>
          </w:p>
        </w:tc>
      </w:tr>
      <w:tr>
        <w:tc>
          <w:tcPr>
            <w:tcW w:type="dxa" w:w="136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传播分层</w:t>
            </w:r>
          </w:p>
        </w:tc>
        <w:tc>
          <w:tcPr>
            <w:tcW w:type="dxa" w:w="1587"/>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电子名片</w:t>
            </w:r>
          </w:p>
        </w:tc>
        <w:tc>
          <w:tcPr>
            <w:tcW w:type="dxa" w:w="300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展前明确目标，展中采集数据，展后形成复盘</w:t>
            </w:r>
          </w:p>
        </w:tc>
        <w:tc>
          <w:tcPr>
            <w:tcW w:type="dxa" w:w="192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专业观众质量、有效线索、服务满意度</w:t>
            </w:r>
          </w:p>
        </w:tc>
        <w:tc>
          <w:tcPr>
            <w:tcW w:type="dxa" w:w="198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主办方、承办机构、展商、服务商</w:t>
            </w:r>
          </w:p>
        </w:tc>
      </w:tr>
      <w:tr>
        <w:tc>
          <w:tcPr>
            <w:tcW w:type="dxa" w:w="136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活动联动</w:t>
            </w:r>
          </w:p>
        </w:tc>
        <w:tc>
          <w:tcPr>
            <w:tcW w:type="dxa" w:w="1587"/>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场景专区</w:t>
            </w:r>
          </w:p>
        </w:tc>
        <w:tc>
          <w:tcPr>
            <w:tcW w:type="dxa" w:w="300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展前明确目标，展中采集数据，展后形成复盘</w:t>
            </w:r>
          </w:p>
        </w:tc>
        <w:tc>
          <w:tcPr>
            <w:tcW w:type="dxa" w:w="192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专业观众质量、有效线索、服务满意度</w:t>
            </w:r>
          </w:p>
        </w:tc>
        <w:tc>
          <w:tcPr>
            <w:tcW w:type="dxa" w:w="198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主办方、承办机构、展商、服务商</w:t>
            </w:r>
          </w:p>
        </w:tc>
      </w:tr>
      <w:tr>
        <w:tc>
          <w:tcPr>
            <w:tcW w:type="dxa" w:w="136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国际化</w:t>
            </w:r>
          </w:p>
        </w:tc>
        <w:tc>
          <w:tcPr>
            <w:tcW w:type="dxa" w:w="1587"/>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国际买家库</w:t>
            </w:r>
          </w:p>
        </w:tc>
        <w:tc>
          <w:tcPr>
            <w:tcW w:type="dxa" w:w="300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展前明确目标，展中采集数据，展后形成复盘</w:t>
            </w:r>
          </w:p>
        </w:tc>
        <w:tc>
          <w:tcPr>
            <w:tcW w:type="dxa" w:w="192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专业观众质量、有效线索、服务满意度</w:t>
            </w:r>
          </w:p>
        </w:tc>
        <w:tc>
          <w:tcPr>
            <w:tcW w:type="dxa" w:w="198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主办方、承办机构、展商、服务商</w:t>
            </w:r>
          </w:p>
        </w:tc>
      </w:tr>
      <w:tr>
        <w:tc>
          <w:tcPr>
            <w:tcW w:type="dxa" w:w="136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现场服务</w:t>
            </w:r>
          </w:p>
        </w:tc>
        <w:tc>
          <w:tcPr>
            <w:tcW w:type="dxa" w:w="1587"/>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导览优化</w:t>
            </w:r>
          </w:p>
        </w:tc>
        <w:tc>
          <w:tcPr>
            <w:tcW w:type="dxa" w:w="300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展前明确目标，展中采集数据，展后形成复盘</w:t>
            </w:r>
          </w:p>
        </w:tc>
        <w:tc>
          <w:tcPr>
            <w:tcW w:type="dxa" w:w="192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专业观众质量、有效线索、服务满意度</w:t>
            </w:r>
          </w:p>
        </w:tc>
        <w:tc>
          <w:tcPr>
            <w:tcW w:type="dxa" w:w="198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主办方、承办机构、展商、服务商</w:t>
            </w:r>
          </w:p>
        </w:tc>
      </w:tr>
      <w:tr>
        <w:tc>
          <w:tcPr>
            <w:tcW w:type="dxa" w:w="136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展后转化</w:t>
            </w:r>
          </w:p>
        </w:tc>
        <w:tc>
          <w:tcPr>
            <w:tcW w:type="dxa" w:w="1587"/>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线索台账</w:t>
            </w:r>
          </w:p>
        </w:tc>
        <w:tc>
          <w:tcPr>
            <w:tcW w:type="dxa" w:w="300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展前明确目标，展中采集数据，展后形成复盘</w:t>
            </w:r>
          </w:p>
        </w:tc>
        <w:tc>
          <w:tcPr>
            <w:tcW w:type="dxa" w:w="192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专业观众质量、有效线索、服务满意度</w:t>
            </w:r>
          </w:p>
        </w:tc>
        <w:tc>
          <w:tcPr>
            <w:tcW w:type="dxa" w:w="198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主办方、承办机构、展商、服务商</w:t>
            </w:r>
          </w:p>
        </w:tc>
      </w:tr>
      <w:tr>
        <w:tc>
          <w:tcPr>
            <w:tcW w:type="dxa" w:w="136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高校参与</w:t>
            </w:r>
          </w:p>
        </w:tc>
        <w:tc>
          <w:tcPr>
            <w:tcW w:type="dxa" w:w="1587"/>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青年工程师日</w:t>
            </w:r>
          </w:p>
        </w:tc>
        <w:tc>
          <w:tcPr>
            <w:tcW w:type="dxa" w:w="300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展前明确目标，展中采集数据，展后形成复盘</w:t>
            </w:r>
          </w:p>
        </w:tc>
        <w:tc>
          <w:tcPr>
            <w:tcW w:type="dxa" w:w="192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专业观众质量、有效线索、服务满意度</w:t>
            </w:r>
          </w:p>
        </w:tc>
        <w:tc>
          <w:tcPr>
            <w:tcW w:type="dxa" w:w="198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主办方、承办机构、展商、服务商</w:t>
            </w:r>
          </w:p>
        </w:tc>
      </w:tr>
    </w:tbl>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问题-建议执行矩阵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问题-建议执行矩阵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因此，问题-建议执行矩阵的升级重点不是另起炉灶，而是在已有 9 万平方米展览规模、912 家参展企业、11.2 万专业观众、66.2 亿元累计意向成交和 23 万线上观展人次的基础上，把规模流量转化为产业链协同效率。</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问题-建议执行矩阵不能只停留在单一活动或单点改进上，而应嵌入展前、展中、展后完整链条。展前要完成需求识别和资源匹配，展中要提升交流效率和现场体验，展后要沉淀线索、跟踪合作并形成下一届优化依据。</w:t>
      </w:r>
    </w:p>
    <w:p>
      <w:pPr>
        <w:pStyle w:val="Heading2"/>
        <w:spacing w:before="360" w:after="160"/>
      </w:pPr>
      <w:r>
        <w:t>三、线上专题内容目录</w:t>
      </w:r>
    </w:p>
    <w:tbl>
      <w:tblPr>
        <w:tblStyle w:val="TableGrid"/>
        <w:tblW w:type="auto" w:w="0"/>
        <w:jc w:val="center"/>
        <w:tblLayout w:type="autofit"/>
        <w:tblLook w:firstColumn="1" w:firstRow="1" w:lastColumn="0" w:lastRow="0" w:noHBand="0" w:noVBand="1" w:val="04A0"/>
      </w:tblPr>
      <w:tblGrid>
        <w:gridCol w:w="3043"/>
        <w:gridCol w:w="3043"/>
        <w:gridCol w:w="3043"/>
      </w:tblGrid>
      <w:tr>
        <w:tc>
          <w:tcPr>
            <w:tcW w:type="dxa" w:w="1701"/>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网页栏目</w:t>
            </w:r>
          </w:p>
        </w:tc>
        <w:tc>
          <w:tcPr>
            <w:tcW w:type="dxa" w:w="3402"/>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页面内容</w:t>
            </w:r>
          </w:p>
        </w:tc>
        <w:tc>
          <w:tcPr>
            <w:tcW w:type="dxa" w:w="3685"/>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Word 对应位置</w:t>
            </w:r>
          </w:p>
        </w:tc>
      </w:tr>
      <w:tr>
        <w:tc>
          <w:tcPr>
            <w:tcW w:type="dxa" w:w="170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首页</w:t>
            </w:r>
          </w:p>
        </w:tc>
        <w:tc>
          <w:tcPr>
            <w:tcW w:type="dxa" w:w="3402"/>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核心数据、研究主线、现场图片首屏</w:t>
            </w:r>
          </w:p>
        </w:tc>
        <w:tc>
          <w:tcPr>
            <w:tcW w:type="dxa" w:w="368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摘要、图表分析、网页融合章节</w:t>
            </w:r>
          </w:p>
        </w:tc>
      </w:tr>
      <w:tr>
        <w:tc>
          <w:tcPr>
            <w:tcW w:type="dxa" w:w="170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摘要</w:t>
            </w:r>
          </w:p>
        </w:tc>
        <w:tc>
          <w:tcPr>
            <w:tcW w:type="dxa" w:w="3402"/>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研究对象、公开数据、核心判断</w:t>
            </w:r>
          </w:p>
        </w:tc>
        <w:tc>
          <w:tcPr>
            <w:tcW w:type="dxa" w:w="368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摘要和核心指标库</w:t>
            </w:r>
          </w:p>
        </w:tc>
      </w:tr>
      <w:tr>
        <w:tc>
          <w:tcPr>
            <w:tcW w:type="dxa" w:w="170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会展发展情况</w:t>
            </w:r>
          </w:p>
        </w:tc>
        <w:tc>
          <w:tcPr>
            <w:tcW w:type="dxa" w:w="3402"/>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行业背景、项目基础、运行情况</w:t>
            </w:r>
          </w:p>
        </w:tc>
        <w:tc>
          <w:tcPr>
            <w:tcW w:type="dxa" w:w="368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第一部分</w:t>
            </w:r>
          </w:p>
        </w:tc>
      </w:tr>
      <w:tr>
        <w:tc>
          <w:tcPr>
            <w:tcW w:type="dxa" w:w="170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存在问题</w:t>
            </w:r>
          </w:p>
        </w:tc>
        <w:tc>
          <w:tcPr>
            <w:tcW w:type="dxa" w:w="3402"/>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九类结构性问题</w:t>
            </w:r>
          </w:p>
        </w:tc>
        <w:tc>
          <w:tcPr>
            <w:tcW w:type="dxa" w:w="368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第二部分</w:t>
            </w:r>
          </w:p>
        </w:tc>
      </w:tr>
      <w:tr>
        <w:tc>
          <w:tcPr>
            <w:tcW w:type="dxa" w:w="170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建议方案</w:t>
            </w:r>
          </w:p>
        </w:tc>
        <w:tc>
          <w:tcPr>
            <w:tcW w:type="dxa" w:w="3402"/>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十一项优化建议</w:t>
            </w:r>
          </w:p>
        </w:tc>
        <w:tc>
          <w:tcPr>
            <w:tcW w:type="dxa" w:w="368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第三部分</w:t>
            </w:r>
          </w:p>
        </w:tc>
      </w:tr>
      <w:tr>
        <w:tc>
          <w:tcPr>
            <w:tcW w:type="dxa" w:w="170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数据看板</w:t>
            </w:r>
          </w:p>
        </w:tc>
        <w:tc>
          <w:tcPr>
            <w:tcW w:type="dxa" w:w="3402"/>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规模演进、触达结构、运营指标</w:t>
            </w:r>
          </w:p>
        </w:tc>
        <w:tc>
          <w:tcPr>
            <w:tcW w:type="dxa" w:w="368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第四部分</w:t>
            </w:r>
          </w:p>
        </w:tc>
      </w:tr>
      <w:tr>
        <w:tc>
          <w:tcPr>
            <w:tcW w:type="dxa" w:w="170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图表画廊</w:t>
            </w:r>
          </w:p>
        </w:tc>
        <w:tc>
          <w:tcPr>
            <w:tcW w:type="dxa" w:w="3402"/>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20 张基础图和扩展图</w:t>
            </w:r>
          </w:p>
        </w:tc>
        <w:tc>
          <w:tcPr>
            <w:tcW w:type="dxa" w:w="368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图表索引</w:t>
            </w:r>
          </w:p>
        </w:tc>
      </w:tr>
      <w:tr>
        <w:tc>
          <w:tcPr>
            <w:tcW w:type="dxa" w:w="170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照片墙</w:t>
            </w:r>
          </w:p>
        </w:tc>
        <w:tc>
          <w:tcPr>
            <w:tcW w:type="dxa" w:w="3402"/>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公开现场图片</w:t>
            </w:r>
          </w:p>
        </w:tc>
        <w:tc>
          <w:tcPr>
            <w:tcW w:type="dxa" w:w="368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现场图片资料</w:t>
            </w:r>
          </w:p>
        </w:tc>
      </w:tr>
      <w:tr>
        <w:tc>
          <w:tcPr>
            <w:tcW w:type="dxa" w:w="170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方法论</w:t>
            </w:r>
          </w:p>
        </w:tc>
        <w:tc>
          <w:tcPr>
            <w:tcW w:type="dxa" w:w="3402"/>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问卷、访谈、观察、伦理</w:t>
            </w:r>
          </w:p>
        </w:tc>
        <w:tc>
          <w:tcPr>
            <w:tcW w:type="dxa" w:w="368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调研工具与附录</w:t>
            </w:r>
          </w:p>
        </w:tc>
      </w:tr>
      <w:tr>
        <w:tc>
          <w:tcPr>
            <w:tcW w:type="dxa" w:w="170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数据透明度</w:t>
            </w:r>
          </w:p>
        </w:tc>
        <w:tc>
          <w:tcPr>
            <w:tcW w:type="dxa" w:w="3402"/>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来源分级和计算口径</w:t>
            </w:r>
          </w:p>
        </w:tc>
        <w:tc>
          <w:tcPr>
            <w:tcW w:type="dxa" w:w="368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数据来源矩阵</w:t>
            </w:r>
          </w:p>
        </w:tc>
      </w:tr>
      <w:tr>
        <w:tc>
          <w:tcPr>
            <w:tcW w:type="dxa" w:w="170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团队</w:t>
            </w:r>
          </w:p>
        </w:tc>
        <w:tc>
          <w:tcPr>
            <w:tcW w:type="dxa" w:w="3402"/>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五人分工</w:t>
            </w:r>
          </w:p>
        </w:tc>
        <w:tc>
          <w:tcPr>
            <w:tcW w:type="dxa" w:w="368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团队分工表</w:t>
            </w:r>
          </w:p>
        </w:tc>
      </w:tr>
      <w:tr>
        <w:tc>
          <w:tcPr>
            <w:tcW w:type="dxa" w:w="170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阅读路径</w:t>
            </w:r>
          </w:p>
        </w:tc>
        <w:tc>
          <w:tcPr>
            <w:tcW w:type="dxa" w:w="3402"/>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五类读者路径</w:t>
            </w:r>
          </w:p>
        </w:tc>
        <w:tc>
          <w:tcPr>
            <w:tcW w:type="dxa" w:w="3685"/>
            <w:vAlign w:val="center"/>
            <w:tcBorders>
              <w:top w:val="single" w:sz="4" w:color="CBD5E1"/>
              <w:left w:val="single" w:sz="4" w:color="CBD5E1"/>
              <w:bottom w:val="single" w:sz="4" w:color="CBD5E1"/>
              <w:right w:val="single" w:sz="4" w:color="CBD5E1"/>
            </w:tcBorders>
            <w:shd w:val="clear" w:color="auto" w:fill="F8FAFC"/>
          </w:tcPr>
          <w:p>
            <w:r>
              <w:t>线上专题内容</w:t>
            </w:r>
          </w:p>
        </w:tc>
      </w:tr>
      <w:tr>
        <w:tc>
          <w:tcPr>
            <w:tcW w:type="dxa" w:w="170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最终文件</w:t>
            </w:r>
          </w:p>
        </w:tc>
        <w:tc>
          <w:tcPr>
            <w:tcW w:type="dxa" w:w="3402"/>
            <w:vAlign w:val="center"/>
            <w:tcBorders>
              <w:top w:val="single" w:sz="4" w:color="CBD5E1"/>
              <w:left w:val="single" w:sz="4" w:color="CBD5E1"/>
              <w:bottom w:val="single" w:sz="4" w:color="CBD5E1"/>
              <w:right w:val="single" w:sz="4" w:color="CBD5E1"/>
            </w:tcBorders>
          </w:tcPr>
          <w:p>
            <w:r>
              <w:t>完整报告获取入口</w:t>
            </w:r>
          </w:p>
        </w:tc>
        <w:tc>
          <w:tcPr>
            <w:tcW w:type="dxa" w:w="368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公开报告交付</w:t>
            </w:r>
          </w:p>
        </w:tc>
      </w:tr>
    </w:tbl>
    <w:p/>
    <w:p>
      <w:pPr>
        <w:spacing w:line="348" w:lineRule="auto" w:before="0" w:after="80"/>
        <w:ind w:firstLine="420"/>
      </w:pPr>
      <w:r/>
    </w:p>
    <w:p>
      <w:pPr>
        <w:spacing w:line="348" w:lineRule="auto" w:before="0" w:after="80"/>
        <w:ind w:firstLine="420"/>
      </w:pPr>
      <w:r>
        <w:t>从会展项目运营看，线上专题内容目录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t>从沈阳城市产业语境看，线上专题内容目录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t>因此，线上专题内容目录的升级重点不是另起炉灶，而是在已有 9 万平方米展览规模、912 家参展企业、11.2 万专业观众、66.2 亿元累计意向成交和 23 万线上观展人次的基础上，把规模流量转化为产业链协同效率。</w:t>
      </w:r>
    </w:p>
    <w:p>
      <w:pPr>
        <w:spacing w:line="348" w:lineRule="auto" w:before="0" w:after="80"/>
        <w:ind w:firstLine="420"/>
      </w:pPr>
      <w:r/>
    </w:p>
    <w:p>
      <w:pPr>
        <w:pStyle w:val="Heading2"/>
        <w:spacing w:before="360" w:after="160"/>
      </w:pPr>
      <w:r>
        <w:rPr>
          <w:rFonts w:ascii="Times New Roman" w:hAnsi="Times New Roman" w:eastAsia="黑体"/>
          <w:b/>
          <w:color w:val="1E40AF"/>
          <w:sz w:val="30"/>
        </w:rPr>
        <w:t>四、图表索引</w:t>
      </w:r>
    </w:p>
    <w:tbl>
      <w:tblPr>
        <w:tblStyle w:val="TableGrid"/>
        <w:tblW w:type="auto" w:w="0"/>
        <w:jc w:val="center"/>
        <w:tblLayout w:type="autofit"/>
        <w:tblLook w:firstColumn="1" w:firstRow="1" w:lastColumn="0" w:lastRow="0" w:noHBand="0" w:noVBand="1" w:val="04A0"/>
      </w:tblPr>
      <w:tblGrid>
        <w:gridCol w:w="2282"/>
        <w:gridCol w:w="2282"/>
        <w:gridCol w:w="2282"/>
        <w:gridCol w:w="2282"/>
      </w:tblGrid>
      <w:tr>
        <w:tc>
          <w:tcPr>
            <w:tcW w:type="dxa" w:w="1134"/>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4"/>
              </w:rPr>
              <w:t>编号</w:t>
            </w:r>
          </w:p>
        </w:tc>
        <w:tc>
          <w:tcPr>
            <w:tcW w:type="dxa" w:w="2948"/>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4"/>
              </w:rPr>
              <w:t>名称</w:t>
            </w:r>
          </w:p>
        </w:tc>
        <w:tc>
          <w:tcPr>
            <w:tcW w:type="dxa" w:w="3005"/>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4"/>
              </w:rPr>
              <w:t>数据口径</w:t>
            </w:r>
          </w:p>
        </w:tc>
        <w:tc>
          <w:tcPr>
            <w:tcW w:type="dxa" w:w="2268"/>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4"/>
              </w:rPr>
              <w:t>使用位置</w:t>
            </w:r>
          </w:p>
        </w:tc>
      </w:tr>
      <w:tr>
        <w:tc>
          <w:tcPr>
            <w:tcW w:type="dxa" w:w="113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F1</w:t>
            </w:r>
          </w:p>
        </w:tc>
        <w:tc>
          <w:tcPr>
            <w:tcW w:type="dxa" w:w="294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基础图表 1</w:t>
            </w:r>
          </w:p>
        </w:tc>
        <w:tc>
          <w:tcPr>
            <w:tcW w:type="dxa" w:w="300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公开数据、研究测算或评价判断</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正文图表分析</w:t>
            </w:r>
          </w:p>
        </w:tc>
      </w:tr>
      <w:tr>
        <w:tc>
          <w:tcPr>
            <w:tcW w:type="dxa" w:w="113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F2</w:t>
            </w:r>
          </w:p>
        </w:tc>
        <w:tc>
          <w:tcPr>
            <w:tcW w:type="dxa" w:w="294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基础图表 2</w:t>
            </w:r>
          </w:p>
        </w:tc>
        <w:tc>
          <w:tcPr>
            <w:tcW w:type="dxa" w:w="300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公开数据、研究测算或评价判断</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正文图表分析</w:t>
            </w:r>
          </w:p>
        </w:tc>
      </w:tr>
      <w:tr>
        <w:tc>
          <w:tcPr>
            <w:tcW w:type="dxa" w:w="113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F3</w:t>
            </w:r>
          </w:p>
        </w:tc>
        <w:tc>
          <w:tcPr>
            <w:tcW w:type="dxa" w:w="294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基础图表 3</w:t>
            </w:r>
          </w:p>
        </w:tc>
        <w:tc>
          <w:tcPr>
            <w:tcW w:type="dxa" w:w="300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公开数据、研究测算或评价判断</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正文图表分析</w:t>
            </w:r>
          </w:p>
        </w:tc>
      </w:tr>
      <w:tr>
        <w:tc>
          <w:tcPr>
            <w:tcW w:type="dxa" w:w="113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F4</w:t>
            </w:r>
          </w:p>
        </w:tc>
        <w:tc>
          <w:tcPr>
            <w:tcW w:type="dxa" w:w="294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基础图表 4</w:t>
            </w:r>
          </w:p>
        </w:tc>
        <w:tc>
          <w:tcPr>
            <w:tcW w:type="dxa" w:w="300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公开数据、研究测算或评价判断</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正文图表分析</w:t>
            </w:r>
          </w:p>
        </w:tc>
      </w:tr>
      <w:tr>
        <w:tc>
          <w:tcPr>
            <w:tcW w:type="dxa" w:w="113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F5</w:t>
            </w:r>
          </w:p>
        </w:tc>
        <w:tc>
          <w:tcPr>
            <w:tcW w:type="dxa" w:w="294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基础图表 5</w:t>
            </w:r>
          </w:p>
        </w:tc>
        <w:tc>
          <w:tcPr>
            <w:tcW w:type="dxa" w:w="300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公开数据、研究测算或评价判断</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正文图表分析</w:t>
            </w:r>
          </w:p>
        </w:tc>
      </w:tr>
      <w:tr>
        <w:tc>
          <w:tcPr>
            <w:tcW w:type="dxa" w:w="113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F6</w:t>
            </w:r>
          </w:p>
        </w:tc>
        <w:tc>
          <w:tcPr>
            <w:tcW w:type="dxa" w:w="294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基础图表 6</w:t>
            </w:r>
          </w:p>
        </w:tc>
        <w:tc>
          <w:tcPr>
            <w:tcW w:type="dxa" w:w="300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公开数据、研究测算或评价判断</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正文图表分析</w:t>
            </w:r>
          </w:p>
        </w:tc>
      </w:tr>
      <w:tr>
        <w:tc>
          <w:tcPr>
            <w:tcW w:type="dxa" w:w="113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F7</w:t>
            </w:r>
          </w:p>
        </w:tc>
        <w:tc>
          <w:tcPr>
            <w:tcW w:type="dxa" w:w="294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基础图表 7</w:t>
            </w:r>
          </w:p>
        </w:tc>
        <w:tc>
          <w:tcPr>
            <w:tcW w:type="dxa" w:w="300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公开数据、研究测算或评价判断</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正文图表分析</w:t>
            </w:r>
          </w:p>
        </w:tc>
      </w:tr>
      <w:tr>
        <w:tc>
          <w:tcPr>
            <w:tcW w:type="dxa" w:w="113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F8</w:t>
            </w:r>
          </w:p>
        </w:tc>
        <w:tc>
          <w:tcPr>
            <w:tcW w:type="dxa" w:w="294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基础图表 8</w:t>
            </w:r>
          </w:p>
        </w:tc>
        <w:tc>
          <w:tcPr>
            <w:tcW w:type="dxa" w:w="300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公开数据、研究测算或评价判断</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正文图表分析</w:t>
            </w:r>
          </w:p>
        </w:tc>
      </w:tr>
      <w:tr>
        <w:tc>
          <w:tcPr>
            <w:tcW w:type="dxa" w:w="113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F9</w:t>
            </w:r>
          </w:p>
        </w:tc>
        <w:tc>
          <w:tcPr>
            <w:tcW w:type="dxa" w:w="294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基础图表 9</w:t>
            </w:r>
          </w:p>
        </w:tc>
        <w:tc>
          <w:tcPr>
            <w:tcW w:type="dxa" w:w="300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公开数据、研究测算或评价判断</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正文图表分析</w:t>
            </w:r>
          </w:p>
        </w:tc>
      </w:tr>
      <w:tr>
        <w:tc>
          <w:tcPr>
            <w:tcW w:type="dxa" w:w="113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F10</w:t>
            </w:r>
          </w:p>
        </w:tc>
        <w:tc>
          <w:tcPr>
            <w:tcW w:type="dxa" w:w="294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基础图表 10</w:t>
            </w:r>
          </w:p>
        </w:tc>
        <w:tc>
          <w:tcPr>
            <w:tcW w:type="dxa" w:w="300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公开数据、研究测算或评价判断</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正文图表分析</w:t>
            </w:r>
          </w:p>
        </w:tc>
      </w:tr>
      <w:tr>
        <w:tc>
          <w:tcPr>
            <w:tcW w:type="dxa" w:w="113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F11</w:t>
            </w:r>
          </w:p>
        </w:tc>
        <w:tc>
          <w:tcPr>
            <w:tcW w:type="dxa" w:w="294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基础图表 11</w:t>
            </w:r>
          </w:p>
        </w:tc>
        <w:tc>
          <w:tcPr>
            <w:tcW w:type="dxa" w:w="300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公开数据、研究测算或评价判断</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正文图表分析</w:t>
            </w:r>
          </w:p>
        </w:tc>
      </w:tr>
      <w:tr>
        <w:tc>
          <w:tcPr>
            <w:tcW w:type="dxa" w:w="113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F12</w:t>
            </w:r>
          </w:p>
        </w:tc>
        <w:tc>
          <w:tcPr>
            <w:tcW w:type="dxa" w:w="294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基础图表 12</w:t>
            </w:r>
          </w:p>
        </w:tc>
        <w:tc>
          <w:tcPr>
            <w:tcW w:type="dxa" w:w="300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公开数据、研究测算或评价判断</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正文图表分析</w:t>
            </w:r>
          </w:p>
        </w:tc>
      </w:tr>
      <w:tr>
        <w:tc>
          <w:tcPr>
            <w:tcW w:type="dxa" w:w="113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F13</w:t>
            </w:r>
          </w:p>
        </w:tc>
        <w:tc>
          <w:tcPr>
            <w:tcW w:type="dxa" w:w="294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基础图表 13</w:t>
            </w:r>
          </w:p>
        </w:tc>
        <w:tc>
          <w:tcPr>
            <w:tcW w:type="dxa" w:w="300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公开数据、研究测算或评价判断</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正文图表分析</w:t>
            </w:r>
          </w:p>
        </w:tc>
      </w:tr>
      <w:tr>
        <w:tc>
          <w:tcPr>
            <w:tcW w:type="dxa" w:w="113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F14</w:t>
            </w:r>
          </w:p>
        </w:tc>
        <w:tc>
          <w:tcPr>
            <w:tcW w:type="dxa" w:w="294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基础图表 14</w:t>
            </w:r>
          </w:p>
        </w:tc>
        <w:tc>
          <w:tcPr>
            <w:tcW w:type="dxa" w:w="300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公开数据、研究测算或评价判断</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正文图表分析</w:t>
            </w:r>
          </w:p>
        </w:tc>
      </w:tr>
      <w:tr>
        <w:tc>
          <w:tcPr>
            <w:tcW w:type="dxa" w:w="113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F15</w:t>
            </w:r>
          </w:p>
        </w:tc>
        <w:tc>
          <w:tcPr>
            <w:tcW w:type="dxa" w:w="294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基础图表 15</w:t>
            </w:r>
          </w:p>
        </w:tc>
        <w:tc>
          <w:tcPr>
            <w:tcW w:type="dxa" w:w="300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公开数据、研究测算或评价判断</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正文图表分析</w:t>
            </w:r>
          </w:p>
        </w:tc>
      </w:tr>
      <w:tr>
        <w:tc>
          <w:tcPr>
            <w:tcW w:type="dxa" w:w="113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F16</w:t>
            </w:r>
          </w:p>
        </w:tc>
        <w:tc>
          <w:tcPr>
            <w:tcW w:type="dxa" w:w="294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基础图表 16</w:t>
            </w:r>
          </w:p>
        </w:tc>
        <w:tc>
          <w:tcPr>
            <w:tcW w:type="dxa" w:w="300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公开数据、研究测算或评价判断</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正文图表分析</w:t>
            </w:r>
          </w:p>
        </w:tc>
      </w:tr>
      <w:tr>
        <w:tc>
          <w:tcPr>
            <w:tcW w:type="dxa" w:w="113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F17</w:t>
            </w:r>
          </w:p>
        </w:tc>
        <w:tc>
          <w:tcPr>
            <w:tcW w:type="dxa" w:w="294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基础图表 17</w:t>
            </w:r>
          </w:p>
        </w:tc>
        <w:tc>
          <w:tcPr>
            <w:tcW w:type="dxa" w:w="300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公开数据、研究测算或评价判断</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正文图表分析</w:t>
            </w:r>
          </w:p>
        </w:tc>
      </w:tr>
      <w:tr>
        <w:tc>
          <w:tcPr>
            <w:tcW w:type="dxa" w:w="113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F18</w:t>
            </w:r>
          </w:p>
        </w:tc>
        <w:tc>
          <w:tcPr>
            <w:tcW w:type="dxa" w:w="294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基础图表 18</w:t>
            </w:r>
          </w:p>
        </w:tc>
        <w:tc>
          <w:tcPr>
            <w:tcW w:type="dxa" w:w="300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公开数据、研究测算或评价判断</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正文图表分析</w:t>
            </w:r>
          </w:p>
        </w:tc>
      </w:tr>
      <w:tr>
        <w:tc>
          <w:tcPr>
            <w:tcW w:type="dxa" w:w="113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F19</w:t>
            </w:r>
          </w:p>
        </w:tc>
        <w:tc>
          <w:tcPr>
            <w:tcW w:type="dxa" w:w="294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基础图表 19</w:t>
            </w:r>
          </w:p>
        </w:tc>
        <w:tc>
          <w:tcPr>
            <w:tcW w:type="dxa" w:w="300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公开数据、研究测算或评价判断</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正文图表分析</w:t>
            </w:r>
          </w:p>
        </w:tc>
      </w:tr>
      <w:tr>
        <w:tc>
          <w:tcPr>
            <w:tcW w:type="dxa" w:w="113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F20</w:t>
            </w:r>
          </w:p>
        </w:tc>
        <w:tc>
          <w:tcPr>
            <w:tcW w:type="dxa" w:w="294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基础图表 20</w:t>
            </w:r>
          </w:p>
        </w:tc>
        <w:tc>
          <w:tcPr>
            <w:tcW w:type="dxa" w:w="300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公开数据、研究测算或评价判断</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正文图表分析</w:t>
            </w:r>
          </w:p>
        </w:tc>
      </w:tr>
      <w:tr>
        <w:tc>
          <w:tcPr>
            <w:tcW w:type="dxa" w:w="113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E1</w:t>
            </w:r>
          </w:p>
        </w:tc>
        <w:tc>
          <w:tcPr>
            <w:tcW w:type="dxa" w:w="294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扩展图表 1</w:t>
            </w:r>
          </w:p>
        </w:tc>
        <w:tc>
          <w:tcPr>
            <w:tcW w:type="dxa" w:w="300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公开数据衍生计算或专题研究评价</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长篇公开报告扩展分析</w:t>
            </w:r>
          </w:p>
        </w:tc>
      </w:tr>
      <w:tr>
        <w:tc>
          <w:tcPr>
            <w:tcW w:type="dxa" w:w="113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E2</w:t>
            </w:r>
          </w:p>
        </w:tc>
        <w:tc>
          <w:tcPr>
            <w:tcW w:type="dxa" w:w="294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扩展图表 2</w:t>
            </w:r>
          </w:p>
        </w:tc>
        <w:tc>
          <w:tcPr>
            <w:tcW w:type="dxa" w:w="300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公开数据衍生计算或专题研究评价</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长篇公开报告扩展分析</w:t>
            </w:r>
          </w:p>
        </w:tc>
      </w:tr>
      <w:tr>
        <w:tc>
          <w:tcPr>
            <w:tcW w:type="dxa" w:w="113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E3</w:t>
            </w:r>
          </w:p>
        </w:tc>
        <w:tc>
          <w:tcPr>
            <w:tcW w:type="dxa" w:w="294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扩展图表 3</w:t>
            </w:r>
          </w:p>
        </w:tc>
        <w:tc>
          <w:tcPr>
            <w:tcW w:type="dxa" w:w="300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公开数据衍生计算或专题研究评价</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长篇公开报告扩展分析</w:t>
            </w:r>
          </w:p>
        </w:tc>
      </w:tr>
      <w:tr>
        <w:tc>
          <w:tcPr>
            <w:tcW w:type="dxa" w:w="113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E4</w:t>
            </w:r>
          </w:p>
        </w:tc>
        <w:tc>
          <w:tcPr>
            <w:tcW w:type="dxa" w:w="294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扩展图表 4</w:t>
            </w:r>
          </w:p>
        </w:tc>
        <w:tc>
          <w:tcPr>
            <w:tcW w:type="dxa" w:w="300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公开数据衍生计算或专题研究评价</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长篇公开报告扩展分析</w:t>
            </w:r>
          </w:p>
        </w:tc>
      </w:tr>
      <w:tr>
        <w:tc>
          <w:tcPr>
            <w:tcW w:type="dxa" w:w="113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E5</w:t>
            </w:r>
          </w:p>
        </w:tc>
        <w:tc>
          <w:tcPr>
            <w:tcW w:type="dxa" w:w="294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扩展图表 5</w:t>
            </w:r>
          </w:p>
        </w:tc>
        <w:tc>
          <w:tcPr>
            <w:tcW w:type="dxa" w:w="300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公开数据衍生计算或专题研究评价</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长篇公开报告扩展分析</w:t>
            </w:r>
          </w:p>
        </w:tc>
      </w:tr>
      <w:tr>
        <w:tc>
          <w:tcPr>
            <w:tcW w:type="dxa" w:w="113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E6</w:t>
            </w:r>
          </w:p>
        </w:tc>
        <w:tc>
          <w:tcPr>
            <w:tcW w:type="dxa" w:w="294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扩展图表 6</w:t>
            </w:r>
          </w:p>
        </w:tc>
        <w:tc>
          <w:tcPr>
            <w:tcW w:type="dxa" w:w="300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公开数据衍生计算或专题研究评价</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长篇公开报告扩展分析</w:t>
            </w:r>
          </w:p>
        </w:tc>
      </w:tr>
      <w:tr>
        <w:tc>
          <w:tcPr>
            <w:tcW w:type="dxa" w:w="113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E7</w:t>
            </w:r>
          </w:p>
        </w:tc>
        <w:tc>
          <w:tcPr>
            <w:tcW w:type="dxa" w:w="294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扩展图表 7</w:t>
            </w:r>
          </w:p>
        </w:tc>
        <w:tc>
          <w:tcPr>
            <w:tcW w:type="dxa" w:w="300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公开数据衍生计算或专题研究评价</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长篇公开报告扩展分析</w:t>
            </w:r>
          </w:p>
        </w:tc>
      </w:tr>
      <w:tr>
        <w:tc>
          <w:tcPr>
            <w:tcW w:type="dxa" w:w="113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E8</w:t>
            </w:r>
          </w:p>
        </w:tc>
        <w:tc>
          <w:tcPr>
            <w:tcW w:type="dxa" w:w="294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扩展图表 8</w:t>
            </w:r>
          </w:p>
        </w:tc>
        <w:tc>
          <w:tcPr>
            <w:tcW w:type="dxa" w:w="300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公开数据衍生计算或专题研究评价</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长篇公开报告扩展分析</w:t>
            </w:r>
          </w:p>
        </w:tc>
      </w:tr>
      <w:tr>
        <w:tc>
          <w:tcPr>
            <w:tcW w:type="dxa" w:w="113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E9</w:t>
            </w:r>
          </w:p>
        </w:tc>
        <w:tc>
          <w:tcPr>
            <w:tcW w:type="dxa" w:w="294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扩展图表 9</w:t>
            </w:r>
          </w:p>
        </w:tc>
        <w:tc>
          <w:tcPr>
            <w:tcW w:type="dxa" w:w="300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公开数据衍生计算或专题研究评价</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长篇公开报告扩展分析</w:t>
            </w:r>
          </w:p>
        </w:tc>
      </w:tr>
      <w:tr>
        <w:tc>
          <w:tcPr>
            <w:tcW w:type="dxa" w:w="113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E10</w:t>
            </w:r>
          </w:p>
        </w:tc>
        <w:tc>
          <w:tcPr>
            <w:tcW w:type="dxa" w:w="294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扩展图表 10</w:t>
            </w:r>
          </w:p>
        </w:tc>
        <w:tc>
          <w:tcPr>
            <w:tcW w:type="dxa" w:w="300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公开数据衍生计算或专题研究评价</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长篇公开报告扩展分析</w:t>
            </w:r>
          </w:p>
        </w:tc>
      </w:tr>
      <w:tr>
        <w:tc>
          <w:tcPr>
            <w:tcW w:type="dxa" w:w="113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E11</w:t>
            </w:r>
          </w:p>
        </w:tc>
        <w:tc>
          <w:tcPr>
            <w:tcW w:type="dxa" w:w="294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扩展图表 11</w:t>
            </w:r>
          </w:p>
        </w:tc>
        <w:tc>
          <w:tcPr>
            <w:tcW w:type="dxa" w:w="300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公开数据衍生计算或专题研究评价</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长篇公开报告扩展分析</w:t>
            </w:r>
          </w:p>
        </w:tc>
      </w:tr>
      <w:tr>
        <w:tc>
          <w:tcPr>
            <w:tcW w:type="dxa" w:w="113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E12</w:t>
            </w:r>
          </w:p>
        </w:tc>
        <w:tc>
          <w:tcPr>
            <w:tcW w:type="dxa" w:w="294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扩展图表 12</w:t>
            </w:r>
          </w:p>
        </w:tc>
        <w:tc>
          <w:tcPr>
            <w:tcW w:type="dxa" w:w="300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公开数据衍生计算或专题研究评价</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长篇公开报告扩展分析</w:t>
            </w:r>
          </w:p>
        </w:tc>
      </w:tr>
      <w:tr>
        <w:tc>
          <w:tcPr>
            <w:tcW w:type="dxa" w:w="113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E13</w:t>
            </w:r>
          </w:p>
        </w:tc>
        <w:tc>
          <w:tcPr>
            <w:tcW w:type="dxa" w:w="294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扩展图表 13</w:t>
            </w:r>
          </w:p>
        </w:tc>
        <w:tc>
          <w:tcPr>
            <w:tcW w:type="dxa" w:w="300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公开数据衍生计算或专题研究评价</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长篇公开报告扩展分析</w:t>
            </w:r>
          </w:p>
        </w:tc>
      </w:tr>
      <w:tr>
        <w:tc>
          <w:tcPr>
            <w:tcW w:type="dxa" w:w="113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E14</w:t>
            </w:r>
          </w:p>
        </w:tc>
        <w:tc>
          <w:tcPr>
            <w:tcW w:type="dxa" w:w="294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扩展图表 14</w:t>
            </w:r>
          </w:p>
        </w:tc>
        <w:tc>
          <w:tcPr>
            <w:tcW w:type="dxa" w:w="300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公开数据衍生计算或专题研究评价</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长篇公开报告扩展分析</w:t>
            </w:r>
          </w:p>
        </w:tc>
      </w:tr>
      <w:tr>
        <w:tc>
          <w:tcPr>
            <w:tcW w:type="dxa" w:w="113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E15</w:t>
            </w:r>
          </w:p>
        </w:tc>
        <w:tc>
          <w:tcPr>
            <w:tcW w:type="dxa" w:w="294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扩展图表 15</w:t>
            </w:r>
          </w:p>
        </w:tc>
        <w:tc>
          <w:tcPr>
            <w:tcW w:type="dxa" w:w="300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公开数据衍生计算或专题研究评价</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长篇公开报告扩展分析</w:t>
            </w:r>
          </w:p>
        </w:tc>
      </w:tr>
      <w:tr>
        <w:tc>
          <w:tcPr>
            <w:tcW w:type="dxa" w:w="113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E16</w:t>
            </w:r>
          </w:p>
        </w:tc>
        <w:tc>
          <w:tcPr>
            <w:tcW w:type="dxa" w:w="294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扩展图表 16</w:t>
            </w:r>
          </w:p>
        </w:tc>
        <w:tc>
          <w:tcPr>
            <w:tcW w:type="dxa" w:w="300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公开数据衍生计算或专题研究评价</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长篇公开报告扩展分析</w:t>
            </w:r>
          </w:p>
        </w:tc>
      </w:tr>
      <w:tr>
        <w:tc>
          <w:tcPr>
            <w:tcW w:type="dxa" w:w="113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E17</w:t>
            </w:r>
          </w:p>
        </w:tc>
        <w:tc>
          <w:tcPr>
            <w:tcW w:type="dxa" w:w="294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扩展图表 17</w:t>
            </w:r>
          </w:p>
        </w:tc>
        <w:tc>
          <w:tcPr>
            <w:tcW w:type="dxa" w:w="300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公开数据衍生计算或专题研究评价</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长篇公开报告扩展分析</w:t>
            </w:r>
          </w:p>
        </w:tc>
      </w:tr>
      <w:tr>
        <w:tc>
          <w:tcPr>
            <w:tcW w:type="dxa" w:w="113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E18</w:t>
            </w:r>
          </w:p>
        </w:tc>
        <w:tc>
          <w:tcPr>
            <w:tcW w:type="dxa" w:w="294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扩展图表 18</w:t>
            </w:r>
          </w:p>
        </w:tc>
        <w:tc>
          <w:tcPr>
            <w:tcW w:type="dxa" w:w="300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公开数据衍生计算或专题研究评价</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长篇公开报告扩展分析</w:t>
            </w:r>
          </w:p>
        </w:tc>
      </w:tr>
      <w:tr>
        <w:tc>
          <w:tcPr>
            <w:tcW w:type="dxa" w:w="113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E19</w:t>
            </w:r>
          </w:p>
        </w:tc>
        <w:tc>
          <w:tcPr>
            <w:tcW w:type="dxa" w:w="294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扩展图表 19</w:t>
            </w:r>
          </w:p>
        </w:tc>
        <w:tc>
          <w:tcPr>
            <w:tcW w:type="dxa" w:w="300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公开数据衍生计算或专题研究评价</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长篇公开报告扩展分析</w:t>
            </w:r>
          </w:p>
        </w:tc>
      </w:tr>
      <w:tr>
        <w:tc>
          <w:tcPr>
            <w:tcW w:type="dxa" w:w="113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E20</w:t>
            </w:r>
          </w:p>
        </w:tc>
        <w:tc>
          <w:tcPr>
            <w:tcW w:type="dxa" w:w="294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扩展图表 20</w:t>
            </w:r>
          </w:p>
        </w:tc>
        <w:tc>
          <w:tcPr>
            <w:tcW w:type="dxa" w:w="300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公开数据衍生计算或专题研究评价</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长篇公开报告扩展分析</w:t>
            </w:r>
          </w:p>
        </w:tc>
      </w:tr>
      <w:tr>
        <w:tc>
          <w:tcPr>
            <w:tcW w:type="dxa" w:w="113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E21</w:t>
            </w:r>
          </w:p>
        </w:tc>
        <w:tc>
          <w:tcPr>
            <w:tcW w:type="dxa" w:w="294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扩展图表 21</w:t>
            </w:r>
          </w:p>
        </w:tc>
        <w:tc>
          <w:tcPr>
            <w:tcW w:type="dxa" w:w="300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公开数据衍生计算或专题研究评价</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长篇公开报告扩展分析</w:t>
            </w:r>
          </w:p>
        </w:tc>
      </w:tr>
      <w:tr>
        <w:tc>
          <w:tcPr>
            <w:tcW w:type="dxa" w:w="113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E22</w:t>
            </w:r>
          </w:p>
        </w:tc>
        <w:tc>
          <w:tcPr>
            <w:tcW w:type="dxa" w:w="294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扩展图表 22</w:t>
            </w:r>
          </w:p>
        </w:tc>
        <w:tc>
          <w:tcPr>
            <w:tcW w:type="dxa" w:w="300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公开数据衍生计算或专题研究评价</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长篇公开报告扩展分析</w:t>
            </w:r>
          </w:p>
        </w:tc>
      </w:tr>
      <w:tr>
        <w:tc>
          <w:tcPr>
            <w:tcW w:type="dxa" w:w="113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E23</w:t>
            </w:r>
          </w:p>
        </w:tc>
        <w:tc>
          <w:tcPr>
            <w:tcW w:type="dxa" w:w="294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扩展图表 23</w:t>
            </w:r>
          </w:p>
        </w:tc>
        <w:tc>
          <w:tcPr>
            <w:tcW w:type="dxa" w:w="300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公开数据衍生计算或专题研究评价</w:t>
            </w:r>
          </w:p>
        </w:tc>
        <w:tc>
          <w:tcPr>
            <w:tcW w:type="dxa" w:w="226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4"/>
              </w:rPr>
              <w:t>长篇公开报告扩展分析</w:t>
            </w:r>
          </w:p>
        </w:tc>
      </w:tr>
      <w:tr>
        <w:tc>
          <w:tcPr>
            <w:tcW w:type="dxa" w:w="113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E24</w:t>
            </w:r>
          </w:p>
        </w:tc>
        <w:tc>
          <w:tcPr>
            <w:tcW w:type="dxa" w:w="294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扩展图表 24</w:t>
            </w:r>
          </w:p>
        </w:tc>
        <w:tc>
          <w:tcPr>
            <w:tcW w:type="dxa" w:w="300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公开数据衍生计算或专题研究评价</w:t>
            </w:r>
          </w:p>
        </w:tc>
        <w:tc>
          <w:tcPr>
            <w:tcW w:type="dxa" w:w="226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4"/>
              </w:rPr>
              <w:t>长篇公开报告扩展分析</w:t>
            </w:r>
          </w:p>
        </w:tc>
      </w:tr>
    </w:tbl>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图表索引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图表索引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因此，图表索引的升级重点不是另起炉灶，而是在已有 9 万平方米展览规模、912 家参展企业、11.2 万专业观众、66.2 亿元累计意向成交和 23 万线上观展人次的基础上，把规模流量转化为产业链协同效率。</w:t>
      </w:r>
    </w:p>
    <w:p>
      <w:pPr>
        <w:spacing w:line="348" w:lineRule="auto" w:before="0" w:after="80"/>
        <w:ind w:firstLine="420"/>
      </w:pPr>
      <w:r/>
    </w:p>
    <w:p>
      <w:pPr>
        <w:pStyle w:val="Heading2"/>
        <w:spacing w:before="360" w:after="160"/>
      </w:pPr>
      <w:r>
        <w:rPr>
          <w:rFonts w:ascii="Times New Roman" w:hAnsi="Times New Roman" w:eastAsia="黑体"/>
          <w:b/>
          <w:color w:val="1E40AF"/>
          <w:sz w:val="30"/>
        </w:rPr>
        <w:t>五、风险与保障清单</w:t>
      </w:r>
    </w:p>
    <w:tbl>
      <w:tblPr>
        <w:tblStyle w:val="TableGrid"/>
        <w:tblW w:type="auto" w:w="0"/>
        <w:jc w:val="center"/>
        <w:tblLayout w:type="autofit"/>
        <w:tblLook w:firstColumn="1" w:firstRow="1" w:lastColumn="0" w:lastRow="0" w:noHBand="0" w:noVBand="1" w:val="04A0"/>
      </w:tblPr>
      <w:tblGrid>
        <w:gridCol w:w="2282"/>
        <w:gridCol w:w="2282"/>
        <w:gridCol w:w="2282"/>
        <w:gridCol w:w="2282"/>
      </w:tblGrid>
      <w:tr>
        <w:tc>
          <w:tcPr>
            <w:tcW w:type="dxa" w:w="1474"/>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风险</w:t>
            </w:r>
          </w:p>
        </w:tc>
        <w:tc>
          <w:tcPr>
            <w:tcW w:type="dxa" w:w="2948"/>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表现</w:t>
            </w:r>
          </w:p>
        </w:tc>
        <w:tc>
          <w:tcPr>
            <w:tcW w:type="dxa" w:w="2948"/>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保障动作</w:t>
            </w:r>
          </w:p>
        </w:tc>
        <w:tc>
          <w:tcPr>
            <w:tcW w:type="dxa" w:w="1814"/>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6"/>
              </w:rPr>
              <w:t>责任主体</w:t>
            </w:r>
          </w:p>
        </w:tc>
      </w:tr>
      <w:tr>
        <w:tc>
          <w:tcPr>
            <w:tcW w:type="dxa" w:w="147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数据质量</w:t>
            </w:r>
          </w:p>
        </w:tc>
        <w:tc>
          <w:tcPr>
            <w:tcW w:type="dxa" w:w="294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观众来源、成交转化、满意度等数据口径不一致</w:t>
            </w:r>
          </w:p>
        </w:tc>
        <w:tc>
          <w:tcPr>
            <w:tcW w:type="dxa" w:w="294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建立统一指标口径和采集模板</w:t>
            </w:r>
          </w:p>
        </w:tc>
        <w:tc>
          <w:tcPr>
            <w:tcW w:type="dxa" w:w="181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数据主管与主办方</w:t>
            </w:r>
          </w:p>
        </w:tc>
      </w:tr>
      <w:tr>
        <w:tc>
          <w:tcPr>
            <w:tcW w:type="dxa" w:w="147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现场拥堵</w:t>
            </w:r>
          </w:p>
        </w:tc>
        <w:tc>
          <w:tcPr>
            <w:tcW w:type="dxa" w:w="294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热门展区人流集中影响观展体验</w:t>
            </w:r>
          </w:p>
        </w:tc>
        <w:tc>
          <w:tcPr>
            <w:tcW w:type="dxa" w:w="294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优化预约入场、展区导览和人流监测</w:t>
            </w:r>
          </w:p>
        </w:tc>
        <w:tc>
          <w:tcPr>
            <w:tcW w:type="dxa" w:w="181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现场运营团队</w:t>
            </w:r>
          </w:p>
        </w:tc>
      </w:tr>
      <w:tr>
        <w:tc>
          <w:tcPr>
            <w:tcW w:type="dxa" w:w="147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国际采购</w:t>
            </w:r>
          </w:p>
        </w:tc>
        <w:tc>
          <w:tcPr>
            <w:tcW w:type="dxa" w:w="294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海外采购商组织难度较高</w:t>
            </w:r>
          </w:p>
        </w:tc>
        <w:tc>
          <w:tcPr>
            <w:tcW w:type="dxa" w:w="294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提前建立海外渠道和外文资料</w:t>
            </w:r>
          </w:p>
        </w:tc>
        <w:tc>
          <w:tcPr>
            <w:tcW w:type="dxa" w:w="181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国际合作团队</w:t>
            </w:r>
          </w:p>
        </w:tc>
      </w:tr>
      <w:tr>
        <w:tc>
          <w:tcPr>
            <w:tcW w:type="dxa" w:w="147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数字系统</w:t>
            </w:r>
          </w:p>
        </w:tc>
        <w:tc>
          <w:tcPr>
            <w:tcW w:type="dxa" w:w="294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预约洽谈和线索管理系统稳定性不足</w:t>
            </w:r>
          </w:p>
        </w:tc>
        <w:tc>
          <w:tcPr>
            <w:tcW w:type="dxa" w:w="294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开展压力测试和备用人工流程</w:t>
            </w:r>
          </w:p>
        </w:tc>
        <w:tc>
          <w:tcPr>
            <w:tcW w:type="dxa" w:w="181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技术服务商</w:t>
            </w:r>
          </w:p>
        </w:tc>
      </w:tr>
      <w:tr>
        <w:tc>
          <w:tcPr>
            <w:tcW w:type="dxa" w:w="147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展后转化</w:t>
            </w:r>
          </w:p>
        </w:tc>
        <w:tc>
          <w:tcPr>
            <w:tcW w:type="dxa" w:w="294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线索沉淀后缺少持续跟进</w:t>
            </w:r>
          </w:p>
        </w:tc>
        <w:tc>
          <w:tcPr>
            <w:tcW w:type="dxa" w:w="294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建立 1/3/6 月回访机制</w:t>
            </w:r>
          </w:p>
        </w:tc>
        <w:tc>
          <w:tcPr>
            <w:tcW w:type="dxa" w:w="181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主办方与展商</w:t>
            </w:r>
          </w:p>
        </w:tc>
      </w:tr>
      <w:tr>
        <w:tc>
          <w:tcPr>
            <w:tcW w:type="dxa" w:w="147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传播分层</w:t>
            </w:r>
          </w:p>
        </w:tc>
        <w:tc>
          <w:tcPr>
            <w:tcW w:type="dxa" w:w="294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传播内容同质化</w:t>
            </w:r>
          </w:p>
        </w:tc>
        <w:tc>
          <w:tcPr>
            <w:tcW w:type="dxa" w:w="294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按受众设计产业、城市、青年、国际四类内容</w:t>
            </w:r>
          </w:p>
        </w:tc>
        <w:tc>
          <w:tcPr>
            <w:tcW w:type="dxa" w:w="181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宣传团队</w:t>
            </w:r>
          </w:p>
        </w:tc>
      </w:tr>
      <w:tr>
        <w:tc>
          <w:tcPr>
            <w:tcW w:type="dxa" w:w="147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绿色低碳</w:t>
            </w:r>
          </w:p>
        </w:tc>
        <w:tc>
          <w:tcPr>
            <w:tcW w:type="dxa" w:w="294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搭建材料和现场消耗较高</w:t>
            </w:r>
          </w:p>
        </w:tc>
        <w:tc>
          <w:tcPr>
            <w:tcW w:type="dxa" w:w="2948"/>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推进标准展具和电子资料</w:t>
            </w:r>
          </w:p>
        </w:tc>
        <w:tc>
          <w:tcPr>
            <w:tcW w:type="dxa" w:w="181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6"/>
              </w:rPr>
              <w:t>搭建服务商</w:t>
            </w:r>
          </w:p>
        </w:tc>
      </w:tr>
      <w:tr>
        <w:tc>
          <w:tcPr>
            <w:tcW w:type="dxa" w:w="147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城市承载</w:t>
            </w:r>
          </w:p>
        </w:tc>
        <w:tc>
          <w:tcPr>
            <w:tcW w:type="dxa" w:w="294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交通、住宿、餐饮峰值压力</w:t>
            </w:r>
          </w:p>
        </w:tc>
        <w:tc>
          <w:tcPr>
            <w:tcW w:type="dxa" w:w="2948"/>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提前协同城市服务资源</w:t>
            </w:r>
          </w:p>
        </w:tc>
        <w:tc>
          <w:tcPr>
            <w:tcW w:type="dxa" w:w="181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6"/>
              </w:rPr>
              <w:t>属地服务部门</w:t>
            </w:r>
          </w:p>
        </w:tc>
      </w:tr>
    </w:tbl>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风险与保障清单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风险与保障清单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因此，风险与保障清单的升级重点不是另起炉灶，而是在已有 9 万平方米展览规模、912 家参展企业、11.2 万专业观众、66.2 亿元累计意向成交和 23 万线上观展人次的基础上，把规模流量转化为产业链协同效率。</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风险与保障清单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风险与保障清单还承担展示先进制造业形象、连接产业链上下游、服务东北全面振兴的重要功能。报告将其放入“北方智能制造产业链服务平台”的定位中，是为了把短期办展成效转化为长期产业服务能力。</w:t>
      </w:r>
    </w:p>
    <w:p>
      <w:pPr>
        <w:pStyle w:val="Heading1"/>
        <w:spacing w:before="360" w:after="160"/>
        <w:jc w:val="center"/>
      </w:pPr>
      <w:r>
        <w:rPr>
          <w:rFonts w:ascii="Times New Roman" w:hAnsi="Times New Roman" w:eastAsia="黑体"/>
          <w:b/>
          <w:color w:val="0F1F4F"/>
          <w:sz w:val="40"/>
        </w:rPr>
        <w:t>第十部分  重点专题深化分析</w:t>
      </w:r>
    </w:p>
    <w:p>
      <w:pPr>
        <w:pStyle w:val="Heading2"/>
        <w:spacing w:before="360" w:after="160"/>
      </w:pPr>
      <w:r>
        <w:rPr>
          <w:rFonts w:ascii="Times New Roman" w:hAnsi="Times New Roman" w:eastAsia="黑体"/>
          <w:b/>
          <w:color w:val="1E40AF"/>
          <w:sz w:val="30"/>
        </w:rPr>
        <w:t>专业观众组织专题</w:t>
      </w:r>
    </w:p>
    <w:p>
      <w:pPr>
        <w:spacing w:line="348" w:lineRule="auto" w:before="0" w:after="80"/>
        <w:ind w:firstLine="420"/>
      </w:pPr>
      <w:r>
        <w:rPr>
          <w:rFonts w:ascii="Times New Roman" w:hAnsi="Times New Roman" w:eastAsia="宋体"/>
          <w:b w:val="0"/>
          <w:color w:val="0F172A"/>
          <w:sz w:val="24"/>
        </w:rPr>
        <w:t>专业观众是装备制造类展会的核心资产。第二十三届中国制博会公开数据中的 11.2 万人次专业观众，为展会从展示平台升级为产业链服务平台提供了基础。下一步应从总量组织转向画像组织，把观众的行业、岗位、采购权限、预算周期、关注展区和目标企业类型纳入注册与服务流程。</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专业观众组织专题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专业观众组织专题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因此，专业观众组织专题的升级重点不是另起炉灶，而是在已有 9 万平方米展览规模、912 家参展企业、11.2 万专业观众、66.2 亿元累计意向成交和 23 万线上观展人次的基础上，把规模流量转化为产业链协同效率。</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专业观众组织专题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专业观众组织专题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因此，专业观众组织专题的升级重点不是另起炉灶，而是在已有 9 万平方米展览规模、912 家参展企业、11.2 万专业观众、66.2 亿元累计意向成交和 23 万线上观展人次的基础上，把规模流量转化为产业链协同效率。</w:t>
      </w:r>
    </w:p>
    <w:p>
      <w:pPr>
        <w:pStyle w:val="Heading2"/>
        <w:spacing w:before="360" w:after="160"/>
      </w:pPr>
      <w:r>
        <w:rPr>
          <w:rFonts w:ascii="Times New Roman" w:hAnsi="Times New Roman" w:eastAsia="黑体"/>
          <w:b/>
          <w:color w:val="1E40AF"/>
          <w:sz w:val="30"/>
        </w:rPr>
        <w:t>供需匹配专题</w:t>
      </w:r>
    </w:p>
    <w:p>
      <w:pPr>
        <w:spacing w:line="348" w:lineRule="auto" w:before="0" w:after="80"/>
        <w:ind w:firstLine="420"/>
      </w:pPr>
      <w:r>
        <w:rPr>
          <w:rFonts w:ascii="Times New Roman" w:hAnsi="Times New Roman" w:eastAsia="宋体"/>
          <w:b w:val="0"/>
          <w:color w:val="0F172A"/>
          <w:sz w:val="24"/>
        </w:rPr>
        <w:t>装备制造采购往往具有技术参数复杂、决策链条长、采购周期长的特征。展会若仅依靠现场偶遇式洽谈，难以充分释放 912 家参展企业和 11.2 万专业观众之间的潜在匹配价值。供需匹配应以展前需求采集、展中预约洽谈和展后线索跟进为主线。</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供需匹配专题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供需匹配专题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因此，供需匹配专题的升级重点不是另起炉灶，而是在已有 9 万平方米展览规模、912 家参展企业、11.2 万专业观众、66.2 亿元累计意向成交和 23 万线上观展人次的基础上，把规模流量转化为产业链协同效率。</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供需匹配专题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供需匹配专题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因此，供需匹配专题的升级重点不是另起炉灶，而是在已有 9 万平方米展览规模、912 家参展企业、11.2 万专业观众、66.2 亿元累计意向成交和 23 万线上观展人次的基础上，把规模流量转化为产业链协同效率。</w:t>
      </w:r>
    </w:p>
    <w:p>
      <w:pPr>
        <w:pStyle w:val="Heading2"/>
        <w:spacing w:before="360" w:after="160"/>
      </w:pPr>
      <w:r>
        <w:rPr>
          <w:rFonts w:ascii="Times New Roman" w:hAnsi="Times New Roman" w:eastAsia="黑体"/>
          <w:b/>
          <w:color w:val="1E40AF"/>
          <w:sz w:val="30"/>
        </w:rPr>
        <w:t>数字平台专题</w:t>
      </w:r>
    </w:p>
    <w:p>
      <w:pPr>
        <w:spacing w:line="348" w:lineRule="auto" w:before="0" w:after="80"/>
        <w:ind w:firstLine="420"/>
      </w:pPr>
      <w:r>
        <w:rPr>
          <w:rFonts w:ascii="Times New Roman" w:hAnsi="Times New Roman" w:eastAsia="宋体"/>
          <w:b w:val="0"/>
          <w:color w:val="0F172A"/>
          <w:sz w:val="24"/>
        </w:rPr>
        <w:t>线上云展已有 1500 余家企业和 23 万人次线上观展基础，说明中国制博会具备数字化触达能力。下一步的关键是把云展从信息展示升级为交易服务，把线上访问转化为需求画像、预约洽谈、产品收藏、电子名片和展后回访记录。</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数字平台专题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数字平台专题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因此，数字平台专题的升级重点不是另起炉灶，而是在已有 9 万平方米展览规模、912 家参展企业、11.2 万专业观众、66.2 亿元累计意向成交和 23 万线上观展人次的基础上，把规模流量转化为产业链协同效率。</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数字平台专题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数字平台专题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因此，数字平台专题的升级重点不是另起炉灶，而是在已有 9 万平方米展览规模、912 家参展企业、11.2 万专业观众、66.2 亿元累计意向成交和 23 万线上观展人次的基础上，把规模流量转化为产业链协同效率。</w:t>
      </w:r>
    </w:p>
    <w:p>
      <w:pPr>
        <w:pStyle w:val="Heading2"/>
        <w:spacing w:before="360" w:after="160"/>
      </w:pPr>
      <w:r>
        <w:rPr>
          <w:rFonts w:ascii="Times New Roman" w:hAnsi="Times New Roman" w:eastAsia="黑体"/>
          <w:b/>
          <w:color w:val="1E40AF"/>
          <w:sz w:val="30"/>
        </w:rPr>
        <w:t>国际采购专题</w:t>
      </w:r>
    </w:p>
    <w:p>
      <w:pPr>
        <w:spacing w:line="348" w:lineRule="auto" w:before="0" w:after="80"/>
        <w:ind w:firstLine="420"/>
      </w:pPr>
      <w:r>
        <w:rPr>
          <w:rFonts w:ascii="Times New Roman" w:hAnsi="Times New Roman" w:eastAsia="宋体"/>
          <w:b w:val="0"/>
          <w:color w:val="0F172A"/>
          <w:sz w:val="24"/>
        </w:rPr>
        <w:t>本届展会已出现 181 家外资及合作企业，并通过“一带一路”国家采购商对接会形成 4.1 亿元意向采购。国际化升级不应只看海外展商数量，还应关注国际买家的行业分布、采购阶段、成交周期和跨境服务能力。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国际采购专题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国际采购专题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因此，国际采购专题的升级重点不是另起炉灶，而是在已有 9 万平方米展览规模、912 家参展企业、11.2 万专业观众、66.2 亿元累计意向成交和 23 万线上观展人次的基础上，把规模流量转化为产业链协同效率。</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国际采购专题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国际采购专题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因此，国际采购专题的升级重点不是另起炉灶，而是在已有 9 万平方米展览规模、912 家参展企业、11.2 万专业观众、66.2 亿元累计意向成交和 23 万线上观展人次的基础上，把规模流量转化为产业链协同效率。</w:t>
      </w:r>
    </w:p>
    <w:p>
      <w:pPr>
        <w:pStyle w:val="Heading2"/>
        <w:spacing w:before="360" w:after="160"/>
      </w:pPr>
      <w:r>
        <w:rPr>
          <w:rFonts w:ascii="Times New Roman" w:hAnsi="Times New Roman" w:eastAsia="黑体"/>
          <w:b/>
          <w:color w:val="1E40AF"/>
          <w:sz w:val="30"/>
        </w:rPr>
        <w:t>展后转化专题</w:t>
      </w:r>
    </w:p>
    <w:p>
      <w:pPr>
        <w:spacing w:line="348" w:lineRule="auto" w:before="0" w:after="80"/>
        <w:ind w:firstLine="420"/>
      </w:pPr>
      <w:r>
        <w:rPr>
          <w:rFonts w:ascii="Times New Roman" w:hAnsi="Times New Roman" w:eastAsia="宋体"/>
          <w:b w:val="0"/>
          <w:color w:val="0F172A"/>
          <w:sz w:val="24"/>
        </w:rPr>
        <w:t>66.2 亿元累计意向成交体现出展会经贸撮合能力，但装备制造采购真正落地往往发生在展后。主办方可建立展后 1 个月、3 个月、6 个月线索回访制度，持续跟踪重点项目推进情况，帮助参展商形成可量化的参展收益。</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展后转化专题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展后转化专题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因此，展后转化专题的升级重点不是另起炉灶，而是在已有 9 万平方米展览规模、912 家参展企业、11.2 万专业观众、66.2 亿元累计意向成交和 23 万线上观展人次的基础上，把规模流量转化为产业链协同效率。</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展后转化专题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展后转化专题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因此，展后转化专题的升级重点不是另起炉灶，而是在已有 9 万平方米展览规模、912 家参展企业、11.2 万专业观众、66.2 亿元累计意向成交和 23 万线上观展人次的基础上，把规模流量转化为产业链协同效率。</w:t>
      </w:r>
    </w:p>
    <w:p>
      <w:pPr>
        <w:pStyle w:val="Heading2"/>
        <w:spacing w:before="360" w:after="160"/>
      </w:pPr>
      <w:r>
        <w:rPr>
          <w:rFonts w:ascii="Times New Roman" w:hAnsi="Times New Roman" w:eastAsia="黑体"/>
          <w:b/>
          <w:color w:val="1E40AF"/>
          <w:sz w:val="30"/>
        </w:rPr>
        <w:t>城市产业形象专题</w:t>
      </w:r>
    </w:p>
    <w:p>
      <w:pPr>
        <w:spacing w:line="348" w:lineRule="auto" w:before="0" w:after="80"/>
        <w:ind w:firstLine="420"/>
      </w:pPr>
      <w:r>
        <w:rPr>
          <w:rFonts w:ascii="Times New Roman" w:hAnsi="Times New Roman" w:eastAsia="宋体"/>
          <w:b w:val="0"/>
          <w:color w:val="0F172A"/>
          <w:sz w:val="24"/>
        </w:rPr>
        <w:t>中国制博会在沈阳举办，天然承担城市产业品牌传播功能。展会现场展示的机器人、工业母机、工业软件、绿色装备和高端制造场景，可以帮助外界更新对沈阳的产业认知，把老工业基地形象转化为先进制造业创新城市形象。</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城市产业形象专题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城市产业形象专题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因此，城市产业形象专题的升级重点不是另起炉灶，而是在已有 9 万平方米展览规模、912 家参展企业、11.2 万专业观众、66.2 亿元累计意向成交和 23 万线上观展人次的基础上，把规模流量转化为产业链协同效率。</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城市产业形象专题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城市产业形象专题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因此，城市产业形象专题的升级重点不是另起炉灶，而是在已有 9 万平方米展览规模、912 家参展企业、11.2 万专业观众、66.2 亿元累计意向成交和 23 万线上观展人次的基础上，把规模流量转化为产业链协同效率。</w:t>
      </w:r>
    </w:p>
    <w:p>
      <w:pPr>
        <w:pStyle w:val="Heading2"/>
        <w:spacing w:before="360" w:after="160"/>
      </w:pPr>
      <w:r>
        <w:rPr>
          <w:rFonts w:ascii="Times New Roman" w:hAnsi="Times New Roman" w:eastAsia="黑体"/>
          <w:b/>
          <w:color w:val="1E40AF"/>
          <w:sz w:val="30"/>
        </w:rPr>
        <w:t>工业文旅专题</w:t>
      </w:r>
    </w:p>
    <w:p>
      <w:pPr>
        <w:spacing w:line="348" w:lineRule="auto" w:before="0" w:after="80"/>
        <w:ind w:firstLine="420"/>
      </w:pPr>
      <w:r>
        <w:rPr>
          <w:rFonts w:ascii="Times New Roman" w:hAnsi="Times New Roman" w:eastAsia="宋体"/>
          <w:b w:val="0"/>
          <w:color w:val="0F172A"/>
          <w:sz w:val="24"/>
        </w:rPr>
        <w:t>工业文旅不是把展会娱乐化，而是把展馆、工厂、高校、工业博物馆和城市消费空间连接起来。面向专业观众，可以设计产业考察路线；面向城市公众，可以设计工业文化体验；面向学生群体，可以设计工程师成长和研学路线。</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工业文旅专题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工业文旅专题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因此，工业文旅专题的升级重点不是另起炉灶，而是在已有 9 万平方米展览规模、912 家参展企业、11.2 万专业观众、66.2 亿元累计意向成交和 23 万线上观展人次的基础上，把规模流量转化为产业链协同效率。</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工业文旅专题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工业文旅专题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因此，工业文旅专题的升级重点不是另起炉灶，而是在已有 9 万平方米展览规模、912 家参展企业、11.2 万专业观众、66.2 亿元累计意向成交和 23 万线上观展人次的基础上，把规模流量转化为产业链协同效率。</w:t>
      </w:r>
    </w:p>
    <w:p>
      <w:pPr>
        <w:pStyle w:val="Heading2"/>
        <w:spacing w:before="360" w:after="160"/>
      </w:pPr>
      <w:r>
        <w:rPr>
          <w:rFonts w:ascii="Times New Roman" w:hAnsi="Times New Roman" w:eastAsia="黑体"/>
          <w:b/>
          <w:color w:val="1E40AF"/>
          <w:sz w:val="30"/>
        </w:rPr>
        <w:t>绿色低碳专题</w:t>
      </w:r>
    </w:p>
    <w:p>
      <w:pPr>
        <w:spacing w:line="348" w:lineRule="auto" w:before="0" w:after="80"/>
        <w:ind w:firstLine="420"/>
      </w:pPr>
      <w:r>
        <w:rPr>
          <w:rFonts w:ascii="Times New Roman" w:hAnsi="Times New Roman" w:eastAsia="宋体"/>
          <w:b w:val="0"/>
          <w:color w:val="0F172A"/>
          <w:sz w:val="24"/>
        </w:rPr>
        <w:t>绿色低碳会展应落实到搭建材料、运输组织、电子资料、现场餐饮、垃圾分类和碳排放管理等具体环节。装备制造展会本身也可以通过绿色装备专区、节能环保技术发布和低碳制造案例传播，强化绿色制造导向。</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绿色低碳专题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绿色低碳专题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因此，绿色低碳专题的升级重点不是另起炉灶，而是在已有 9 万平方米展览规模、912 家参展企业、11.2 万专业观众、66.2 亿元累计意向成交和 23 万线上观展人次的基础上，把规模流量转化为产业链协同效率。</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绿色低碳专题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绿色低碳专题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因此，绿色低碳专题的升级重点不是另起炉灶，而是在已有 9 万平方米展览规模、912 家参展企业、11.2 万专业观众、66.2 亿元累计意向成交和 23 万线上观展人次的基础上，把规模流量转化为产业链协同效率。</w:t>
      </w:r>
    </w:p>
    <w:p>
      <w:pPr>
        <w:spacing w:before="160" w:after="40"/>
        <w:jc w:val="center"/>
      </w:pPr>
      <w:r>
        <w:drawing>
          <wp:inline xmlns:a="http://schemas.openxmlformats.org/drawingml/2006/main" xmlns:pic="http://schemas.openxmlformats.org/drawingml/2006/picture">
            <wp:extent cx="5472000" cy="4160348"/>
            <wp:docPr id="47" name="Picture 47"/>
            <wp:cNvGraphicFramePr>
              <a:graphicFrameLocks noChangeAspect="1"/>
            </wp:cNvGraphicFramePr>
            <a:graphic>
              <a:graphicData uri="http://schemas.openxmlformats.org/drawingml/2006/picture">
                <pic:pic>
                  <pic:nvPicPr>
                    <pic:cNvPr id="0" name="E14.png"/>
                    <pic:cNvPicPr/>
                  </pic:nvPicPr>
                  <pic:blipFill>
                    <a:blip r:embed="rId50"/>
                    <a:stretch>
                      <a:fillRect/>
                    </a:stretch>
                  </pic:blipFill>
                  <pic:spPr>
                    <a:xfrm>
                      <a:off x="0" y="0"/>
                      <a:ext cx="5472000" cy="4160348"/>
                    </a:xfrm>
                    <a:prstGeom prst="rect"/>
                  </pic:spPr>
                </pic:pic>
              </a:graphicData>
            </a:graphic>
          </wp:inline>
        </w:drawing>
      </w:r>
    </w:p>
    <w:p>
      <w:pPr>
        <w:spacing w:after="200"/>
        <w:jc w:val="center"/>
      </w:pPr>
      <w:r>
        <w:rPr>
          <w:rFonts w:ascii="Times New Roman" w:hAnsi="Times New Roman" w:eastAsia="宋体"/>
          <w:b w:val="0"/>
          <w:color w:val="64748B"/>
          <w:sz w:val="18"/>
        </w:rPr>
        <w:t>图 E14  专业观众组织转化漏斗</w:t>
      </w:r>
    </w:p>
    <w:p>
      <w:pPr>
        <w:spacing w:before="160" w:after="40"/>
        <w:jc w:val="center"/>
      </w:pPr>
      <w:r>
        <w:drawing>
          <wp:inline xmlns:a="http://schemas.openxmlformats.org/drawingml/2006/main" xmlns:pic="http://schemas.openxmlformats.org/drawingml/2006/picture">
            <wp:extent cx="5472000" cy="3370947"/>
            <wp:docPr id="48" name="Picture 48"/>
            <wp:cNvGraphicFramePr>
              <a:graphicFrameLocks noChangeAspect="1"/>
            </wp:cNvGraphicFramePr>
            <a:graphic>
              <a:graphicData uri="http://schemas.openxmlformats.org/drawingml/2006/picture">
                <pic:pic>
                  <pic:nvPicPr>
                    <pic:cNvPr id="0" name="E18.png"/>
                    <pic:cNvPicPr/>
                  </pic:nvPicPr>
                  <pic:blipFill>
                    <a:blip r:embed="rId51"/>
                    <a:stretch>
                      <a:fillRect/>
                    </a:stretch>
                  </pic:blipFill>
                  <pic:spPr>
                    <a:xfrm>
                      <a:off x="0" y="0"/>
                      <a:ext cx="5472000" cy="3370947"/>
                    </a:xfrm>
                    <a:prstGeom prst="rect"/>
                  </pic:spPr>
                </pic:pic>
              </a:graphicData>
            </a:graphic>
          </wp:inline>
        </w:drawing>
      </w:r>
    </w:p>
    <w:p>
      <w:pPr>
        <w:spacing w:after="200"/>
        <w:jc w:val="center"/>
      </w:pPr>
      <w:r>
        <w:rPr>
          <w:rFonts w:ascii="Times New Roman" w:hAnsi="Times New Roman" w:eastAsia="宋体"/>
          <w:b w:val="0"/>
          <w:color w:val="64748B"/>
          <w:sz w:val="18"/>
        </w:rPr>
        <w:t>图 E18  网页栏目内容权重</w:t>
      </w:r>
    </w:p>
    <w:p>
      <w:pPr>
        <w:spacing w:before="160" w:after="40"/>
        <w:jc w:val="center"/>
      </w:pPr>
      <w:r>
        <w:drawing>
          <wp:inline xmlns:a="http://schemas.openxmlformats.org/drawingml/2006/main" xmlns:pic="http://schemas.openxmlformats.org/drawingml/2006/picture">
            <wp:extent cx="5472000" cy="4450806"/>
            <wp:docPr id="49" name="Picture 49"/>
            <wp:cNvGraphicFramePr>
              <a:graphicFrameLocks noChangeAspect="1"/>
            </wp:cNvGraphicFramePr>
            <a:graphic>
              <a:graphicData uri="http://schemas.openxmlformats.org/drawingml/2006/picture">
                <pic:pic>
                  <pic:nvPicPr>
                    <pic:cNvPr id="0" name="E19.png"/>
                    <pic:cNvPicPr/>
                  </pic:nvPicPr>
                  <pic:blipFill>
                    <a:blip r:embed="rId52"/>
                    <a:stretch>
                      <a:fillRect/>
                    </a:stretch>
                  </pic:blipFill>
                  <pic:spPr>
                    <a:xfrm>
                      <a:off x="0" y="0"/>
                      <a:ext cx="5472000" cy="4450806"/>
                    </a:xfrm>
                    <a:prstGeom prst="rect"/>
                  </pic:spPr>
                </pic:pic>
              </a:graphicData>
            </a:graphic>
          </wp:inline>
        </w:drawing>
      </w:r>
    </w:p>
    <w:p>
      <w:pPr>
        <w:spacing w:after="200"/>
        <w:jc w:val="center"/>
      </w:pPr>
      <w:r>
        <w:rPr>
          <w:rFonts w:ascii="Times New Roman" w:hAnsi="Times New Roman" w:eastAsia="宋体"/>
          <w:b w:val="0"/>
          <w:color w:val="64748B"/>
          <w:sz w:val="18"/>
        </w:rPr>
        <w:t>图 E19  传播对象与内容适配</w:t>
      </w:r>
    </w:p>
    <w:p>
      <w:pPr>
        <w:pStyle w:val="Heading1"/>
        <w:spacing w:before="360" w:after="160"/>
        <w:jc w:val="center"/>
      </w:pPr>
      <w:r>
        <w:rPr>
          <w:rFonts w:ascii="Times New Roman" w:hAnsi="Times New Roman" w:eastAsia="黑体"/>
          <w:b/>
          <w:color w:val="0F1F4F"/>
          <w:sz w:val="40"/>
        </w:rPr>
        <w:t>第十一部分  调研工具与附录</w:t>
      </w:r>
    </w:p>
    <w:p>
      <w:pPr>
        <w:pStyle w:val="Heading2"/>
        <w:spacing w:before="360" w:after="160"/>
      </w:pPr>
      <w:r>
        <w:rPr>
          <w:rFonts w:ascii="Times New Roman" w:hAnsi="Times New Roman" w:eastAsia="黑体"/>
          <w:b/>
          <w:color w:val="1E40AF"/>
          <w:sz w:val="30"/>
        </w:rPr>
        <w:t>附录 A  专业观众问卷框架</w:t>
      </w:r>
    </w:p>
    <w:p>
      <w:pPr>
        <w:spacing w:line="348" w:lineRule="auto" w:before="0" w:after="80"/>
        <w:ind w:firstLine="420"/>
      </w:pPr>
      <w:r>
        <w:rPr>
          <w:rFonts w:ascii="Times New Roman" w:hAnsi="Times New Roman" w:eastAsia="宋体"/>
          <w:b w:val="0"/>
          <w:color w:val="0F172A"/>
          <w:sz w:val="24"/>
        </w:rPr>
        <w:t>问卷用于后续持续调研，围绕观众身份、到场目的、采购需求、展区评价、数字平台使用、现场服务、推荐意愿和改进建议构建。正式回收时建议样本量不少于 300 份，并按参展商、采购商、科研高校、政府园区、服务机构等身份分层。</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专业观众问卷框架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专业观众问卷框架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tbl>
      <w:tblPr>
        <w:tblStyle w:val="TableGrid"/>
        <w:tblW w:type="auto" w:w="0"/>
        <w:jc w:val="center"/>
        <w:tblLayout w:type="autofit"/>
        <w:tblLook w:firstColumn="1" w:firstRow="1" w:lastColumn="0" w:lastRow="0" w:noHBand="0" w:noVBand="1" w:val="04A0"/>
      </w:tblPr>
      <w:tblGrid>
        <w:gridCol w:w="3043"/>
        <w:gridCol w:w="3043"/>
        <w:gridCol w:w="3043"/>
      </w:tblGrid>
      <w:tr>
        <w:tc>
          <w:tcPr>
            <w:tcW w:type="dxa" w:w="1701"/>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8"/>
              </w:rPr>
              <w:t>模块</w:t>
            </w:r>
          </w:p>
        </w:tc>
        <w:tc>
          <w:tcPr>
            <w:tcW w:type="dxa" w:w="3969"/>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8"/>
              </w:rPr>
              <w:t>主要问题</w:t>
            </w:r>
          </w:p>
        </w:tc>
        <w:tc>
          <w:tcPr>
            <w:tcW w:type="dxa" w:w="3175"/>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8"/>
              </w:rPr>
              <w:t>用途</w:t>
            </w:r>
          </w:p>
        </w:tc>
      </w:tr>
      <w:tr>
        <w:tc>
          <w:tcPr>
            <w:tcW w:type="dxa" w:w="170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身份识别</w:t>
            </w:r>
          </w:p>
        </w:tc>
        <w:tc>
          <w:tcPr>
            <w:tcW w:type="dxa" w:w="3969"/>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单位类型、所在地区、岗位角色、决策权限</w:t>
            </w:r>
          </w:p>
        </w:tc>
        <w:tc>
          <w:tcPr>
            <w:tcW w:type="dxa" w:w="317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识别专业观众结构</w:t>
            </w:r>
          </w:p>
        </w:tc>
      </w:tr>
      <w:tr>
        <w:tc>
          <w:tcPr>
            <w:tcW w:type="dxa" w:w="170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到场目的</w:t>
            </w:r>
          </w:p>
        </w:tc>
        <w:tc>
          <w:tcPr>
            <w:tcW w:type="dxa" w:w="3969"/>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采购设备、寻找供应商、了解趋势、参加论坛、招商对接</w:t>
            </w:r>
          </w:p>
        </w:tc>
        <w:tc>
          <w:tcPr>
            <w:tcW w:type="dxa" w:w="317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判断观众需求</w:t>
            </w:r>
          </w:p>
        </w:tc>
      </w:tr>
      <w:tr>
        <w:tc>
          <w:tcPr>
            <w:tcW w:type="dxa" w:w="170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采购需求</w:t>
            </w:r>
          </w:p>
        </w:tc>
        <w:tc>
          <w:tcPr>
            <w:tcW w:type="dxa" w:w="3969"/>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关注展区、采购周期、预算区间、技术方向</w:t>
            </w:r>
          </w:p>
        </w:tc>
        <w:tc>
          <w:tcPr>
            <w:tcW w:type="dxa" w:w="317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形成供需匹配画像</w:t>
            </w:r>
          </w:p>
        </w:tc>
      </w:tr>
      <w:tr>
        <w:tc>
          <w:tcPr>
            <w:tcW w:type="dxa" w:w="170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观展体验</w:t>
            </w:r>
          </w:p>
        </w:tc>
        <w:tc>
          <w:tcPr>
            <w:tcW w:type="dxa" w:w="3969"/>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注册、导览、展商质量、洽谈环境、餐饮交通</w:t>
            </w:r>
          </w:p>
        </w:tc>
        <w:tc>
          <w:tcPr>
            <w:tcW w:type="dxa" w:w="317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评估现场服务</w:t>
            </w:r>
          </w:p>
        </w:tc>
      </w:tr>
      <w:tr>
        <w:tc>
          <w:tcPr>
            <w:tcW w:type="dxa" w:w="170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数字平台</w:t>
            </w:r>
          </w:p>
        </w:tc>
        <w:tc>
          <w:tcPr>
            <w:tcW w:type="dxa" w:w="3969"/>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云展、预约、电子名片、线上资料、展后回访</w:t>
            </w:r>
          </w:p>
        </w:tc>
        <w:tc>
          <w:tcPr>
            <w:tcW w:type="dxa" w:w="317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评估数字化闭环</w:t>
            </w:r>
          </w:p>
        </w:tc>
      </w:tr>
      <w:tr>
        <w:tc>
          <w:tcPr>
            <w:tcW w:type="dxa" w:w="170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推荐意愿</w:t>
            </w:r>
          </w:p>
        </w:tc>
        <w:tc>
          <w:tcPr>
            <w:tcW w:type="dxa" w:w="3969"/>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0-10 分推荐意愿及原因</w:t>
            </w:r>
          </w:p>
        </w:tc>
        <w:tc>
          <w:tcPr>
            <w:tcW w:type="dxa" w:w="317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计算净推荐值</w:t>
            </w:r>
          </w:p>
        </w:tc>
      </w:tr>
      <w:tr>
        <w:tc>
          <w:tcPr>
            <w:tcW w:type="dxa" w:w="170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开放建议</w:t>
            </w:r>
          </w:p>
        </w:tc>
        <w:tc>
          <w:tcPr>
            <w:tcW w:type="dxa" w:w="3969"/>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最希望改进的三项内容</w:t>
            </w:r>
          </w:p>
        </w:tc>
        <w:tc>
          <w:tcPr>
            <w:tcW w:type="dxa" w:w="317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形成优化清单</w:t>
            </w:r>
          </w:p>
        </w:tc>
      </w:tr>
    </w:tbl>
    <w:p/>
    <w:p>
      <w:pPr>
        <w:pStyle w:val="Heading2"/>
        <w:spacing w:before="360" w:after="160"/>
      </w:pPr>
      <w:r>
        <w:rPr>
          <w:rFonts w:ascii="Times New Roman" w:hAnsi="Times New Roman" w:eastAsia="黑体"/>
          <w:b/>
          <w:color w:val="1E40AF"/>
          <w:sz w:val="30"/>
        </w:rPr>
        <w:t>附录 B  参展商访谈提纲</w:t>
      </w:r>
    </w:p>
    <w:p>
      <w:pPr>
        <w:spacing w:line="348" w:lineRule="auto" w:before="0" w:after="80"/>
        <w:ind w:firstLine="420"/>
      </w:pPr>
      <w:r>
        <w:rPr>
          <w:rFonts w:ascii="Times New Roman" w:hAnsi="Times New Roman" w:eastAsia="宋体"/>
          <w:b w:val="0"/>
          <w:color w:val="0F172A"/>
          <w:sz w:val="24"/>
        </w:rPr>
        <w:t>访谈建议覆盖龙头企业、中小企业、首次参展企业、国际展商和服务机构。每场 30-45 分钟，重点记录参展目标、客户线索质量、现场服务体验、数字平台使用和展后转化情况。</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参展商访谈提纲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参展商访谈提纲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tbl>
      <w:tblPr>
        <w:tblStyle w:val="TableGrid"/>
        <w:tblW w:type="auto" w:w="0"/>
        <w:jc w:val="center"/>
        <w:tblLayout w:type="autofit"/>
        <w:tblLook w:firstColumn="1" w:firstRow="1" w:lastColumn="0" w:lastRow="0" w:noHBand="0" w:noVBand="1" w:val="04A0"/>
      </w:tblPr>
      <w:tblGrid>
        <w:gridCol w:w="4564"/>
        <w:gridCol w:w="4564"/>
      </w:tblGrid>
      <w:tr>
        <w:tc>
          <w:tcPr>
            <w:tcW w:type="dxa" w:w="2154"/>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8"/>
              </w:rPr>
              <w:t>访谈主题</w:t>
            </w:r>
          </w:p>
        </w:tc>
        <w:tc>
          <w:tcPr>
            <w:tcW w:type="dxa" w:w="6690"/>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8"/>
              </w:rPr>
              <w:t>核心问题</w:t>
            </w:r>
          </w:p>
        </w:tc>
      </w:tr>
      <w:tr>
        <w:tc>
          <w:tcPr>
            <w:tcW w:type="dxa" w:w="215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参展目标</w:t>
            </w:r>
          </w:p>
        </w:tc>
        <w:tc>
          <w:tcPr>
            <w:tcW w:type="dxa" w:w="6690"/>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本届参展最主要目标是什么，是否偏向品牌展示、销售线索、渠道拓展或技术交流</w:t>
            </w:r>
          </w:p>
        </w:tc>
      </w:tr>
      <w:tr>
        <w:tc>
          <w:tcPr>
            <w:tcW w:type="dxa" w:w="215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客户质量</w:t>
            </w:r>
          </w:p>
        </w:tc>
        <w:tc>
          <w:tcPr>
            <w:tcW w:type="dxa" w:w="6690"/>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现场接触的专业观众中，采购决策者和技术评估者比例如何</w:t>
            </w:r>
          </w:p>
        </w:tc>
      </w:tr>
      <w:tr>
        <w:tc>
          <w:tcPr>
            <w:tcW w:type="dxa" w:w="215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供需匹配</w:t>
            </w:r>
          </w:p>
        </w:tc>
        <w:tc>
          <w:tcPr>
            <w:tcW w:type="dxa" w:w="6690"/>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是否需要主办方在展前提供目标观众推荐或预约洽谈</w:t>
            </w:r>
          </w:p>
        </w:tc>
      </w:tr>
      <w:tr>
        <w:tc>
          <w:tcPr>
            <w:tcW w:type="dxa" w:w="215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数字服务</w:t>
            </w:r>
          </w:p>
        </w:tc>
        <w:tc>
          <w:tcPr>
            <w:tcW w:type="dxa" w:w="6690"/>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线上云展、电子名片、数据统计等工具是否帮助线索沉淀</w:t>
            </w:r>
          </w:p>
        </w:tc>
      </w:tr>
      <w:tr>
        <w:tc>
          <w:tcPr>
            <w:tcW w:type="dxa" w:w="215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现场服务</w:t>
            </w:r>
          </w:p>
        </w:tc>
        <w:tc>
          <w:tcPr>
            <w:tcW w:type="dxa" w:w="6690"/>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展馆动线、物流、搭建、洽谈区、餐饮交通等环节是否满足需求</w:t>
            </w:r>
          </w:p>
        </w:tc>
      </w:tr>
      <w:tr>
        <w:tc>
          <w:tcPr>
            <w:tcW w:type="dxa" w:w="2154"/>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展后转化</w:t>
            </w:r>
          </w:p>
        </w:tc>
        <w:tc>
          <w:tcPr>
            <w:tcW w:type="dxa" w:w="6690"/>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希望主办方在展后提供哪些线索跟进和效果报告</w:t>
            </w:r>
          </w:p>
        </w:tc>
      </w:tr>
      <w:tr>
        <w:tc>
          <w:tcPr>
            <w:tcW w:type="dxa" w:w="2154"/>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复展因素</w:t>
            </w:r>
          </w:p>
        </w:tc>
        <w:tc>
          <w:tcPr>
            <w:tcW w:type="dxa" w:w="6690"/>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影响下一届继续参展的关键因素是什么</w:t>
            </w:r>
          </w:p>
        </w:tc>
      </w:tr>
    </w:tbl>
    <w:p/>
    <w:p>
      <w:pPr>
        <w:pStyle w:val="Heading2"/>
        <w:spacing w:before="360" w:after="160"/>
      </w:pPr>
      <w:r>
        <w:rPr>
          <w:rFonts w:ascii="Times New Roman" w:hAnsi="Times New Roman" w:eastAsia="黑体"/>
          <w:b/>
          <w:color w:val="1E40AF"/>
          <w:sz w:val="30"/>
        </w:rPr>
        <w:t>附录 C  现场观察记录表</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现场观察记录表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现场观察记录表还承担展示先进制造业形象、连接产业链上下游、服务东北全面振兴的重要功能。报告将其放入“北方智能制造产业链服务平台”的定位中，是为了把短期办展成效转化为长期产业服务能力。</w:t>
      </w:r>
    </w:p>
    <w:p>
      <w:pPr>
        <w:spacing w:line="348" w:lineRule="auto" w:before="0" w:after="80"/>
        <w:ind w:firstLine="420"/>
      </w:pPr>
      <w:r/>
    </w:p>
    <w:tbl>
      <w:tblPr>
        <w:tblStyle w:val="TableGrid"/>
        <w:tblW w:type="auto" w:w="0"/>
        <w:jc w:val="center"/>
        <w:tblLayout w:type="autofit"/>
        <w:tblLook w:firstColumn="1" w:firstRow="1" w:lastColumn="0" w:lastRow="0" w:noHBand="0" w:noVBand="1" w:val="04A0"/>
      </w:tblPr>
      <w:tblGrid>
        <w:gridCol w:w="3043"/>
        <w:gridCol w:w="3043"/>
        <w:gridCol w:w="3043"/>
      </w:tblGrid>
      <w:tr>
        <w:tc>
          <w:tcPr>
            <w:tcW w:type="dxa" w:w="1701"/>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8"/>
              </w:rPr>
              <w:t>观察维度</w:t>
            </w:r>
          </w:p>
        </w:tc>
        <w:tc>
          <w:tcPr>
            <w:tcW w:type="dxa" w:w="4082"/>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8"/>
              </w:rPr>
              <w:t>记录内容</w:t>
            </w:r>
          </w:p>
        </w:tc>
        <w:tc>
          <w:tcPr>
            <w:tcW w:type="dxa" w:w="3061"/>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8"/>
              </w:rPr>
              <w:t>分析用途</w:t>
            </w:r>
          </w:p>
        </w:tc>
      </w:tr>
      <w:tr>
        <w:tc>
          <w:tcPr>
            <w:tcW w:type="dxa" w:w="170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入口与注册</w:t>
            </w:r>
          </w:p>
        </w:tc>
        <w:tc>
          <w:tcPr>
            <w:tcW w:type="dxa" w:w="4082"/>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排队长度、通行效率、证件核验、咨询点设置</w:t>
            </w:r>
          </w:p>
        </w:tc>
        <w:tc>
          <w:tcPr>
            <w:tcW w:type="dxa" w:w="306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判断入场效率</w:t>
            </w:r>
          </w:p>
        </w:tc>
      </w:tr>
      <w:tr>
        <w:tc>
          <w:tcPr>
            <w:tcW w:type="dxa" w:w="170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观众动线</w:t>
            </w:r>
          </w:p>
        </w:tc>
        <w:tc>
          <w:tcPr>
            <w:tcW w:type="dxa" w:w="4082"/>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热门展区、拥堵点、冷区、跨馆移动</w:t>
            </w:r>
          </w:p>
        </w:tc>
        <w:tc>
          <w:tcPr>
            <w:tcW w:type="dxa" w:w="306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优化展区布局</w:t>
            </w:r>
          </w:p>
        </w:tc>
      </w:tr>
      <w:tr>
        <w:tc>
          <w:tcPr>
            <w:tcW w:type="dxa" w:w="170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展台互动</w:t>
            </w:r>
          </w:p>
        </w:tc>
        <w:tc>
          <w:tcPr>
            <w:tcW w:type="dxa" w:w="4082"/>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观众停留时间、咨询深度、资料获取、扫码留资</w:t>
            </w:r>
          </w:p>
        </w:tc>
        <w:tc>
          <w:tcPr>
            <w:tcW w:type="dxa" w:w="306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评估展商触达</w:t>
            </w:r>
          </w:p>
        </w:tc>
      </w:tr>
      <w:tr>
        <w:tc>
          <w:tcPr>
            <w:tcW w:type="dxa" w:w="170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洽谈空间</w:t>
            </w:r>
          </w:p>
        </w:tc>
        <w:tc>
          <w:tcPr>
            <w:tcW w:type="dxa" w:w="4082"/>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洽谈区数量、私密性、噪声、座位周转</w:t>
            </w:r>
          </w:p>
        </w:tc>
        <w:tc>
          <w:tcPr>
            <w:tcW w:type="dxa" w:w="306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提升商务服务</w:t>
            </w:r>
          </w:p>
        </w:tc>
      </w:tr>
      <w:tr>
        <w:tc>
          <w:tcPr>
            <w:tcW w:type="dxa" w:w="170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活动组织</w:t>
            </w:r>
          </w:p>
        </w:tc>
        <w:tc>
          <w:tcPr>
            <w:tcW w:type="dxa" w:w="4082"/>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论坛上座率、观众结构、会后交流</w:t>
            </w:r>
          </w:p>
        </w:tc>
        <w:tc>
          <w:tcPr>
            <w:tcW w:type="dxa" w:w="306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优化同期活动</w:t>
            </w:r>
          </w:p>
        </w:tc>
      </w:tr>
      <w:tr>
        <w:tc>
          <w:tcPr>
            <w:tcW w:type="dxa" w:w="170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城市服务</w:t>
            </w:r>
          </w:p>
        </w:tc>
        <w:tc>
          <w:tcPr>
            <w:tcW w:type="dxa" w:w="4082"/>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交通接驳、周边餐饮、住宿、文旅延伸</w:t>
            </w:r>
          </w:p>
        </w:tc>
        <w:tc>
          <w:tcPr>
            <w:tcW w:type="dxa" w:w="306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评估城市承载</w:t>
            </w:r>
          </w:p>
        </w:tc>
      </w:tr>
    </w:tbl>
    <w:p/>
    <w:p>
      <w:pPr>
        <w:pStyle w:val="Heading2"/>
        <w:spacing w:before="360" w:after="160"/>
      </w:pPr>
      <w:r>
        <w:rPr>
          <w:rFonts w:ascii="Times New Roman" w:hAnsi="Times New Roman" w:eastAsia="黑体"/>
          <w:b/>
          <w:color w:val="1E40AF"/>
          <w:sz w:val="30"/>
        </w:rPr>
        <w:t>附录 D  参考资料与数据来源</w:t>
      </w:r>
    </w:p>
    <w:p>
      <w:pPr>
        <w:spacing w:line="348" w:lineRule="auto" w:before="0" w:after="80"/>
        <w:ind w:firstLine="420"/>
      </w:pPr>
      <w:r/>
    </w:p>
    <w:p>
      <w:pPr>
        <w:spacing w:line="348" w:lineRule="auto" w:before="0" w:after="80"/>
        <w:ind w:firstLine="420"/>
      </w:pPr>
      <w:r>
        <w:rPr>
          <w:rFonts w:ascii="Times New Roman" w:hAnsi="Times New Roman" w:eastAsia="宋体"/>
          <w:b w:val="0"/>
          <w:color w:val="0F172A"/>
          <w:sz w:val="24"/>
        </w:rPr>
        <w:t>从会展项目运营看，参考资料与数据来源不能只停留在单一活动或单点改进上，而应嵌入展前、展中、展后完整链条。展前要完成需求识别和资源匹配，展中要提升交流效率和现场体验，展后要沉淀线索、跟踪合作并形成下一届优化依据。</w:t>
      </w:r>
    </w:p>
    <w:p>
      <w:pPr>
        <w:spacing w:line="348" w:lineRule="auto" w:before="0" w:after="80"/>
        <w:ind w:firstLine="420"/>
      </w:pPr>
      <w:r>
        <w:rPr>
          <w:rFonts w:ascii="Times New Roman" w:hAnsi="Times New Roman" w:eastAsia="宋体"/>
          <w:b w:val="0"/>
          <w:color w:val="0F172A"/>
          <w:sz w:val="24"/>
        </w:rPr>
        <w:t>从沈阳城市产业语境看，参考资料与数据来源还承担展示先进制造业形象、连接产业链上下游、服务东北全面振兴的重要功能。报告将其放入“北方智能制造产业链服务平台”的定位中，是为了把短期办展成效转化为长期产业服务能力。</w:t>
      </w:r>
    </w:p>
    <w:tbl>
      <w:tblPr>
        <w:tblStyle w:val="TableGrid"/>
        <w:tblW w:type="auto" w:w="0"/>
        <w:jc w:val="center"/>
        <w:tblLayout w:type="autofit"/>
        <w:tblLook w:firstColumn="1" w:firstRow="1" w:lastColumn="0" w:lastRow="0" w:noHBand="0" w:noVBand="1" w:val="04A0"/>
      </w:tblPr>
      <w:tblGrid>
        <w:gridCol w:w="3043"/>
        <w:gridCol w:w="3043"/>
        <w:gridCol w:w="3043"/>
      </w:tblGrid>
      <w:tr>
        <w:tc>
          <w:tcPr>
            <w:tcW w:type="dxa" w:w="1871"/>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8"/>
              </w:rPr>
              <w:t>类别</w:t>
            </w:r>
          </w:p>
        </w:tc>
        <w:tc>
          <w:tcPr>
            <w:tcW w:type="dxa" w:w="3005"/>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8"/>
              </w:rPr>
              <w:t>来源</w:t>
            </w:r>
          </w:p>
        </w:tc>
        <w:tc>
          <w:tcPr>
            <w:tcW w:type="dxa" w:w="3969"/>
            <w:vAlign w:val="center"/>
            <w:tcBorders>
              <w:top w:val="single" w:sz="4" w:color="CBD5E1"/>
              <w:left w:val="single" w:sz="4" w:color="CBD5E1"/>
              <w:bottom w:val="single" w:sz="4" w:color="CBD5E1"/>
              <w:right w:val="single" w:sz="4" w:color="CBD5E1"/>
            </w:tcBorders>
            <w:shd w:val="clear" w:color="auto" w:fill="1E40AF"/>
          </w:tcPr>
          <w:p>
            <w:pPr>
              <w:spacing w:after="0" w:line="300" w:lineRule="auto"/>
            </w:pPr>
            <w:r>
              <w:rPr>
                <w:rFonts w:ascii="Times New Roman" w:hAnsi="Times New Roman" w:eastAsia="宋体"/>
                <w:b/>
                <w:color w:val="FFFFFF"/>
                <w:sz w:val="18"/>
              </w:rPr>
              <w:t>用于报告的内容</w:t>
            </w:r>
          </w:p>
        </w:tc>
      </w:tr>
      <w:tr>
        <w:tc>
          <w:tcPr>
            <w:tcW w:type="dxa" w:w="187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官方与主管部门</w:t>
            </w:r>
          </w:p>
        </w:tc>
        <w:tc>
          <w:tcPr>
            <w:tcW w:type="dxa" w:w="300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辽宁省工业和信息化厅、展会相关公开发布</w:t>
            </w:r>
          </w:p>
        </w:tc>
        <w:tc>
          <w:tcPr>
            <w:tcW w:type="dxa" w:w="3969"/>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举办信息、政策背景、活动信息</w:t>
            </w:r>
          </w:p>
        </w:tc>
      </w:tr>
      <w:tr>
        <w:tc>
          <w:tcPr>
            <w:tcW w:type="dxa" w:w="187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主流媒体</w:t>
            </w:r>
          </w:p>
        </w:tc>
        <w:tc>
          <w:tcPr>
            <w:tcW w:type="dxa" w:w="300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中国网、中国新闻社、中国新闻网</w:t>
            </w:r>
          </w:p>
        </w:tc>
        <w:tc>
          <w:tcPr>
            <w:tcW w:type="dxa" w:w="3969"/>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开幕与闭幕数据、成交数据、线上云展数据</w:t>
            </w:r>
          </w:p>
        </w:tc>
      </w:tr>
      <w:tr>
        <w:tc>
          <w:tcPr>
            <w:tcW w:type="dxa" w:w="187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图片资料</w:t>
            </w:r>
          </w:p>
        </w:tc>
        <w:tc>
          <w:tcPr>
            <w:tcW w:type="dxa" w:w="300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人民网图片频道、中国网图片</w:t>
            </w:r>
          </w:p>
        </w:tc>
        <w:tc>
          <w:tcPr>
            <w:tcW w:type="dxa" w:w="3969"/>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现场照片和视觉材料</w:t>
            </w:r>
          </w:p>
        </w:tc>
      </w:tr>
      <w:tr>
        <w:tc>
          <w:tcPr>
            <w:tcW w:type="dxa" w:w="1871"/>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政策文件</w:t>
            </w:r>
          </w:p>
        </w:tc>
        <w:tc>
          <w:tcPr>
            <w:tcW w:type="dxa" w:w="3005"/>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东北全面振兴、现代服务业、制造业高质量发展相关政策</w:t>
            </w:r>
          </w:p>
        </w:tc>
        <w:tc>
          <w:tcPr>
            <w:tcW w:type="dxa" w:w="3969"/>
            <w:vAlign w:val="center"/>
            <w:tcBorders>
              <w:top w:val="single" w:sz="4" w:color="CBD5E1"/>
              <w:left w:val="single" w:sz="4" w:color="CBD5E1"/>
              <w:bottom w:val="single" w:sz="4" w:color="CBD5E1"/>
              <w:right w:val="single" w:sz="4" w:color="CBD5E1"/>
            </w:tcBorders>
            <w:shd w:val="clear" w:color="auto" w:fill="F8FAFC"/>
          </w:tcPr>
          <w:p>
            <w:pPr>
              <w:spacing w:after="0" w:line="300" w:lineRule="auto"/>
            </w:pPr>
            <w:r>
              <w:rPr>
                <w:rFonts w:ascii="Times New Roman" w:hAnsi="Times New Roman" w:eastAsia="宋体"/>
                <w:b w:val="0"/>
                <w:color w:val="0F172A"/>
                <w:sz w:val="18"/>
              </w:rPr>
              <w:t>战略背景和未来展望</w:t>
            </w:r>
          </w:p>
        </w:tc>
      </w:tr>
      <w:tr>
        <w:tc>
          <w:tcPr>
            <w:tcW w:type="dxa" w:w="1871"/>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行业资料</w:t>
            </w:r>
          </w:p>
        </w:tc>
        <w:tc>
          <w:tcPr>
            <w:tcW w:type="dxa" w:w="3005"/>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会展业年度报告、装备制造业公开资料</w:t>
            </w:r>
          </w:p>
        </w:tc>
        <w:tc>
          <w:tcPr>
            <w:tcW w:type="dxa" w:w="3969"/>
            <w:vAlign w:val="center"/>
            <w:tcBorders>
              <w:top w:val="single" w:sz="4" w:color="CBD5E1"/>
              <w:left w:val="single" w:sz="4" w:color="CBD5E1"/>
              <w:bottom w:val="single" w:sz="4" w:color="CBD5E1"/>
              <w:right w:val="single" w:sz="4" w:color="CBD5E1"/>
            </w:tcBorders>
          </w:tcPr>
          <w:p>
            <w:pPr>
              <w:spacing w:after="0" w:line="300" w:lineRule="auto"/>
            </w:pPr>
            <w:r>
              <w:rPr>
                <w:rFonts w:ascii="Times New Roman" w:hAnsi="Times New Roman" w:eastAsia="宋体"/>
                <w:b w:val="0"/>
                <w:color w:val="0F172A"/>
                <w:sz w:val="18"/>
              </w:rPr>
              <w:t>行业趋势和对标分析</w:t>
            </w:r>
          </w:p>
        </w:tc>
      </w:tr>
    </w:tbl>
    <w:p/>
    <w:p>
      <w:pPr>
        <w:pStyle w:val="Heading1"/>
        <w:spacing w:before="360" w:after="160"/>
        <w:jc w:val="center"/>
      </w:pPr>
      <w:r>
        <w:rPr>
          <w:rFonts w:ascii="Times New Roman" w:hAnsi="Times New Roman" w:eastAsia="黑体"/>
          <w:b/>
          <w:color w:val="0F1F4F"/>
          <w:sz w:val="40"/>
        </w:rPr>
        <w:t>第十二部分  现场图片资料</w:t>
      </w:r>
    </w:p>
    <w:p>
      <w:pPr>
        <w:spacing w:line="348" w:lineRule="auto" w:before="0" w:after="80"/>
        <w:ind w:firstLine="420"/>
      </w:pPr>
      <w:r>
        <w:rPr>
          <w:rFonts w:ascii="Times New Roman" w:hAnsi="Times New Roman" w:eastAsia="宋体"/>
          <w:b w:val="0"/>
          <w:color w:val="0F172A"/>
          <w:sz w:val="24"/>
        </w:rPr>
        <w:t>最终版网页和 Word 均使用公开现场图片，图片来源在页面和报告中标注。以下图片用于呈现展会现场、展品、观众、交流和展陈等场景。</w:t>
      </w:r>
    </w:p>
    <w:p>
      <w:pPr>
        <w:spacing w:before="160" w:after="40"/>
        <w:jc w:val="center"/>
      </w:pPr>
      <w:r>
        <w:drawing>
          <wp:inline xmlns:a="http://schemas.openxmlformats.org/drawingml/2006/main" xmlns:pic="http://schemas.openxmlformats.org/drawingml/2006/picture">
            <wp:extent cx="5256000" cy="3942000"/>
            <wp:docPr id="50" name="Picture 50"/>
            <wp:cNvGraphicFramePr>
              <a:graphicFrameLocks noChangeAspect="1"/>
            </wp:cNvGraphicFramePr>
            <a:graphic>
              <a:graphicData uri="http://schemas.openxmlformats.org/drawingml/2006/picture">
                <pic:pic>
                  <pic:nvPicPr>
                    <pic:cNvPr id="0" name="cieme-chinaorg-opening.jpg"/>
                    <pic:cNvPicPr/>
                  </pic:nvPicPr>
                  <pic:blipFill>
                    <a:blip r:embed="rId53"/>
                    <a:stretch>
                      <a:fillRect/>
                    </a:stretch>
                  </pic:blipFill>
                  <pic:spPr>
                    <a:xfrm>
                      <a:off x="0" y="0"/>
                      <a:ext cx="5256000" cy="3942000"/>
                    </a:xfrm>
                    <a:prstGeom prst="rect"/>
                  </pic:spPr>
                </pic:pic>
              </a:graphicData>
            </a:graphic>
          </wp:inline>
        </w:drawing>
      </w:r>
    </w:p>
    <w:p>
      <w:pPr>
        <w:spacing w:after="200"/>
        <w:jc w:val="center"/>
      </w:pPr>
      <w:r>
        <w:rPr>
          <w:rFonts w:ascii="Times New Roman" w:hAnsi="Times New Roman" w:eastAsia="宋体"/>
          <w:b w:val="0"/>
          <w:color w:val="64748B"/>
          <w:sz w:val="18"/>
        </w:rPr>
        <w:t>机器人展品吸引观众驻足（来源：中国网 / 中国新闻社）</w:t>
      </w:r>
    </w:p>
    <w:p>
      <w:pPr>
        <w:spacing w:line="348" w:lineRule="auto" w:before="0" w:after="80"/>
        <w:ind w:firstLine="420"/>
      </w:pPr>
      <w:r>
        <w:rPr>
          <w:rFonts w:ascii="Times New Roman" w:hAnsi="Times New Roman" w:eastAsia="宋体"/>
          <w:b w:val="0"/>
          <w:color w:val="0F172A"/>
          <w:sz w:val="24"/>
        </w:rPr>
        <w:t>这张图片在公开版报告中的作用，是为文字分析提供现场视觉证据。机器人展品吸引观众驻足（来源：中国网 / 中国新闻社）。结合展会公开数据看，现场图像与 14.7 万人次线下观众及采购商、11.2 万人次专业观众的规模基础相互印证，也说明装备制造类展会具有较强的可视化传播潜力。</w:t>
      </w:r>
    </w:p>
    <w:p>
      <w:pPr>
        <w:spacing w:before="160" w:after="40"/>
        <w:jc w:val="center"/>
      </w:pPr>
      <w:r>
        <w:drawing>
          <wp:inline xmlns:a="http://schemas.openxmlformats.org/drawingml/2006/main" xmlns:pic="http://schemas.openxmlformats.org/drawingml/2006/picture">
            <wp:extent cx="5256000" cy="3505711"/>
            <wp:docPr id="51" name="Picture 51"/>
            <wp:cNvGraphicFramePr>
              <a:graphicFrameLocks noChangeAspect="1"/>
            </wp:cNvGraphicFramePr>
            <a:graphic>
              <a:graphicData uri="http://schemas.openxmlformats.org/drawingml/2006/picture">
                <pic:pic>
                  <pic:nvPicPr>
                    <pic:cNvPr id="0" name="cieme-people-01.jpg"/>
                    <pic:cNvPicPr/>
                  </pic:nvPicPr>
                  <pic:blipFill>
                    <a:blip r:embed="rId9"/>
                    <a:stretch>
                      <a:fillRect/>
                    </a:stretch>
                  </pic:blipFill>
                  <pic:spPr>
                    <a:xfrm>
                      <a:off x="0" y="0"/>
                      <a:ext cx="5256000" cy="3505711"/>
                    </a:xfrm>
                    <a:prstGeom prst="rect"/>
                  </pic:spPr>
                </pic:pic>
              </a:graphicData>
            </a:graphic>
          </wp:inline>
        </w:drawing>
      </w:r>
    </w:p>
    <w:p>
      <w:pPr>
        <w:spacing w:after="200"/>
        <w:jc w:val="center"/>
      </w:pPr>
      <w:r>
        <w:rPr>
          <w:rFonts w:ascii="Times New Roman" w:hAnsi="Times New Roman" w:eastAsia="宋体"/>
          <w:b w:val="0"/>
          <w:color w:val="64748B"/>
          <w:sz w:val="18"/>
        </w:rPr>
        <w:t>第二十三届中国制博会现场（来源：人民网图片频道）</w:t>
      </w:r>
    </w:p>
    <w:p>
      <w:pPr>
        <w:spacing w:line="348" w:lineRule="auto" w:before="0" w:after="80"/>
        <w:ind w:firstLine="420"/>
      </w:pPr>
      <w:r>
        <w:rPr>
          <w:rFonts w:ascii="Times New Roman" w:hAnsi="Times New Roman" w:eastAsia="宋体"/>
          <w:b w:val="0"/>
          <w:color w:val="0F172A"/>
          <w:sz w:val="24"/>
        </w:rPr>
        <w:t>这张图片在公开版报告中的作用，是为文字分析提供现场视觉证据。第二十三届中国制博会现场（来源：人民网图片频道）。结合展会公开数据看，现场图像与 14.7 万人次线下观众及采购商、11.2 万人次专业观众的规模基础相互印证，也说明装备制造类展会具有较强的可视化传播潜力。</w:t>
      </w:r>
    </w:p>
    <w:p>
      <w:pPr>
        <w:spacing w:before="160" w:after="40"/>
        <w:jc w:val="center"/>
      </w:pPr>
      <w:r>
        <w:drawing>
          <wp:inline xmlns:a="http://schemas.openxmlformats.org/drawingml/2006/main" xmlns:pic="http://schemas.openxmlformats.org/drawingml/2006/picture">
            <wp:extent cx="5256000" cy="3505711"/>
            <wp:docPr id="52" name="Picture 52"/>
            <wp:cNvGraphicFramePr>
              <a:graphicFrameLocks noChangeAspect="1"/>
            </wp:cNvGraphicFramePr>
            <a:graphic>
              <a:graphicData uri="http://schemas.openxmlformats.org/drawingml/2006/picture">
                <pic:pic>
                  <pic:nvPicPr>
                    <pic:cNvPr id="0" name="cieme-people-02.jpg"/>
                    <pic:cNvPicPr/>
                  </pic:nvPicPr>
                  <pic:blipFill>
                    <a:blip r:embed="rId54"/>
                    <a:stretch>
                      <a:fillRect/>
                    </a:stretch>
                  </pic:blipFill>
                  <pic:spPr>
                    <a:xfrm>
                      <a:off x="0" y="0"/>
                      <a:ext cx="5256000" cy="3505711"/>
                    </a:xfrm>
                    <a:prstGeom prst="rect"/>
                  </pic:spPr>
                </pic:pic>
              </a:graphicData>
            </a:graphic>
          </wp:inline>
        </w:drawing>
      </w:r>
    </w:p>
    <w:p>
      <w:pPr>
        <w:spacing w:after="200"/>
        <w:jc w:val="center"/>
      </w:pPr>
      <w:r>
        <w:rPr>
          <w:rFonts w:ascii="Times New Roman" w:hAnsi="Times New Roman" w:eastAsia="宋体"/>
          <w:b w:val="0"/>
          <w:color w:val="64748B"/>
          <w:sz w:val="18"/>
        </w:rPr>
        <w:t>专业观众参观展台（来源：人民网图片频道）</w:t>
      </w:r>
    </w:p>
    <w:p>
      <w:pPr>
        <w:spacing w:line="348" w:lineRule="auto" w:before="0" w:after="80"/>
        <w:ind w:firstLine="420"/>
      </w:pPr>
      <w:r>
        <w:rPr>
          <w:rFonts w:ascii="Times New Roman" w:hAnsi="Times New Roman" w:eastAsia="宋体"/>
          <w:b w:val="0"/>
          <w:color w:val="0F172A"/>
          <w:sz w:val="24"/>
        </w:rPr>
        <w:t>这张图片在公开版报告中的作用，是为文字分析提供现场视觉证据。专业观众参观展台（来源：人民网图片频道）。结合展会公开数据看，现场图像与 14.7 万人次线下观众及采购商、11.2 万人次专业观众的规模基础相互印证，也说明装备制造类展会具有较强的可视化传播潜力。</w:t>
      </w:r>
    </w:p>
    <w:p>
      <w:pPr>
        <w:spacing w:before="160" w:after="40"/>
        <w:jc w:val="center"/>
      </w:pPr>
      <w:r>
        <w:drawing>
          <wp:inline xmlns:a="http://schemas.openxmlformats.org/drawingml/2006/main" xmlns:pic="http://schemas.openxmlformats.org/drawingml/2006/picture">
            <wp:extent cx="5256000" cy="3505711"/>
            <wp:docPr id="53" name="Picture 53"/>
            <wp:cNvGraphicFramePr>
              <a:graphicFrameLocks noChangeAspect="1"/>
            </wp:cNvGraphicFramePr>
            <a:graphic>
              <a:graphicData uri="http://schemas.openxmlformats.org/drawingml/2006/picture">
                <pic:pic>
                  <pic:nvPicPr>
                    <pic:cNvPr id="0" name="cieme-people-03.jpg"/>
                    <pic:cNvPicPr/>
                  </pic:nvPicPr>
                  <pic:blipFill>
                    <a:blip r:embed="rId55"/>
                    <a:stretch>
                      <a:fillRect/>
                    </a:stretch>
                  </pic:blipFill>
                  <pic:spPr>
                    <a:xfrm>
                      <a:off x="0" y="0"/>
                      <a:ext cx="5256000" cy="3505711"/>
                    </a:xfrm>
                    <a:prstGeom prst="rect"/>
                  </pic:spPr>
                </pic:pic>
              </a:graphicData>
            </a:graphic>
          </wp:inline>
        </w:drawing>
      </w:r>
    </w:p>
    <w:p>
      <w:pPr>
        <w:spacing w:after="200"/>
        <w:jc w:val="center"/>
      </w:pPr>
      <w:r>
        <w:rPr>
          <w:rFonts w:ascii="Times New Roman" w:hAnsi="Times New Roman" w:eastAsia="宋体"/>
          <w:b w:val="0"/>
          <w:color w:val="64748B"/>
          <w:sz w:val="18"/>
        </w:rPr>
        <w:t>装备制造展品展示（来源：人民网图片频道）</w:t>
      </w:r>
    </w:p>
    <w:p>
      <w:pPr>
        <w:spacing w:line="348" w:lineRule="auto" w:before="0" w:after="80"/>
        <w:ind w:firstLine="420"/>
      </w:pPr>
      <w:r>
        <w:rPr>
          <w:rFonts w:ascii="Times New Roman" w:hAnsi="Times New Roman" w:eastAsia="宋体"/>
          <w:b w:val="0"/>
          <w:color w:val="0F172A"/>
          <w:sz w:val="24"/>
        </w:rPr>
        <w:t>这张图片在公开版报告中的作用，是为文字分析提供现场视觉证据。装备制造展品展示（来源：人民网图片频道）。结合展会公开数据看，现场图像与 14.7 万人次线下观众及采购商、11.2 万人次专业观众的规模基础相互印证，也说明装备制造类展会具有较强的可视化传播潜力。</w:t>
      </w:r>
    </w:p>
    <w:p>
      <w:pPr>
        <w:spacing w:before="160" w:after="40"/>
        <w:jc w:val="center"/>
      </w:pPr>
      <w:r>
        <w:drawing>
          <wp:inline xmlns:a="http://schemas.openxmlformats.org/drawingml/2006/main" xmlns:pic="http://schemas.openxmlformats.org/drawingml/2006/picture">
            <wp:extent cx="5256000" cy="3505711"/>
            <wp:docPr id="54" name="Picture 54"/>
            <wp:cNvGraphicFramePr>
              <a:graphicFrameLocks noChangeAspect="1"/>
            </wp:cNvGraphicFramePr>
            <a:graphic>
              <a:graphicData uri="http://schemas.openxmlformats.org/drawingml/2006/picture">
                <pic:pic>
                  <pic:nvPicPr>
                    <pic:cNvPr id="0" name="cieme-people-04.jpg"/>
                    <pic:cNvPicPr/>
                  </pic:nvPicPr>
                  <pic:blipFill>
                    <a:blip r:embed="rId56"/>
                    <a:stretch>
                      <a:fillRect/>
                    </a:stretch>
                  </pic:blipFill>
                  <pic:spPr>
                    <a:xfrm>
                      <a:off x="0" y="0"/>
                      <a:ext cx="5256000" cy="3505711"/>
                    </a:xfrm>
                    <a:prstGeom prst="rect"/>
                  </pic:spPr>
                </pic:pic>
              </a:graphicData>
            </a:graphic>
          </wp:inline>
        </w:drawing>
      </w:r>
    </w:p>
    <w:p>
      <w:pPr>
        <w:spacing w:after="200"/>
        <w:jc w:val="center"/>
      </w:pPr>
      <w:r>
        <w:rPr>
          <w:rFonts w:ascii="Times New Roman" w:hAnsi="Times New Roman" w:eastAsia="宋体"/>
          <w:b w:val="0"/>
          <w:color w:val="64748B"/>
          <w:sz w:val="18"/>
        </w:rPr>
        <w:t>展区交流与产品讲解（来源：人民网图片频道）</w:t>
      </w:r>
    </w:p>
    <w:p>
      <w:pPr>
        <w:spacing w:line="348" w:lineRule="auto" w:before="0" w:after="80"/>
        <w:ind w:firstLine="420"/>
      </w:pPr>
      <w:r>
        <w:rPr>
          <w:rFonts w:ascii="Times New Roman" w:hAnsi="Times New Roman" w:eastAsia="宋体"/>
          <w:b w:val="0"/>
          <w:color w:val="0F172A"/>
          <w:sz w:val="24"/>
        </w:rPr>
        <w:t>这张图片在公开版报告中的作用，是为文字分析提供现场视觉证据。展区交流与产品讲解（来源：人民网图片频道）。结合展会公开数据看，现场图像与 14.7 万人次线下观众及采购商、11.2 万人次专业观众的规模基础相互印证，也说明装备制造类展会具有较强的可视化传播潜力。</w:t>
      </w:r>
    </w:p>
    <w:p>
      <w:pPr>
        <w:spacing w:before="160" w:after="40"/>
        <w:jc w:val="center"/>
      </w:pPr>
      <w:r>
        <w:drawing>
          <wp:inline xmlns:a="http://schemas.openxmlformats.org/drawingml/2006/main" xmlns:pic="http://schemas.openxmlformats.org/drawingml/2006/picture">
            <wp:extent cx="5256000" cy="3700758"/>
            <wp:docPr id="55" name="Picture 55"/>
            <wp:cNvGraphicFramePr>
              <a:graphicFrameLocks noChangeAspect="1"/>
            </wp:cNvGraphicFramePr>
            <a:graphic>
              <a:graphicData uri="http://schemas.openxmlformats.org/drawingml/2006/picture">
                <pic:pic>
                  <pic:nvPicPr>
                    <pic:cNvPr id="0" name="cieme-people-05.jpg"/>
                    <pic:cNvPicPr/>
                  </pic:nvPicPr>
                  <pic:blipFill>
                    <a:blip r:embed="rId57"/>
                    <a:stretch>
                      <a:fillRect/>
                    </a:stretch>
                  </pic:blipFill>
                  <pic:spPr>
                    <a:xfrm>
                      <a:off x="0" y="0"/>
                      <a:ext cx="5256000" cy="3700758"/>
                    </a:xfrm>
                    <a:prstGeom prst="rect"/>
                  </pic:spPr>
                </pic:pic>
              </a:graphicData>
            </a:graphic>
          </wp:inline>
        </w:drawing>
      </w:r>
    </w:p>
    <w:p>
      <w:pPr>
        <w:spacing w:after="200"/>
        <w:jc w:val="center"/>
      </w:pPr>
      <w:r>
        <w:rPr>
          <w:rFonts w:ascii="Times New Roman" w:hAnsi="Times New Roman" w:eastAsia="宋体"/>
          <w:b w:val="0"/>
          <w:color w:val="64748B"/>
          <w:sz w:val="18"/>
        </w:rPr>
        <w:t>智能装备应用场景（来源：人民网图片频道）</w:t>
      </w:r>
    </w:p>
    <w:p>
      <w:pPr>
        <w:spacing w:line="348" w:lineRule="auto" w:before="0" w:after="80"/>
        <w:ind w:firstLine="420"/>
      </w:pPr>
      <w:r>
        <w:rPr>
          <w:rFonts w:ascii="Times New Roman" w:hAnsi="Times New Roman" w:eastAsia="宋体"/>
          <w:b w:val="0"/>
          <w:color w:val="0F172A"/>
          <w:sz w:val="24"/>
        </w:rPr>
        <w:t>这张图片在公开版报告中的作用，是为文字分析提供现场视觉证据。智能装备应用场景（来源：人民网图片频道）。结合展会公开数据看，现场图像与 14.7 万人次线下观众及采购商、11.2 万人次专业观众的规模基础相互印证，也说明装备制造类展会具有较强的可视化传播潜力。</w:t>
      </w:r>
    </w:p>
    <w:p>
      <w:pPr>
        <w:spacing w:before="160" w:after="40"/>
        <w:jc w:val="center"/>
      </w:pPr>
      <w:r>
        <w:drawing>
          <wp:inline xmlns:a="http://schemas.openxmlformats.org/drawingml/2006/main" xmlns:pic="http://schemas.openxmlformats.org/drawingml/2006/picture">
            <wp:extent cx="5256000" cy="3942000"/>
            <wp:docPr id="56" name="Picture 56"/>
            <wp:cNvGraphicFramePr>
              <a:graphicFrameLocks noChangeAspect="1"/>
            </wp:cNvGraphicFramePr>
            <a:graphic>
              <a:graphicData uri="http://schemas.openxmlformats.org/drawingml/2006/picture">
                <pic:pic>
                  <pic:nvPicPr>
                    <pic:cNvPr id="0" name="cieme-people-06.jpg"/>
                    <pic:cNvPicPr/>
                  </pic:nvPicPr>
                  <pic:blipFill>
                    <a:blip r:embed="rId58"/>
                    <a:stretch>
                      <a:fillRect/>
                    </a:stretch>
                  </pic:blipFill>
                  <pic:spPr>
                    <a:xfrm>
                      <a:off x="0" y="0"/>
                      <a:ext cx="5256000" cy="3942000"/>
                    </a:xfrm>
                    <a:prstGeom prst="rect"/>
                  </pic:spPr>
                </pic:pic>
              </a:graphicData>
            </a:graphic>
          </wp:inline>
        </w:drawing>
      </w:r>
    </w:p>
    <w:p>
      <w:pPr>
        <w:spacing w:after="200"/>
        <w:jc w:val="center"/>
      </w:pPr>
      <w:r>
        <w:rPr>
          <w:rFonts w:ascii="Times New Roman" w:hAnsi="Times New Roman" w:eastAsia="宋体"/>
          <w:b w:val="0"/>
          <w:color w:val="64748B"/>
          <w:sz w:val="18"/>
        </w:rPr>
        <w:t>展会现场人流与展陈（来源：人民网图片频道）</w:t>
      </w:r>
    </w:p>
    <w:p>
      <w:pPr>
        <w:spacing w:line="348" w:lineRule="auto" w:before="0" w:after="80"/>
        <w:ind w:firstLine="420"/>
      </w:pPr>
      <w:r>
        <w:rPr>
          <w:rFonts w:ascii="Times New Roman" w:hAnsi="Times New Roman" w:eastAsia="宋体"/>
          <w:b w:val="0"/>
          <w:color w:val="0F172A"/>
          <w:sz w:val="24"/>
        </w:rPr>
        <w:t>这张图片在公开版报告中的作用，是为文字分析提供现场视觉证据。展会现场人流与展陈（来源：人民网图片频道）。结合展会公开数据看，现场图像与 14.7 万人次线下观众及采购商、11.2 万人次专业观众的规模基础相互印证，也说明装备制造类展会具有较强的可视化传播潜力。</w:t>
      </w:r>
    </w:p>
    <w:p>
      <w:pPr>
        <w:pStyle w:val="Heading1"/>
        <w:spacing w:before="360" w:after="160"/>
        <w:jc w:val="center"/>
      </w:pPr>
      <w:r>
        <w:rPr>
          <w:rFonts w:ascii="Times New Roman" w:hAnsi="Times New Roman" w:eastAsia="黑体"/>
          <w:b/>
          <w:color w:val="0F1F4F"/>
          <w:sz w:val="40"/>
        </w:rPr>
        <w:t>结论与展望</w:t>
      </w:r>
    </w:p>
    <w:p>
      <w:pPr>
        <w:spacing w:line="348" w:lineRule="auto" w:before="0" w:after="80"/>
        <w:ind w:firstLine="420"/>
      </w:pPr>
      <w:r>
        <w:rPr>
          <w:rFonts w:ascii="Times New Roman" w:hAnsi="Times New Roman" w:eastAsia="宋体"/>
          <w:b w:val="0"/>
          <w:color w:val="0F172A"/>
          <w:sz w:val="24"/>
        </w:rPr>
        <w:t>第二十三届中国制博会已经具备大型专业展会的规模基础、产业基础和经贸撮合能力。9 万平方米、912 家参展企业、3056 个展位、14.7 万人次线下观众及采购商、66.2 亿元累计意向成交，说明展会在装备制造领域具有较强平台价值。</w:t>
      </w:r>
    </w:p>
    <w:p>
      <w:pPr>
        <w:spacing w:line="348" w:lineRule="auto" w:before="0" w:after="80"/>
        <w:ind w:firstLine="420"/>
      </w:pPr>
      <w:r>
        <w:rPr>
          <w:rFonts w:ascii="Times New Roman" w:hAnsi="Times New Roman" w:eastAsia="宋体"/>
          <w:b w:val="0"/>
          <w:color w:val="0F172A"/>
          <w:sz w:val="24"/>
        </w:rPr>
        <w:t>但是，展会未来的关键竞争力不只来自规模，而来自平台服务能力。只有把专业观众组织、供需匹配、数字化闭环、展后转化、国际采购和城市产业形象传播整合起来，才能让中国制博会从集中展示活动升级为全年运行的产业链服务平台。</w:t>
      </w:r>
    </w:p>
    <w:p>
      <w:pPr>
        <w:spacing w:line="348" w:lineRule="auto" w:before="0" w:after="80"/>
        <w:ind w:firstLine="420"/>
      </w:pPr>
      <w:r>
        <w:rPr>
          <w:rFonts w:ascii="Times New Roman" w:hAnsi="Times New Roman" w:eastAsia="宋体"/>
          <w:b w:val="0"/>
          <w:color w:val="0F172A"/>
          <w:sz w:val="24"/>
        </w:rPr>
        <w:t>在东北全面振兴、新质生产力培育和沈阳建设先进制造业中心的背景下，中国制博会具有继续升级的战略窗口。它既是装备制造企业展示新技术、新产品和新解决方案的窗口，也是沈阳向全国乃至东北亚展示先进制造业形象的重要城市名片。</w:t>
      </w:r>
    </w:p>
    <w:sectPr w:rsidR="00FC693F" w:rsidRPr="0006063C" w:rsidSect="00034616">
      <w:headerReference w:type="default" r:id="rId59"/>
      <w:footerReference w:type="default" r:id="rId60"/>
      <w:pgSz w:w="11906" w:h="16838"/>
      <w:pgMar w:top="1332" w:right="1389" w:bottom="1276" w:left="1389"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64748B"/>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宋体"/>
        <w:b w:val="0"/>
        <w:color w:val="64748B"/>
        <w:sz w:val="18"/>
      </w:rPr>
      <w:t>第二十三届中国国际装备制造业博览会调研报告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header" Target="header1.xml"/><Relationship Id="rId6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