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8" w:space="6" w:color="E8B85A"/>
        </w:pBdr>
      </w:pPr>
      <w:r>
        <w:rPr>
          <w:rFonts w:ascii="SimSun" w:hAnsi="SimSun" w:eastAsia="SimSun"/>
          <w:b/>
          <w:color w:val="3A0309"/>
          <w:sz w:val="48"/>
        </w:rPr>
        <w:t>守正创新何以开辟新境界</w:t>
      </w:r>
    </w:p>
    <w:p>
      <w:pPr>
        <w:spacing w:after="240"/>
      </w:pPr>
      <w:r>
        <w:rPr>
          <w:rFonts w:ascii="Microsoft YaHei" w:hAnsi="Microsoft YaHei" w:eastAsia="Microsoft YaHei"/>
          <w:b/>
          <w:color w:val="6D3A21"/>
          <w:sz w:val="22"/>
        </w:rPr>
        <w:t>《开辟马克思主义中国化时代化新境界》经典品读汇报讲稿 | 10分30秒</w:t>
      </w:r>
    </w:p>
    <w:p>
      <w:pPr>
        <w:spacing w:before="200" w:after="80"/>
      </w:pPr>
      <w:r>
        <w:rPr>
          <w:rFonts w:ascii="SimSun" w:hAnsi="SimSun" w:eastAsia="SimSun"/>
          <w:b/>
          <w:color w:val="8F1014"/>
          <w:sz w:val="30"/>
        </w:rPr>
        <w:t>第1页 封面</w:t>
      </w:r>
    </w:p>
    <w:p>
      <w:pPr>
        <w:spacing w:line="293" w:lineRule="auto"/>
        <w:ind w:firstLine="403"/>
      </w:pPr>
      <w:r>
        <w:rPr>
          <w:rFonts w:ascii="Microsoft YaHei" w:hAnsi="Microsoft YaHei" w:eastAsia="Microsoft YaHei"/>
          <w:color w:val="34100A"/>
          <w:sz w:val="21"/>
        </w:rPr>
        <w:t>各位老师、同学们好，我们小组汇报的主题是“守正创新何以开辟新境界”。这次品读的经典文献是《开辟马克思主义中国化时代化新境界》。我们不想把它做成一篇文献复述，而是想围绕一个问题展开：为什么马克思主义必须中国化时代化？作为新时代大学生，我们又怎样把经典阅读转化为理解中国、观察时代、规划人生的思想能力？</w:t>
      </w:r>
    </w:p>
    <w:p>
      <w:pPr>
        <w:spacing w:before="200" w:after="80"/>
      </w:pPr>
      <w:r>
        <w:rPr>
          <w:rFonts w:ascii="SimSun" w:hAnsi="SimSun" w:eastAsia="SimSun"/>
          <w:b/>
          <w:color w:val="8F1014"/>
          <w:sz w:val="30"/>
        </w:rPr>
        <w:t>第2页 开卷：为什么选择这篇经典</w:t>
      </w:r>
    </w:p>
    <w:p>
      <w:pPr>
        <w:spacing w:line="293" w:lineRule="auto"/>
        <w:ind w:firstLine="403"/>
      </w:pPr>
      <w:r>
        <w:rPr>
          <w:rFonts w:ascii="Microsoft YaHei" w:hAnsi="Microsoft YaHei" w:eastAsia="Microsoft YaHei"/>
          <w:color w:val="34100A"/>
          <w:sz w:val="21"/>
        </w:rPr>
        <w:t>我们选择这篇文献，主要因为它同时连接了三个层面。第一，它回应时代之问，也就是马克思主义为什么必须随着中国实践和时代发展不断丰富。第二，它给出理论之答，集中体现为守正创新和“两个结合”。第三，它也关系到青年之责：理论学习到底怎样帮助我们面对专业学习、就业选择和未来成长。带着这些问题读文本，我们发现经典不是离现实很远的句子，而是一种帮助我们判断方向的方法。</w:t>
      </w:r>
    </w:p>
    <w:p>
      <w:pPr>
        <w:spacing w:before="200" w:after="80"/>
      </w:pPr>
      <w:r>
        <w:rPr>
          <w:rFonts w:ascii="SimSun" w:hAnsi="SimSun" w:eastAsia="SimSun"/>
          <w:b/>
          <w:color w:val="8F1014"/>
          <w:sz w:val="30"/>
        </w:rPr>
        <w:t>第3页 主线：理论在回答中国问题中生长</w:t>
      </w:r>
    </w:p>
    <w:p>
      <w:pPr>
        <w:spacing w:line="293" w:lineRule="auto"/>
        <w:ind w:firstLine="403"/>
      </w:pPr>
      <w:r>
        <w:rPr>
          <w:rFonts w:ascii="Microsoft YaHei" w:hAnsi="Microsoft YaHei" w:eastAsia="Microsoft YaHei"/>
          <w:color w:val="34100A"/>
          <w:sz w:val="21"/>
        </w:rPr>
        <w:t>从毛概课程来看，这篇文献可以放进一条清晰的理论发展主线中理解。马克思主义基本原理传入中国以后，中国共产党人并不是照搬书本结论，而是在革命、建设、改革和新时代实践中不断推进理论创新。毛泽东思想回答中国革命道路等重大问题，中国特色社会主义理论体系回答改革开放和现代化建设中的重大问题，习近平新时代中国特色社会主义思想回答新时代坚持和发展中国特色社会主义的重大时代课题。所以我们理解，理论不是停在书本里的结论，而是在回答中国问题、时代问题、人民问题中不断发展的思想成果。</w:t>
      </w:r>
    </w:p>
    <w:p>
      <w:pPr>
        <w:spacing w:before="200" w:after="80"/>
      </w:pPr>
      <w:r>
        <w:rPr>
          <w:rFonts w:ascii="SimSun" w:hAnsi="SimSun" w:eastAsia="SimSun"/>
          <w:b/>
          <w:color w:val="8F1014"/>
          <w:sz w:val="30"/>
        </w:rPr>
        <w:t>第4页 方法：守正创新不是两选一</w:t>
      </w:r>
    </w:p>
    <w:p>
      <w:pPr>
        <w:spacing w:line="293" w:lineRule="auto"/>
        <w:ind w:firstLine="403"/>
      </w:pPr>
      <w:r>
        <w:rPr>
          <w:rFonts w:ascii="Microsoft YaHei" w:hAnsi="Microsoft YaHei" w:eastAsia="Microsoft YaHei"/>
          <w:color w:val="34100A"/>
          <w:sz w:val="21"/>
        </w:rPr>
        <w:t>这篇文献中，我们小组最关注的关键词是“守正创新”。我们理解的守正，不是守旧，而是坚持马克思主义基本立场、观点和方法，坚持人民立场，坚持实事求是。创新，也不是为了求新而求新，而是面对中国之问、世界之问、人民之问、时代之问，形成新的认识和解决办法。守正和创新不能分开看。只讲守正，理论容易停在过去；只讲创新，又可能失去根本方向。真正的守正创新，是在坚持真理根基的基础上回应现实问题。</w:t>
      </w:r>
    </w:p>
    <w:p>
      <w:pPr>
        <w:spacing w:before="200" w:after="80"/>
      </w:pPr>
      <w:r>
        <w:rPr>
          <w:rFonts w:ascii="SimSun" w:hAnsi="SimSun" w:eastAsia="SimSun"/>
          <w:b/>
          <w:color w:val="8F1014"/>
          <w:sz w:val="30"/>
        </w:rPr>
        <w:t>第5页 路径一：同中国具体实际相结合</w:t>
      </w:r>
    </w:p>
    <w:p>
      <w:pPr>
        <w:spacing w:line="293" w:lineRule="auto"/>
        <w:ind w:firstLine="403"/>
      </w:pPr>
      <w:r>
        <w:rPr>
          <w:rFonts w:ascii="Microsoft YaHei" w:hAnsi="Microsoft YaHei" w:eastAsia="Microsoft YaHei"/>
          <w:color w:val="34100A"/>
          <w:sz w:val="21"/>
        </w:rPr>
        <w:t>接下来我们看“两个结合”。第一个结合，是把马克思主义基本原理同中国具体实际相结合。它解决的是理论如何不悬空的问题。中国的问题必须从中国国情出发来回答，不能简单照搬别国模式。毛概课中讲到的实事求是、独立自主，在这里就非常重要。比如中国式现代化，它不是西方现代化的复制，而是人口规模巨大的现代化、全体人民共同富裕的现代化、人与自然和谐共生的现代化。再比如乡村振兴，说明中国的发展不能只看城市，也必须回应城乡发展不平衡和共同富裕的问题。</w:t>
      </w:r>
    </w:p>
    <w:p>
      <w:pPr>
        <w:spacing w:before="200" w:after="80"/>
      </w:pPr>
      <w:r>
        <w:rPr>
          <w:rFonts w:ascii="SimSun" w:hAnsi="SimSun" w:eastAsia="SimSun"/>
          <w:b/>
          <w:color w:val="8F1014"/>
          <w:sz w:val="30"/>
        </w:rPr>
        <w:t>第6页 路径二：同中华优秀传统文化相结合</w:t>
      </w:r>
    </w:p>
    <w:p>
      <w:pPr>
        <w:spacing w:line="293" w:lineRule="auto"/>
        <w:ind w:firstLine="403"/>
      </w:pPr>
      <w:r>
        <w:rPr>
          <w:rFonts w:ascii="Microsoft YaHei" w:hAnsi="Microsoft YaHei" w:eastAsia="Microsoft YaHei"/>
          <w:color w:val="34100A"/>
          <w:sz w:val="21"/>
        </w:rPr>
        <w:t>第二个结合，是把马克思主义基本原理同中华优秀传统文化相结合。它解决的是理论如何扎根中国文化土壤的问题。我们讨论时有一个共同感受：第二个结合不是把古语贴到理论上，也不是简单做传统文化展示，而是让马克思主义在中华文明深处找到更有生命力的表达。比如“民为邦本”能帮助我们理解人民立场，“天下为公”能帮助我们理解共同价值，“和而不同”能帮助我们理解文明交流互鉴。通过这种创造性转化，理论既保持科学性，也更有中国气派和文化根脉。</w:t>
      </w:r>
    </w:p>
    <w:p>
      <w:pPr>
        <w:spacing w:before="200" w:after="80"/>
      </w:pPr>
      <w:r>
        <w:rPr>
          <w:rFonts w:ascii="SimSun" w:hAnsi="SimSun" w:eastAsia="SimSun"/>
          <w:b/>
          <w:color w:val="8F1014"/>
          <w:sz w:val="30"/>
        </w:rPr>
        <w:t>第7页 现实：问题导向让理论进入现场</w:t>
      </w:r>
    </w:p>
    <w:p>
      <w:pPr>
        <w:spacing w:line="293" w:lineRule="auto"/>
        <w:ind w:firstLine="403"/>
      </w:pPr>
      <w:r>
        <w:rPr>
          <w:rFonts w:ascii="Microsoft YaHei" w:hAnsi="Microsoft YaHei" w:eastAsia="Microsoft YaHei"/>
          <w:color w:val="34100A"/>
          <w:sz w:val="21"/>
        </w:rPr>
        <w:t>文献还强调问题导向。我们小组理解，理论创新的价值，不在于提出多少抽象口号，而在于能不能解释现实、回应现实、指导现实。比如面对全球科技竞争，中国强调高水平科技自立自强和发展新质生产力，这是对新时代发展问题的回答。面对发展不平衡，乡村振兴和共同富裕体现了以人民为中心的发展思想。面对生态压力，生态文明建设说明现代化不能只追求速度和规模，也要回应人民对美好生活和良好生态环境的需要。这些案例让我们看到，马克思主义中国化时代化不是空泛概念，而是不断进入现实问题的过程。</w:t>
      </w:r>
    </w:p>
    <w:p>
      <w:pPr>
        <w:spacing w:before="200" w:after="80"/>
      </w:pPr>
      <w:r>
        <w:rPr>
          <w:rFonts w:ascii="SimSun" w:hAnsi="SimSun" w:eastAsia="SimSun"/>
          <w:b/>
          <w:color w:val="8F1014"/>
          <w:sz w:val="30"/>
        </w:rPr>
        <w:t>第8页 共读：经典阅读不是背概念</w:t>
      </w:r>
    </w:p>
    <w:p>
      <w:pPr>
        <w:spacing w:line="293" w:lineRule="auto"/>
        <w:ind w:firstLine="403"/>
      </w:pPr>
      <w:r>
        <w:rPr>
          <w:rFonts w:ascii="Microsoft YaHei" w:hAnsi="Microsoft YaHei" w:eastAsia="Microsoft YaHei"/>
          <w:color w:val="34100A"/>
          <w:sz w:val="21"/>
        </w:rPr>
        <w:t>在这次经典品读中，我们小组采用了四步法。第一步是读原文，圈画“守正创新”“两个结合”“问题导向”等关键词。第二步是辨问题，把文本内容和马克思主义中国化时代化、实事求是、群众路线、独立自主、中国式现代化等知识点对应起来。第三步是连现实，把理论放进科技创新、乡村振兴、生态文明和青年成长中理解。第四步是定表达，形成PPT、讲稿、WebDemo和主题短片。通过这个过程，我们发现经典阅读最重要的不是把一句话背下来，而是把其中的方法转化为观察现实的能力。</w:t>
      </w:r>
    </w:p>
    <w:p>
      <w:pPr>
        <w:spacing w:before="200" w:after="80"/>
      </w:pPr>
      <w:r>
        <w:rPr>
          <w:rFonts w:ascii="SimSun" w:hAnsi="SimSun" w:eastAsia="SimSun"/>
          <w:b/>
          <w:color w:val="8F1014"/>
          <w:sz w:val="30"/>
        </w:rPr>
        <w:t>第9页 展厅：WebDemo把全篇逻辑翻成一本书</w:t>
      </w:r>
    </w:p>
    <w:p>
      <w:pPr>
        <w:spacing w:line="293" w:lineRule="auto"/>
        <w:ind w:firstLine="403"/>
      </w:pPr>
      <w:r>
        <w:rPr>
          <w:rFonts w:ascii="Microsoft YaHei" w:hAnsi="Microsoft YaHei" w:eastAsia="Microsoft YaHei"/>
          <w:color w:val="34100A"/>
          <w:sz w:val="21"/>
        </w:rPr>
        <w:t>为了让汇报不只是线性讲述，我们把WebDemo重新设计成一本会自动翻阅的书。它一共九个章节，对应PPT的十二页逻辑：开卷、主线、方法、根脉、现实、共读、展厅、青年和合卷。左页讲观点和论证，右页放真实图片、时间轴、案例拼贴和线下讨论影像。红色动态背景营造课堂展示的仪式感，翻页动画让观众能顺着逻辑走。我们设计它的目的不是展示技术，而是把整套汇报浓缩成一个可以观看、停留和复盘的学习空间。</w:t>
      </w:r>
    </w:p>
    <w:p>
      <w:pPr>
        <w:spacing w:before="200" w:after="80"/>
      </w:pPr>
      <w:r>
        <w:rPr>
          <w:rFonts w:ascii="SimSun" w:hAnsi="SimSun" w:eastAsia="SimSun"/>
          <w:b/>
          <w:color w:val="8F1014"/>
          <w:sz w:val="30"/>
        </w:rPr>
        <w:t>第10页 主题短片：让理论之光照亮青春之路</w:t>
      </w:r>
    </w:p>
    <w:p>
      <w:pPr>
        <w:spacing w:line="293" w:lineRule="auto"/>
        <w:ind w:firstLine="403"/>
      </w:pPr>
      <w:r>
        <w:rPr>
          <w:rFonts w:ascii="Microsoft YaHei" w:hAnsi="Microsoft YaHei" w:eastAsia="Microsoft YaHei"/>
          <w:color w:val="34100A"/>
          <w:sz w:val="21"/>
        </w:rPr>
        <w:t>我们还设计了一个45到60秒的主题短片，题目是“让理论之光照亮青春之路”。短片从书页翻开开始，文献标题和关键词逐渐出现，然后画面转向城市发展、乡村振兴、科技创新、生态文明等现实场景，最后落到青年学生阅读、讨论和实践。它的作用不是替代讲解，而是在汇报中形成情感上的集中表达：经典不是停留在纸面上的文字，而是照亮现实的思想力量。结尾字幕是“在经典中坚定方向，在实践中增长本领”。</w:t>
      </w:r>
    </w:p>
    <w:p>
      <w:pPr>
        <w:spacing w:before="200" w:after="80"/>
      </w:pPr>
      <w:r>
        <w:rPr>
          <w:rFonts w:ascii="SimSun" w:hAnsi="SimSun" w:eastAsia="SimSun"/>
          <w:b/>
          <w:color w:val="8F1014"/>
          <w:sz w:val="30"/>
        </w:rPr>
        <w:t>第11页 青年：从理论自觉到实践担当</w:t>
      </w:r>
    </w:p>
    <w:p>
      <w:pPr>
        <w:spacing w:line="293" w:lineRule="auto"/>
        <w:ind w:firstLine="403"/>
      </w:pPr>
      <w:r>
        <w:rPr>
          <w:rFonts w:ascii="Microsoft YaHei" w:hAnsi="Microsoft YaHei" w:eastAsia="Microsoft YaHei"/>
          <w:color w:val="34100A"/>
          <w:sz w:val="21"/>
        </w:rPr>
        <w:t>最后，我们想把这次品读落到大学生自身。对我们来说，学理论不是停留在背诵，而是掌握分析问题的方法；看时代不是旁观变化，而是理解变化背后的方向；做青年也不是只谈理想，而是要在专业学习、社会实践和未来职业选择中提升本领、服务社会。面对学习、就业和社会竞争，我们需要把个人发展放到国家需要和时代趋势中思考。这样，经典阅读才真正和我们的成长发生关系。</w:t>
      </w:r>
    </w:p>
    <w:p>
      <w:pPr>
        <w:spacing w:before="200" w:after="80"/>
      </w:pPr>
      <w:r>
        <w:rPr>
          <w:rFonts w:ascii="SimSun" w:hAnsi="SimSun" w:eastAsia="SimSun"/>
          <w:b/>
          <w:color w:val="8F1014"/>
          <w:sz w:val="30"/>
        </w:rPr>
        <w:t>第12页 合卷：总结</w:t>
      </w:r>
    </w:p>
    <w:p>
      <w:pPr>
        <w:spacing w:line="293" w:lineRule="auto"/>
        <w:ind w:firstLine="403"/>
      </w:pPr>
      <w:r>
        <w:rPr>
          <w:rFonts w:ascii="Microsoft YaHei" w:hAnsi="Microsoft YaHei" w:eastAsia="Microsoft YaHei"/>
          <w:color w:val="34100A"/>
          <w:sz w:val="21"/>
        </w:rPr>
        <w:t>总结起来，我们小组形成了三点认识。第一，守正创新，是开辟马克思主义中国化时代化新境界的方法。第二，两个结合，是理论扎根中国、回应时代的重要路径。第三，青年担当，是经典阅读最终要落到的行动。读经典，不是为了停留在文本表面，而是为了在理论中看清时代，在实践中坚定方向，在青春中承担使命。以上就是我们小组的汇报，谢谢大家。</w:t>
      </w:r>
    </w:p>
    <w:p>
      <w:pPr>
        <w:spacing w:before="200" w:after="80"/>
      </w:pPr>
      <w:r>
        <w:rPr>
          <w:rFonts w:ascii="SimSun" w:hAnsi="SimSun" w:eastAsia="SimSun"/>
          <w:b/>
          <w:color w:val="8F1014"/>
          <w:sz w:val="30"/>
        </w:rPr>
        <w:t>彩排提示</w:t>
      </w:r>
    </w:p>
    <w:p>
      <w:pPr>
        <w:ind w:left="317" w:hanging="144"/>
      </w:pPr>
      <w:r>
        <w:rPr>
          <w:rFonts w:ascii="Microsoft YaHei" w:hAnsi="Microsoft YaHei" w:eastAsia="Microsoft YaHei"/>
          <w:color w:val="34100A"/>
          <w:sz w:val="21"/>
        </w:rPr>
        <w:t>• 第3、5、7页信息较密，彩排时只保留最关键的例子，不临时扩展。</w:t>
      </w:r>
    </w:p>
    <w:p>
      <w:pPr>
        <w:ind w:left="317" w:hanging="144"/>
      </w:pPr>
      <w:r>
        <w:rPr>
          <w:rFonts w:ascii="Microsoft YaHei" w:hAnsi="Microsoft YaHei" w:eastAsia="Microsoft YaHei"/>
          <w:color w:val="34100A"/>
          <w:sz w:val="21"/>
        </w:rPr>
        <w:t>• 第9页展示WebDemo时建议先自动播放一页，再跳到“现实”或“合卷”分镜。</w:t>
      </w:r>
    </w:p>
    <w:p>
      <w:pPr>
        <w:ind w:left="317" w:hanging="144"/>
      </w:pPr>
      <w:r>
        <w:rPr>
          <w:rFonts w:ascii="Microsoft YaHei" w:hAnsi="Microsoft YaHei" w:eastAsia="Microsoft YaHei"/>
          <w:color w:val="34100A"/>
          <w:sz w:val="21"/>
        </w:rPr>
        <w:t>• 第12页最后一句放慢语速，停半秒再致谢。</w:t>
      </w:r>
    </w:p>
    <w:sectPr w:rsidR="00FC693F" w:rsidRPr="0006063C" w:rsidSect="00034616">
      <w:footerReference w:type="default" r:id="rId9"/>
      <w:pgSz w:w="12240" w:h="15840"/>
      <w:pgMar w:top="1181"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8A6B3A"/>
        <w:sz w:val="17"/>
      </w:rPr>
      <w:t>守正创新经典品读汇报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