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的两段探针：先蒸汽后风机，分别改动相变符号与外部热阻，使灵敏度矩阵由秩</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变为满秩。</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second—changes the phase-change sign and then the external resistance, raising the sensitivity matrix from rank</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 full rank.</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蒸烤一体后的执行边界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内部热阻缺席下的决策困难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五层闭环与决策状态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系统设计的五条约束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工作内容与章节安排</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食品热湿传递的描述框架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内部热阻估计的病态性质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现有商品方案的信息边界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菜单时钟对内部状态的替代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安全切断与模型外附件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腔体边界的标量化与一维离散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两节点模型与内部热阻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过程特征尺度与二维冷点偏移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稳态观测下的不可辨识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两阶段热信息探针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蒸汽路径分解与安全屏障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2"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5.2　S1 总体与厚度主效应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5.3　档位允许集合与能量–偏差联合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5.4　种子 7 典型轨迹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5.5　网格收敛与冷点定义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5.6　因子消融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5.7　估计器对比：标量跟踪器与两状态滤波</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5.8　第五条策略：滚动时域 MPC</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5.9　宽格子、集合散布与 50 mm 时域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5.10　表面蒸汽压差符号随厚度翻转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3"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仿宋" w:cs="Times New Roman"/>
            <w:kern w:val="32"/>
            <w:lang w:val="en-US" w:eastAsia="zh-CN"/>
            <w:sz w:val="22"/>
            <w:szCs w:val="22"/>
            <w:color w:val="000000"/>
            <w:u w:val="none"/>
          </w:rPr>
          <w:t xml:space="preserve">6.1　腔体可视化与交互对照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6.2　主要结论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6.3　局限与后续工作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7"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8"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9"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2"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5"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2"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台面因此被占去两处，蒸制与烤制也各自保留一套互不引用的定时曲线。蒸的时候水汽大、时间难校准，中心未熟与表面过湿交替出现；烤的时候腔温波动、搁架和门缝让边界失去对称，冷点可以偏离几何中心[3]。漏电、干烧和超温则是两类机器共有的隐患，现有保护回路读水位、门开关、剩余电流和加热器温度，与食品内部的进度估计分属两套互不相干的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家用蒸箱的容积多在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，饱和蒸汽由底部水箱或外置发生器供给，冷凝热流密度可达每平方米数千瓦。薄件的表面很快接近饱和温度，内部却按导热时间尺度慢慢跟上。对流烤箱把表面送到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以上，褐变和结壳只发生在近表面几毫米，冷点位置仍由厚度平方决定。两台机器各自标定一套菜单：蒸箱按重量或按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给分钟数，烤箱按腔温加定时。菜单一旦写进面板，这一次进门的初温、脂肪夹层和真实厚度就不再改写停机时刻。操作者看得见门缝逸出的蒸汽、发红的管壁和升高的风机噪声，读不到的是冷点有没有越过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与烤并进同一块钢板，省下的是台面，收窄的是旋钮。外壳换成深色搪瓷或拉丝不锈钢，夹层塞岩棉，内衬做圆角；门玻璃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问题落在一个具体的量上。食品一旦进门，冷点温度、内部含水和反应进度都不在四个执行量上；现有商品路径——机械定时、腔温闭环、按重量调用曲线、穿刺探针、表面红外——闭合的分别是空气温度、申报质量或刺入点的读数（止点见第2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档关掉蒸汽，组合档把四个量一起放开：档位名称写在面板上，允许集合写在执行器接口上，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既是常见蒸烤时域，也是数值核的积分终点。操作者很少把一体机开过一小时，水箱容量、门封和电气温升都按这个量级设计。薄件的导热时间尺度在开环菜单的时间内已经走完，厚件的 Fourier 数在同一上限内还远小于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。同样四个执行量，薄件被菜单推过设计线，厚件停在设计线之下。厚度把整条响应带平移，策略名称只是跟在厚度后面的标签。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比较因此固定在同一个积分器、同一组四个执行量和同一条设计线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上。开环、腔温比例、无探针与对偶四条策略共用这条线；后续的交叉表、网格加密、因子消融和典型轨迹，比较的都是这四条策略在十六条控制体上的停机偏差。同一条状态流会被读回三维腔体，地址为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fwbv548q\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五层闭环与决策状态</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唯一的出口，但进入闭环的两路信号必须分开：表面温度、腔温和质量从食品侧进来，水位、管温、门位、腔压与剩余电流则从安全侧进来。两侧不共用同一根信号线，品质模型的错误改写不了断电条件，断电条件也回写不了进度后验。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的功能，多数恰恰把这两侧混写进同一条加热请求，结果超温切断会跟着后验一起抖动。品质回路只该改请求，安全回路只该改指令。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产品上这件事对应两块电路。一块读 NTC 或热电偶给出的加热器温度、水箱浮子给出的水位、门微动开关和漏电互感器，越过阈值就切断加热管和蒸汽阀；另一块读表面温度或腔温，用来判断还要不要加热。两块若共用同一条请求线，进度估计一旦偏高，加热器温度保护也会跟着松；估计一旦偏低，超温切断又可能把已经接近设计线的过程掐断。已经运行的核把请求和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一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fwbv548q\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fwbv548q\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fwbv548q\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主日志给出</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、表面温度、平均含水和</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。九个分量里，停机真正读取的是冷点和致死进度；表面液相和结壳进入路径 B、C 的显示量。决策状态因此比日志宽、比全场窄：宽的那一侧用来标明还缺哪一路观测，窄的那一侧用来固定交叉表比较的是哪几个量。食材类别只改先验和终端目标，分量定义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这一段，其余时间加热请求由估计温度、方差和厚度决定。安全层插在请求与指令之间。下文的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指这条固定窗加饱和线性请求，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指只读硬测量的投影。开环把停止时刻规定为厚度的函数，腔温比例把停止时刻规定为时域终点，无探针和对偶共用饱和线性加热律。交叉表比较的是这四条入口在同一积分器上的停机偏差。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整个过程里同时走着四个时间尺度，而它们按快慢排成一层一层的结构。毫秒级的剩余电流切断能够打断分钟级的食品估计，秒级的探针窗比内部热阻的时间常数还短，分钟级的品质加热又覆盖了剩下的大半过程，至于两次烹饪之间的先验写回，则发生在停机之后。这四层叠在一起，决定了安全层的时钟必须独立于估计器：快的那套保护不能被慢的那套计算拖住，漏电互感器也从不经过食品模型。家用电热器具上这件事早已成立，一体机要守住的，只是让进度估计同样走不进这条快回路。</w:t>
      </w:r>
    </w:p>
    <w:bookmarkEnd w:id="33"/>
    <w:bookmarkStart w:id="35"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系统设计的五条约束</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这五条是设计判据。已经运行的一维核把可分离落实为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使用由真值温差构成的参照，估计器同时读取可安装通道和评分参照；把参照换成可安装通道，才是把可重构写严的第一步。安全投影落实到加热器温度这一路；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工作内容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工作内容与章节安排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全书按问题推进，不按方法并列。第二章先划界：文献各自做实了哪一段，货架产品又闭合了哪一段，合起来标出这个缺口的位置。第三章回答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状态怎么来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，从三维连续方程一路收缩到十六条控制体，并说明每一步收缩凭什么成立。第四章回答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，先证明稳态观测对内部热阻的灵敏度为零，再给出两段探针这条出路，最后把安全投影钉在硬测量上。第五章回答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跑起来如何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，把同一积分器放到因子格子上，看厚度、初温和档位各自把结果推向哪里。第六章把同一条状态流读回三维腔体，让链在时间上闭合，再收束全文。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符号、离散格式、种子 7 的轨迹抽样和尺度估计放在附录 A 到 E；正文只保留论证需要的符号与表格，长表移到附录以便对照而不打断阅读。</w:t>
      </w:r>
    </w:p>
    <w:bookmarkEnd w:id="36"/>
    <w:bookmarkEnd w:id="37"/>
    <w:bookmarkStart w:id="53"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沿着第1章给出的那条链，本章先做两件事：看清已有研究各自把哪一段做实了，再看清货架上的方案把哪一段闭合了。这两件事合起来，才划得出本文要填的那个缺口。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三条文献线本来各有各的问题。食品工程关心的是热量与水分如何在多孔食品内部同时传递，于是有了体积平均、等温线和品质动力学；逆热传导关心的是怎样由表面读数反演内部状态，于是有了那条高频放大随深度指数增长的病态结构；安全控制关心的是执行器在什么条件下必须停下，于是有了屏障投影与家电型式试验的测量点。把三者接到同一台机器的四个执行器上，真正进入积分器的其实只有薄薄一层：体积平均提供能量、液相和蒸汽方程的骨架；品质动力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什么时候停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的固定时间窗；后续交叉表比较的，就是四条策略在这同一个积分器上的停机偏差。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货架上的产品把这三条线压缩成了一页彩页。参数表里写的是容积、上下管功率、蒸汽发生量、风机档位和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，却没有提冷点可以偏离几何中心，也没有提针尖会改变局部场。图像识别作为卖点时，文案讲的是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，蒸汽遮挡画面中断的那几秒不在文案里。把这些摆在一起看，文献综述要做的事就清楚了：把商品路径已经闭合的量和仍未进入后验的量分开，而不是把论文按年份排队。</w:t>
      </w:r>
    </w:p>
    <w:bookmarkStart w:id="42"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给出干燥过程中多孔介质里热量、质量和动量同时传递的体积平均理论[1]。固相骨架、液相和气相分别平均，界面交换记为源项。Datta 把这一骨架用于食品加工中的同时热质传递[2]：蒸发和冷凝是界面源，蒸汽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给出对流烤箱中肉块的三维耦合场，并表明冷点可以偏离几何中心[3]。冷点冷点的定义就落到场的本质下确界上，一维核里取十六条控制体的最低温度。一块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fwbv548q\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把食品品质表述为温度指数、转化率幂和含水开关的乘积[4]。品质是反应进度：同一条中心温度曲线可以对应不同的表面褐变和不同的热力进度，停机停机的判据写成进度阈值，温度阈值只作为跟踪器的中间量。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4"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内部热阻估计的病态性质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带协方差的状态更新可以交给集合卡尔曼滤波[7]，完整的估计器因而能写成分层集合滤波的形式。本次日志里的估计器要简单得多，只是一个标量跟踪器：冷点由表面温度经一个时间常数跟上，而这个常数正比于热阻估计与厚度的平方。跟踪器与集合滤波在这里分开报告，因为两者回答的问题不同。物理信息网络与神经算子能够加速参数化演化[10,11,12]，代价是外推范围被训练轨迹里的执行器覆盖所限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4"/>
    <w:bookmarkStart w:id="45"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在这个框架下，对偶控制的经典结论恰是本文要用的工具。Feldbaum 指出控制输入在推动状态的同时也推动辨识，两者无法完全分开[15]；而家电上的执行器只有有限几种，能拿来做激励的窗口窄得可怜，这就把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如何设计激励</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变成了一个受约束的问题。信息量的度量沿用 Lindley 的先验熵与后验熵之差[8]，它把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这一次观测降低了多少不确定性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一个可以算出的数。再往下一层，结构因果模型提供了区分的语言：干预是替换结构方程的输入后再积分，而条件相关保留控制策略本身[9]；两者之差正是本文反复强调的那件事——加大蒸汽可能只是控制器对当前低温的反应，真正的效应必须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决策一侧的工具同样各管一段。模型预测控制在有限时域上求解执行量[18]，它擅长在约束下权衡，却不负责分辨输入背后的参数是否可信；控制屏障把参考动作投影到由测量定义的安全集[17]，它保证不越界，却不解释边界内该往哪走。安全边界本身另有一层来源：家用电器对漏电、温升与异常工作的通用要求见 IEC 60335-1 与 GB 4706.1[19,20]，这类标准规定的是硬测量的阈值，而不是食品内部的状态。于是水位、门、剩余电流与加热器温度自然地归入安全投影，进度估计留在品质回路——本文给出的正是这种测量隔离的结构，而非又一层叠加在请求线上的软保护。</w:t>
      </w:r>
    </w:p>
    <w:bookmarkEnd w:id="45"/>
    <w:bookmarkStart w:id="48"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现有商品方案的信息边界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6"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机械定时的停止时刻是开环函数。厨房里对应的是面板上的分钟旋钮：拧到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，铃声响就停。本次核的开环策略按厚度给出菜单时间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bookmarkStart w:id="47"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7"/>
    <w:bookmarkEnd w:id="48"/>
    <w:bookmarkStart w:id="50"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49"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w:t>
      </w:r>
    </w:p>
    <w:tbl>
      <w:tblPr>
        <w:tblStyle w:val="Table"/>
        <w:tblW w:type="pct" w:w="5000"/>
        <w:tblLook w:firstRow="1" w:lastRow="0" w:firstColumn="0" w:lastColumn="0" w:noHBand="0" w:noVBand="0" w:val="0020"/>
        <w:tblCaption w:val="国内主流家电企业公开专利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49"/>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0"/>
    <w:bookmarkStart w:id="51"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蒸箱和烤箱并进同一块钢板之后，冷凝和干热必须共用四个执行量。为冷点多送一股蒸汽，薄件上是冷凝收益，厚件上可能只把表面打湿；为表面排湿而加大排汽，冷点又可能失去冷凝潜热。符号冲突落在界面通量上。彩页把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；厨房里切换的是允许集合，冷点能不能起来仍由 Fourier 数决定。</w:t>
      </w:r>
    </w:p>
    <w:bookmarkEnd w:id="51"/>
    <w:bookmarkStart w:id="52"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是食品初温。核从食品初温与腔体室温附近一起积分。从冰箱直接进门的肉糜停在低档，回温后面团停在高档。预热把食品从冷藏拿到室温，相当于在格子里换一列初温，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几条缺口摆在一起看，它们指向同一个要求：机器必须在一次烹饪过程中，判断自己对内部状态的把握是否足够，以及不够时该用哪一个执行量、朝哪个方向改边界。这个要求不是算法层面的偏好，而是由观测量与隐藏量之间的代数关系决定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章到此为止只做了划界的工作。真正要回答的是两件事：内部热阻为什么在稳态观测下看不见，以及怎样用一段短时间的主动激励让它变得可见。前者是结构性的，后者是工程性的，两者构成下一章的全部内容。</w:t>
      </w:r>
    </w:p>
    <w:bookmarkEnd w:id="52"/>
    <w:bookmarkEnd w:id="53"/>
    <w:bookmarkStart w:id="75"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和探针解释真正要读的量并不多，无非温度、液相含水与反应进度，再加一个描述内部滞后的热阻。中心温度越过某个阈值，那只是跟踪器拿到的中间量；真正的判据是冷点处的致死进度，而冷点从来没有被直接测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要做的事，是把三维多孔介质中的连续方程一路收缩到实际参与积分的那个离散核。收缩不是随意取舍，每一步都有一条可以检查的理由：热局部非平衡在分钟尺度上可以忽略，固、液、气因而共用一个温度；蒸汽质量分数与压力场在工程式的界面通量里被吸收，核于是不设独立的压力未知量；横向梯度在一维几何里根本不存在，厚度方向的十六条控制体便已够用。收缩之后留下来的是四个量——冷点温度、表面温度、平均含水、致死进度，界面潜热的符号与冷凝放热、蒸发吸热的方向保持一致，幅度则由蒸汽指令和活度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这样得到的核当然不去重建三维烤箱里的冷点云，也不去重建真实的蒸汽压场；它重建的是决策真正依赖的那几个量在这一次过程里如何演化。这一点成立与否，正是下一章讨论可辨识性的前提。</w:t>
      </w:r>
    </w:p>
    <w:bookmarkStart w:id="54" w:name="计算域与全场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4"/>
    <w:bookmarkStart w:id="55" w:name="能量水分与界面相变"/>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忽略热局部非平衡时，固、液、气在同一代表体元内共用一个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；这一简化在蒸烤的分钟尺度上可以接受。能量方程保留四项：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5"/>
    <w:bookmarkStart w:id="62" w:name="腔体边界的标量化与一维离散"/>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腔体边界的标量化与一维离散</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的步长下，时间误差在一分钟量级的过程里累积到毫开尔文量级，而空间误差要由5章的网格收敛来量化（表5.5、图5.13）。把上限写成显式不等式，是为了让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7"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fwbv548q\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fwbv548q\media\d6772a0c79b171f492cf0e48be5d47f71cf7b454.png" id="0" name="Picture"/>
                    <pic:cNvPicPr>
                      <a:picLocks noChangeArrowheads="1" noChangeAspect="1"/>
                    </pic:cNvPicPr>
                  </pic:nvPicPr>
                  <pic:blipFill>
                    <a:blip r:embed="rId58"/>
                    <a:stretch>
                      <a:fillRect/>
                    </a:stretch>
                  </pic:blipFill>
                  <pic:spPr bwMode="auto">
                    <a:xfrm>
                      <a:off x="0" y="0"/>
                      <a:ext cx="3187795" cy="2456733"/>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fwbv548q\media\822bac8cb0249f0ce19c950884f44f813d38d2f4.png" id="0" name="Picture"/>
                    <pic:cNvPicPr>
                      <a:picLocks noChangeArrowheads="1" noChangeAspect="1"/>
                    </pic:cNvPicPr>
                  </pic:nvPicPr>
                  <pic:blipFill>
                    <a:blip r:embed="rId60"/>
                    <a:stretch>
                      <a:fillRect/>
                    </a:stretch>
                  </pic:blipFill>
                  <pic:spPr bwMode="auto">
                    <a:xfrm>
                      <a:off x="0" y="0"/>
                      <a:ext cx="3006748" cy="2273395"/>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2"/>
    <w:bookmarkStart w:id="64" w:name="进度表面品质与结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3"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3"/>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4"/>
    <w:bookmarkStart w:id="66"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两节点模型与内部热阻</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只积分十六条控制体：压力场、蒸汽质量分数和有限速率相变源项虽然写在连续形式里，作用却只是标明离散项各自对应哪一项，核里真正推进的是温度、含水、结壳代理与进度这四个量。两节点工作方程在这套核里只服务于探针分析，因为它恰好能给出两条代数事实——平衡点上内部热阻的灵敏度为零，而两段脉冲提供第二个灵敏度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5"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5"/>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6"/>
    <w:bookmarkStart w:id="74" w:name="过程特征尺度与二维冷点偏移"/>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过程特征尺度与二维冷点偏移</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8"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fwbv548q\media\67b84eb48dae0cd03783719b40e903667e7aaba1.png" id="0" name="Picture"/>
                    <pic:cNvPicPr>
                      <a:picLocks noChangeArrowheads="1" noChangeAspect="1"/>
                    </pic:cNvPicPr>
                  </pic:nvPicPr>
                  <pic:blipFill>
                    <a:blip r:embed="rId67"/>
                    <a:stretch>
                      <a:fillRect/>
                    </a:stretch>
                  </pic:blipFill>
                  <pic:spPr bwMode="auto">
                    <a:xfrm>
                      <a:off x="0" y="0"/>
                      <a:ext cx="5328000" cy="3618481"/>
                    </a:xfrm>
                    <a:prstGeom prst="rect">
                      <a:avLst/>
                    </a:prstGeom>
                    <a:noFill/>
                    <a:ln w="9525">
                      <a:noFill/>
                      <a:headEnd/>
                      <a:tailEnd/>
                    </a:ln>
                  </pic:spPr>
                </pic:pic>
              </a:graphicData>
            </a:graphic>
          </wp:inline>
        </w:drawing>
      </w:r>
      <w:bookmarkEnd w:id="6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69"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69"/>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1" w:name="fig:fobi"/>
      <w:r>
        <w:rPr>
          <w:rFonts w:ascii="Times New Roman" w:hAnsi="Times New Roman" w:eastAsia="黑体" w:cs="Times New Roman"/>
          <w:b/>
          <w:kern w:val="32"/>
          <w:sz w:val="21"/>
          <w:lang w:val="en-US" w:eastAsia="zh-CN"/>
          <w:color w:val="000000"/>
        </w:rPr>
        <w:drawing>
          <wp:inline>
            <wp:extent cx="3190087" cy="236277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fwbv548q\media\d618be7e2f34320e83d8f62996e1301afc54e812.png" id="0" name="Picture"/>
                    <pic:cNvPicPr>
                      <a:picLocks noChangeArrowheads="1" noChangeAspect="1"/>
                    </pic:cNvPicPr>
                  </pic:nvPicPr>
                  <pic:blipFill>
                    <a:blip r:embed="rId70"/>
                    <a:stretch>
                      <a:fillRect/>
                    </a:stretch>
                  </pic:blipFill>
                  <pic:spPr bwMode="auto">
                    <a:xfrm>
                      <a:off x="0" y="0"/>
                      <a:ext cx="3190087" cy="2362772"/>
                    </a:xfrm>
                    <a:prstGeom prst="rect">
                      <a:avLst/>
                    </a:prstGeom>
                    <a:noFill/>
                    <a:ln w="9525">
                      <a:noFill/>
                      <a:headEnd/>
                      <a:tailEnd/>
                    </a:ln>
                  </pic:spPr>
                </pic:pic>
              </a:graphicData>
            </a:graphic>
          </wp:inline>
        </w:drawing>
      </w:r>
      <w:bookmarkEnd w:id="7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fwbv548q\media\5d3059e6ad6a8b7a0044b422ed29bfe499cad690.png" id="0" name="Picture"/>
                    <pic:cNvPicPr>
                      <a:picLocks noChangeArrowheads="1" noChangeAspect="1"/>
                    </pic:cNvPicPr>
                  </pic:nvPicPr>
                  <pic:blipFill>
                    <a:blip r:embed="rId72"/>
                    <a:stretch>
                      <a:fillRect/>
                    </a:stretch>
                  </pic:blipFill>
                  <pic:spPr bwMode="auto">
                    <a:xfrm>
                      <a:off x="0" y="0"/>
                      <a:ext cx="3096126" cy="2456733"/>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4"/>
    <w:bookmarkEnd w:id="75"/>
    <w:bookmarkStart w:id="99"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直觉上好像可以：腔温采样能做到很密，表面温度也能测得很准，把曲线画细一些，总该能推断出内部发生了什么。问题在于平衡点上的代数结构不允许这样做。当食品与腔体都停在稳态，内部热阻、表面热容与内部热容只以除数形式出现在方程里，求导之后右端为零；换言之，稳态观测对这三个量的灵敏度严格为零，采样再密，也只是把一条已经闭合的空气温度曲线画得更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出路只能是离开平衡。本章围绕这个结论安排三件事。其一，证明平衡观测对内部热阻的灵敏度为零，把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为什么稳态测量不起作用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写成命题。其二，给出一条可行的激励方案：家电嵌入式计算能力有限，在线求 Fisher 矩阵不现实，改用固定时窗的两段开环激励，先蒸汽、后风机，从而把外部换热与内部导热的两列灵敏度分开。其三，处理这样做的代价：蒸汽对品质的作用不止一条，它同时经冷点潜热、表面蒸发与慢热阻三条路径影响结果，必须分开计算；而安全投影只读水位、门、剩余电流与加热器温度，品质估计不得进入断电条件。三件事合起来，才构成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看得见且不越界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的完整过渡。</w:t>
      </w:r>
    </w:p>
    <w:bookmarkStart w:id="77"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其实不少：腔温热电偶在后壁或顶部，湿度探头靠近排汽口，门缝处可以加一根穿刺针，部分机型还会在门玻璃内侧装红外。表4.1把这些通道逐条列了出来，其中只有一部分真正进入品质估计器——安全侧的测量（水位、门位、剩余电流与加热器温度）根本不进品质滤波。腔温、湿度、质量和红外都能写成观测向量的分量，而工程核实际读入的只有两条：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的确定性散列，以及平均含水加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的散列。其余通道留在表里，正是为了标出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之间的那段距离。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这中间的落差由每一路通道各自的缺陷决定。腔温离空气太近，容易被加热器的辐射污染；湿度在饱和段几乎没有分辨率可言；质量是累计蒸发的积分量，根本无法定位冷点；红外读到的是发射率未知的辐射亮度。穿刺针虽然能靠近内部，却会改变局部场，而且一旦没刺中冷点，读数就不代表场的下确界。工程核因此只用表面温度与平均含水这两条通道，再加一个确定性散列。探针窗的任务就清楚了：让这两条已经装得上的通道暂时离开平衡，从而把内部热阻从灵敏度为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6"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以</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的谐波为例，传到</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处只剩下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，放大到这个程度已经没有任何信息可用。菜单时间又把放大压到另一个量级：薄件在自己的菜单时刻还留着约十分之一，厚件只剩千分之几。若令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上算得</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比整条菜单还长。由此可见，加密表面像素所能提高的只是那些早就衰减掉的高频分量；要真正看见冷点，必须提供穿透时间尺度上的动态激励，或者找一个对内部热阻敏感的积分量。质量损失恰好两样都不占：它对累计蒸发敏感，却对冷点位置不敏感。</w:t>
      </w:r>
    </w:p>
    <w:bookmarkEnd w:id="77"/>
    <w:bookmarkStart w:id="82"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稳态观测下的不可辨识</w:t>
      </w:r>
      <w:bookmarkEnd w:id="27"/>
    </w:p>
    <w:bookmarkStart w:id="78"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78"/>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由此得到一个直接推论：恒温段里腔温采得再密，也不会更新内部热阻，信息动作必须离开平衡。对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从同一初值积分，平衡温差的极差恰好为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失败的数学形式——菜单时钟闭合的是时间，而不是这一次过程里被看见的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上面的证明给出平衡点的结论，但还需要说明一件事：为什么"离开平衡"就能恢复可辨识性。这要看灵敏度矩阵在平衡与准稳态两处的秩。</w:t>
      </w:r>
    </w:p>
    <w:bookmarkStart w:id="79" w:name="prop:rank"/>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(平衡点的灵敏度为零，偏离后立即恢复满秩).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设观测为表面温度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，待估参数为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 在平衡点</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处，灵敏度矩阵</w:t>
      </w:r>
      <w:r>
        <w:rPr>
          <w:iCs/>
          <w:rFonts w:ascii="Times New Roman" w:hAnsi="Times New Roman" w:eastAsia="宋体" w:cs="Times New Roman"/>
          <w:i/>
          <w:kern w:val="32"/>
          <w:sz w:val="24"/>
          <w:lang w:val="en-US" w:eastAsia="zh-CN"/>
          <w:color w:val="000000"/>
        </w:rPr>
        <w:t xml:space="preserve"> </w:t>
      </w:r>
      <m:oMath>
        <m:r>
          <m:t>S</m:t>
        </m:r>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的两列同时为零，秩为</w:t>
      </w:r>
      <w:r>
        <w:rPr>
          <w:iCs/>
          <w:rFonts w:ascii="Times New Roman" w:hAnsi="Times New Roman" w:eastAsia="宋体" w:cs="Times New Roman"/>
          <w:i/>
          <w:kern w:val="32"/>
          <w:sz w:val="24"/>
          <w:lang w:val="en-US" w:eastAsia="zh-CN"/>
          <w:color w:val="000000"/>
        </w:rPr>
        <w:t xml:space="preserve"> </w:t>
      </w:r>
      <m:oMath>
        <m:r>
          <m:t>0</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(ii) 一旦离开平衡，只要净热流</w:t>
      </w:r>
      <w:r>
        <w:rPr>
          <w:iCs/>
          <w:rFonts w:ascii="Times New Roman" w:hAnsi="Times New Roman" w:eastAsia="宋体" w:cs="Times New Roman"/>
          <w:i/>
          <w:kern w:val="32"/>
          <w:sz w:val="24"/>
          <w:lang w:val="en-US" w:eastAsia="zh-CN"/>
          <w:color w:val="000000"/>
        </w:rPr>
        <w:t xml:space="preserve"> </w:t>
      </w:r>
      <m:oMath>
        <m:r>
          <m:t>q</m:t>
        </m:r>
        <m:r>
          <m:rPr>
            <m:sty m:val="p"/>
          </m:rPr>
          <m:t>≠</m:t>
        </m:r>
        <m:r>
          <m:t>0</m:t>
        </m:r>
      </m:oMath>
      <w:r>
        <w:rPr>
          <w:iCs/>
          <w:rFonts w:ascii="Times New Roman" w:hAnsi="Times New Roman" w:eastAsia="宋体" w:cs="Times New Roman"/>
          <w:i/>
          <w:kern w:val="32"/>
          <w:sz w:val="24"/>
          <w:lang w:val="en-US" w:eastAsia="zh-CN"/>
          <w:color w:val="000000"/>
        </w:rPr>
        <w:t xml:space="preserve">，</w:t>
      </w:r>
      <m:oMath>
        <m:r>
          <m:t>S</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即满秩。</w:t>
      </w:r>
    </w:p>
    <w:bookmarkEnd w:id="79"/>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 由命题4.1，平衡时</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w:t>
      </w:r>
      <m:oMath>
        <m:sSub>
          <m:e>
            <m:r>
              <m:t>T</m:t>
            </m:r>
          </m:e>
          <m:sub>
            <m:r>
              <m:t>1</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对两个热阻的偏导都含因子</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，故同时为零。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(ii) 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，且</w:t>
      </w:r>
      <w:r>
        <w:rPr>
          <w:rFonts w:ascii="Times New Roman" w:hAnsi="Times New Roman" w:eastAsia="宋体" w:cs="Times New Roman"/>
          <w:kern w:val="32"/>
          <w:sz w:val="24"/>
          <w:lang w:val="en-US" w:eastAsia="zh-CN"/>
          <w:color w:val="000000"/>
        </w:rPr>
        <w:t xml:space="preserve"> </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对两个参数求偏导得</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r>
            <m:t>  </m:t>
          </m:r>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，两列不成比例，故满秩。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这个结论有一个可以直接检验的推论：可辨识性是**开关式**的，在平衡点恰好为零，离开平衡就有，不需要等到某个"足够大"的激励幅度。数值上，把</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1</m:t>
        </m:r>
        <m:r>
          <m:rPr>
            <m:sty m:val="p"/>
          </m:rPr>
          <m:t>,</m:t>
        </m:r>
        <m:r>
          <m:t>3</m:t>
        </m:r>
        <m:r>
          <m:rPr>
            <m:sty m:val="p"/>
          </m:rPr>
          <m:t>,</m:t>
        </m:r>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在准稳态分支上求偏导，堆叠后奇异值为</w:t>
      </w:r>
      <w:r>
        <w:rPr>
          <w:rFonts w:ascii="Times New Roman" w:hAnsi="Times New Roman" w:eastAsia="宋体" w:cs="Times New Roman"/>
          <w:kern w:val="32"/>
          <w:sz w:val="24"/>
          <w:lang w:val="en-US" w:eastAsia="zh-CN"/>
          <w:color w:val="000000"/>
        </w:rPr>
        <w:t xml:space="preserve"> </w:t>
      </w:r>
      <m:oMath>
        <m:r>
          <m:t>117.96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40.68</m:t>
        </m:r>
      </m:oMath>
      <w:r>
        <w:rPr>
          <w:rFonts w:ascii="Times New Roman" w:hAnsi="Times New Roman" w:eastAsia="宋体" w:cs="Times New Roman"/>
          <w:kern w:val="32"/>
          <w:sz w:val="24"/>
          <w:lang w:val="en-US" w:eastAsia="zh-CN"/>
          <w:color w:val="000000"/>
        </w:rPr>
        <w:t xml:space="preserve">，秩为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；而在平衡点同一矩阵恒为零，秩为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。两者之间没有过渡带，原因就是热流</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在平衡点处为零。命题4.1 说的是"看不见"，命题4.2 补上了"什么时候开始看得见"，两段探针的设计依据就在后者：它只要让</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离开零，并且在两个参数上给出不同的偏导路径。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1"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fwbv548q\media\2d467117a3e981eb0d269ea3f12fb549d4a0fd7d.png" id="0" name="Picture"/>
                    <pic:cNvPicPr>
                      <a:picLocks noChangeArrowheads="1" noChangeAspect="1"/>
                    </pic:cNvPicPr>
                  </pic:nvPicPr>
                  <pic:blipFill>
                    <a:blip r:embed="rId80"/>
                    <a:stretch>
                      <a:fillRect/>
                    </a:stretch>
                  </pic:blipFill>
                  <pic:spPr bwMode="auto">
                    <a:xfrm>
                      <a:off x="0" y="0"/>
                      <a:ext cx="5328000" cy="2389237"/>
                    </a:xfrm>
                    <a:prstGeom prst="rect">
                      <a:avLst/>
                    </a:prstGeom>
                    <a:noFill/>
                    <a:ln w="9525">
                      <a:noFill/>
                      <a:headEnd/>
                      <a:tailEnd/>
                    </a:ln>
                  </pic:spPr>
                </pic:pic>
              </a:graphicData>
            </a:graphic>
          </wp:inline>
        </w:drawing>
      </w:r>
      <w:bookmarkEnd w:id="8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2"/>
    <w:bookmarkStart w:id="89"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两阶段热信息探针</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一侧，这是硬件前提。一旦稳态观测压不低决策量的后验不确定度，控制器就只剩一条路：离开平衡，用短时的边界激励把内部参数从灵敏度为零的状态里拖出来。探针因此必须是一段有限时长的执行器轨迹，而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的执行器轨迹画成一条时间轴，并把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的探针窗放大成插图。主轴上探针窗只是一个四十秒宽的窄条，窗外蒸汽回到基线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、加热请求由冷点估计给出；窗内蒸汽先跳到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。这条时间表本身是实现"可分离"的方式：任何一个时刻，都能从图上读出这一时刻的指令是由信息动作还是品质动作发出的。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与外部换热的分量仍然共线；加上对流段之后，两列才线性无关，这正是命题4.3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4"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fwbv548q\media\91d784c72ee7f4eea57b486597fba09396408f4e.png" id="0" name="Picture"/>
                    <pic:cNvPicPr>
                      <a:picLocks noChangeArrowheads="1" noChangeAspect="1"/>
                    </pic:cNvPicPr>
                  </pic:nvPicPr>
                  <pic:blipFill>
                    <a:blip r:embed="rId83"/>
                    <a:stretch>
                      <a:fillRect/>
                    </a:stretch>
                  </pic:blipFill>
                  <pic:spPr bwMode="auto">
                    <a:xfrm>
                      <a:off x="0" y="0"/>
                      <a:ext cx="5328000" cy="2089888"/>
                    </a:xfrm>
                    <a:prstGeom prst="rect">
                      <a:avLst/>
                    </a:prstGeom>
                    <a:noFill/>
                    <a:ln w="9525">
                      <a:noFill/>
                      <a:headEnd/>
                      <a:tailEnd/>
                    </a:ln>
                  </pic:spPr>
                </pic:pic>
              </a:graphicData>
            </a:graphic>
          </wp:inline>
        </w:drawing>
      </w:r>
      <w:bookmarkEnd w:id="8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6"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fwbv548q\media\5515ce5584b423488ec3e6ca01096913f4eec333.png" id="0" name="Picture"/>
                    <pic:cNvPicPr>
                      <a:picLocks noChangeArrowheads="1" noChangeAspect="1"/>
                    </pic:cNvPicPr>
                  </pic:nvPicPr>
                  <pic:blipFill>
                    <a:blip r:embed="rId85"/>
                    <a:stretch>
                      <a:fillRect/>
                    </a:stretch>
                  </pic:blipFill>
                  <pic:spPr bwMode="auto">
                    <a:xfrm>
                      <a:off x="0" y="0"/>
                      <a:ext cx="5168347" cy="2966448"/>
                    </a:xfrm>
                    <a:prstGeom prst="rect">
                      <a:avLst/>
                    </a:prstGeom>
                    <a:noFill/>
                    <a:ln w="9525">
                      <a:noFill/>
                      <a:headEnd/>
                      <a:tailEnd/>
                    </a:ln>
                  </pic:spPr>
                </pic:pic>
              </a:graphicData>
            </a:graphic>
          </wp:inline>
        </w:drawing>
      </w:r>
      <w:bookmarkEnd w:id="8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跟踪器所估计的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是一个滞后倍数，即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，而不是膜热阻与内热阻之比。它的真值可以从场上反解：在表面取一阶滞后的准稳态关系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，对三条厚度做最小二乘单指数拟合，对偶策略给出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。这些数与种子无关：同一厚度上八个种子给出同一个值，因为滞后由几何与物性决定。相比之下，参照式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在整个定义域内只走到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的上限放在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的时间贴在这个上限上；接受判据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在那些时刻实际上是在与一个常数比较。把上限放宽到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），四个策略的中位差同样在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以内。这条检验记录在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：参照的上限确实曾经过紧，而报告的全部结论对这处修正不敏感。</w:t>
      </w:r>
    </w:p>
    <w:bookmarkStart w:id="87"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(第二输入方向).</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线性化后，仅</w:t>
      </w:r>
      <w:r>
        <w:rPr>
          <w:iCs/>
          <w:rFonts w:ascii="Times New Roman" w:hAnsi="Times New Roman" w:eastAsia="宋体" w:cs="Times New Roman"/>
          <w:i/>
          <w:kern w:val="32"/>
          <w:sz w:val="24"/>
          <w:lang w:val="en-US" w:eastAsia="zh-CN"/>
          <w:color w:val="000000"/>
        </w:rPr>
        <w:t xml:space="preserve"> </w:t>
      </w:r>
      <m:oMath>
        <m:r>
          <m:t>δ</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时输入矩阵为单列。在(3.12)里</w:t>
      </w:r>
      <w:r>
        <w:rPr>
          <w:iCs/>
          <w:rFonts w:ascii="Times New Roman" w:hAnsi="Times New Roman" w:eastAsia="宋体" w:cs="Times New Roman"/>
          <w:i/>
          <w:kern w:val="32"/>
          <w:sz w:val="24"/>
          <w:lang w:val="en-US" w:eastAsia="zh-CN"/>
          <w:color w:val="000000"/>
        </w:rPr>
        <w:t xml:space="preserve"> </w:t>
      </w:r>
      <m:oMath>
        <m:sSub>
          <m:e>
            <m:r>
              <m:t>q</m:t>
            </m:r>
          </m:e>
          <m:sub>
            <m:r>
              <m:rPr>
                <m:sty m:val="p"/>
              </m:rPr>
              <m:t>l</m:t>
            </m:r>
            <m:r>
              <m:rPr>
                <m:sty m:val="p"/>
              </m:rPr>
              <m:t>a</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都只进入第一式，两列输入共线，变号不增加输入矩阵的秩。可分开的是参数列：离开平衡之后，只改变</w:t>
      </w:r>
      <w:r>
        <w:rPr>
          <w:iCs/>
          <w:rFonts w:ascii="Times New Roman" w:hAnsi="Times New Roman" w:eastAsia="宋体" w:cs="Times New Roman"/>
          <w:i/>
          <w:kern w:val="32"/>
          <w:sz w:val="24"/>
          <w:lang w:val="en-US" w:eastAsia="zh-CN"/>
          <w:color w:val="000000"/>
        </w:rPr>
        <w:t xml:space="preserve"> </w:t>
      </w:r>
      <m:oMath>
        <m:sSub>
          <m:e>
            <m:r>
              <m:t>R</m:t>
            </m:r>
          </m:e>
          <m:sub>
            <m:r>
              <m:rPr>
                <m:sty m:val="p"/>
              </m:rPr>
              <m:t>e</m:t>
            </m:r>
            <m:r>
              <m:rPr>
                <m:sty m:val="p"/>
              </m:rPr>
              <m:t>x</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的气流段使</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的灵敏度列线性无关。</w:t>
      </w:r>
    </w:p>
    <w:bookmarkEnd w:id="87"/>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w:t>
      </w:r>
      <m:oMath>
        <m:sSub>
          <m:e>
            <m:r>
              <m:t>q</m:t>
            </m:r>
          </m:e>
          <m:sub>
            <m:r>
              <m:rPr>
                <m:sty m:val="p"/>
              </m:rPr>
              <m:t>l</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。第二分量都是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，潜热变号只改变倍数的符号，秩仍是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。气流段把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改为另一个正数，对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Sup>
          <m:e>
            <m:r>
              <m:t>R</m:t>
            </m:r>
          </m:e>
          <m:sub>
            <m:r>
              <m:rPr>
                <m:sty m:val="p"/>
              </m:rPr>
              <m:t>e</m:t>
            </m:r>
            <m:r>
              <m:rPr>
                <m:sty m:val="p"/>
              </m:rPr>
              <m:t>x</m:t>
            </m:r>
            <m:r>
              <m:rPr>
                <m:sty m:val="p"/>
              </m:rPr>
              <m:t>t</m:t>
            </m:r>
          </m:sub>
          <m:sup>
            <m:r>
              <m:t>2</m:t>
            </m:r>
          </m:sup>
        </m:sSubSup>
      </m:oMath>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的偏导数含有两节点温差。冷凝段对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的偏导数不包含潜热本身。因此气流段的灵敏度列含有一个冷凝段列空间里没有的分量。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两节点灵敏度分析给出：加上强对流段之后，内部热阻滞后从单蒸汽激励下的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，增量来自第二段对流切换，不是潜热变号。这一差值把外部换热热阻与内部导热热阻的共线性拆开：第一段改相变符号，第二段改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，内部节点在短窗内几乎不动。</w:t>
      </w:r>
    </w:p>
    <w:bookmarkStart w:id="88" w:name="prop:budget"/>
    <w:p>
      <w:pPr>
        <w:pStyle w:val="BodyText"/>
        <w:autoSpaceDE w:val="0"/>
        <w:autoSpaceDN w:val="0"/>
        <w:kinsoku/>
        <w:wordWrap/>
        <w:overflowPunct/>
        <w:widowControl/>
        <w:snapToGrid w:val="0"/>
        <w:spacing w:line="276" w:lineRule="auto" w:before="160" w:after="160"/>
        <w:ind w:firstLineChars="0" w:firstLine="0"/>
        <w:keepLines/>
        <w:jc w:val="center"/>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(冷点增量).</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记</w:t>
      </w:r>
      <w:r>
        <w:rPr>
          <w:iCs/>
          <w:rFonts w:ascii="Times New Roman" w:hAnsi="Times New Roman" w:eastAsia="宋体" w:cs="Times New Roman"/>
          <w:i/>
          <w:kern w:val="32"/>
          <w:sz w:val="24"/>
          <w:lang w:val="en-US" w:eastAsia="zh-CN"/>
          <w:color w:val="000000"/>
        </w:rPr>
        <w:t xml:space="preserve"> </w:t>
      </w:r>
      <m:oMath>
        <m:sSub>
          <m:e>
            <m:r>
              <m:t>τ</m:t>
            </m:r>
          </m:e>
          <m:sub>
            <m:r>
              <m:t>2</m:t>
            </m:r>
          </m:sub>
        </m:sSub>
        <m:r>
          <m:rPr>
            <m:sty m:val="p"/>
          </m:rPr>
          <m:t>=</m:t>
        </m:r>
        <m:sSub>
          <m:e>
            <m:r>
              <m:t>R</m:t>
            </m:r>
          </m:e>
          <m:sub>
            <m:r>
              <m:rPr>
                <m:sty m:val="p"/>
              </m:rPr>
              <m:t>i</m:t>
            </m:r>
            <m:r>
              <m:rPr>
                <m:sty m:val="p"/>
              </m:rPr>
              <m:t>n</m:t>
            </m:r>
            <m:r>
              <m:rPr>
                <m:sty m:val="p"/>
              </m:rPr>
              <m:t>t</m:t>
            </m:r>
          </m:sub>
        </m:sSub>
        <m:sSub>
          <m:e>
            <m:r>
              <m:t>C</m:t>
            </m:r>
          </m:e>
          <m:sub>
            <m:r>
              <m:t>2</m:t>
            </m:r>
          </m:sub>
        </m:sSub>
      </m:oMath>
      <w:r>
        <w:rPr>
          <w:iCs/>
          <w:rFonts w:ascii="Times New Roman" w:hAnsi="Times New Roman" w:eastAsia="宋体" w:cs="Times New Roman"/>
          <w:i/>
          <w:kern w:val="32"/>
          <w:sz w:val="24"/>
          <w:lang w:val="en-US" w:eastAsia="zh-CN"/>
          <w:color w:val="000000"/>
        </w:rPr>
        <w:t xml:space="preserve">。当</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t>2</m:t>
            </m:r>
          </m:sub>
        </m:sSub>
        <m:r>
          <m:rPr>
            <m:sty m:val="p"/>
          </m:rPr>
          <m:t>/</m:t>
        </m:r>
        <m:r>
          <m:t>10</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且表面温度增量不超过</w:t>
      </w:r>
      <w:r>
        <w:rPr>
          <w:iCs/>
          <w:rFonts w:ascii="Times New Roman" w:hAnsi="Times New Roman" w:eastAsia="宋体" w:cs="Times New Roman"/>
          <w:i/>
          <w:kern w:val="32"/>
          <w:sz w:val="24"/>
          <w:lang w:val="en-US" w:eastAsia="zh-CN"/>
          <w:color w:val="000000"/>
        </w:rPr>
        <w:t xml:space="preserve"> </w:t>
      </w:r>
      <m:oMath>
        <m:r>
          <m:t>Δ</m:t>
        </m:r>
        <m:sSub>
          <m:e>
            <m:r>
              <m:t>T</m:t>
            </m:r>
          </m:e>
          <m:sub>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w:t>
      </w:r>
      <w:r>
        <w:rPr>
          <w:iCs/>
          <w:rFonts w:ascii="Times New Roman" w:hAnsi="Times New Roman" w:eastAsia="宋体" w:cs="Times New Roman"/>
          <w:i/>
          <w:kern w:val="32"/>
          <w:sz w:val="24"/>
          <w:lang w:val="en-US" w:eastAsia="zh-CN"/>
          <w:color w:val="000000"/>
        </w:rPr>
        <w:t xml:space="preserve"> </w:t>
      </w:r>
      <m:oMathPara>
        <m:oMathParaPr>
          <m:jc m:val="center"/>
        </m:oMathParaPr>
        <m:oMath>
          <m:r>
            <m:rPr>
              <m:sty m:val="p"/>
            </m:rPr>
            <m:t>|</m:t>
          </m:r>
          <m:r>
            <m:t>Δ</m:t>
          </m:r>
          <m:sSub>
            <m:e>
              <m:r>
                <m:t>T</m:t>
              </m:r>
            </m:e>
            <m:sub>
              <m:r>
                <m:t>2</m:t>
              </m:r>
            </m:sub>
          </m:sSub>
          <m:r>
            <m:rPr>
              <m:sty m:val="p"/>
            </m:rPr>
            <m:t>|≤</m:t>
          </m:r>
          <m:f>
            <m:fPr>
              <m:type m:val="bar"/>
            </m:fPr>
            <m:num>
              <m:r>
                <m:t>τ</m:t>
              </m:r>
            </m:num>
            <m:den>
              <m:sSub>
                <m:e>
                  <m:r>
                    <m:t>τ</m:t>
                  </m:r>
                </m:e>
                <m:sub>
                  <m:r>
                    <m:t>2</m:t>
                  </m:r>
                </m:sub>
              </m:sSub>
            </m:den>
          </m:f>
          <m:r>
            <m:t>Δ</m:t>
          </m:r>
          <m:sSub>
            <m:e>
              <m:r>
                <m:t>T</m:t>
              </m:r>
            </m:e>
            <m:sub>
              <m:r>
                <m:t>s</m:t>
              </m:r>
            </m:sub>
          </m:sSub>
          <m:r>
            <m:rPr>
              <m:sty m:val="p"/>
            </m:rPr>
            <m:t>,</m:t>
          </m:r>
          <m:r>
            <m:t>  </m:t>
          </m:r>
          <m:r>
            <m:rPr>
              <m:sty m:val="p"/>
            </m:rPr>
            <m:t>|</m:t>
          </m:r>
          <m:r>
            <m:t>Δ</m:t>
          </m:r>
          <m:r>
            <m:t>F</m:t>
          </m:r>
          <m:r>
            <m:rPr>
              <m:sty m:val="p"/>
            </m:rPr>
            <m:t>|≤</m:t>
          </m:r>
          <m:r>
            <m:t>τ</m:t>
          </m:r>
          <m:r>
            <m:t> </m:t>
          </m:r>
          <m:sSup>
            <m:e>
              <m:r>
                <m:t>10</m:t>
              </m:r>
            </m:e>
            <m:sup>
              <m:r>
                <m:rPr>
                  <m:sty m:val="p"/>
                </m:rPr>
                <m:t>(</m:t>
              </m:r>
              <m:sSub>
                <m:e>
                  <m:r>
                    <m:t>T</m:t>
                  </m:r>
                </m:e>
                <m:sub>
                  <m:r>
                    <m:t>2</m:t>
                  </m:r>
                </m:sub>
              </m:sSub>
              <m:r>
                <m:rPr>
                  <m:sty m:val="p"/>
                </m:rPr>
                <m:t>(</m:t>
              </m:r>
              <m:r>
                <m:t>0</m:t>
              </m:r>
              <m:r>
                <m:rPr>
                  <m:sty m:val="p"/>
                </m:rPr>
                <m:t>)</m:t>
              </m:r>
              <m:r>
                <m:rPr>
                  <m:sty m:val="p"/>
                </m:rPr>
                <m:t>+</m:t>
              </m:r>
              <m:r>
                <m:t>Δ</m:t>
              </m:r>
              <m:sSub>
                <m:e>
                  <m:r>
                    <m:t>T</m:t>
                  </m:r>
                </m:e>
                <m:sub>
                  <m:r>
                    <m:t>2</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oMath>
      </m:oMathPara>
    </w:p>
    <w:bookmarkEnd w:id="88"/>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第二节点是线性滤波器</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τ</m:t>
            </m:r>
          </m:e>
          <m:sub>
            <m:r>
              <m:t>2</m:t>
            </m:r>
          </m:sub>
        </m:sSub>
      </m:oMath>
      <w:r>
        <w:rPr>
          <w:rFonts w:ascii="Times New Roman" w:hAnsi="Times New Roman" w:eastAsia="宋体" w:cs="Times New Roman"/>
          <w:kern w:val="32"/>
          <w:sz w:val="24"/>
          <w:lang w:val="en-US" w:eastAsia="zh-CN"/>
          <w:color w:val="000000"/>
        </w:rPr>
        <w:t xml:space="preserve">。在窗口</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τ</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放大到不超过</w:t>
      </w:r>
      <w:r>
        <w:rPr>
          <w:rFonts w:ascii="Times New Roman" w:hAnsi="Times New Roman" w:eastAsia="宋体" w:cs="Times New Roman"/>
          <w:kern w:val="32"/>
          <w:sz w:val="24"/>
          <w:lang w:val="en-US" w:eastAsia="zh-CN"/>
          <w:color w:val="000000"/>
        </w:rPr>
        <w:t xml:space="preserve"> </w:t>
      </w:r>
      <m:oMath>
        <m:r>
          <m:t>Δ</m:t>
        </m:r>
        <m:sSub>
          <m:e>
            <m:r>
              <m:t>T</m:t>
            </m:r>
          </m:e>
          <m:sub>
            <m:r>
              <m:t>s</m:t>
            </m:r>
          </m:sub>
        </m:sSub>
      </m:oMath>
      <w:r>
        <w:rPr>
          <w:rFonts w:ascii="Times New Roman" w:hAnsi="Times New Roman" w:eastAsia="宋体" w:cs="Times New Roman"/>
          <w:kern w:val="32"/>
          <w:sz w:val="24"/>
          <w:lang w:val="en-US" w:eastAsia="zh-CN"/>
          <w:color w:val="000000"/>
        </w:rPr>
        <w:t xml:space="preserve">，积分得所述上界。前提</w:t>
      </w:r>
      <w:r>
        <w:rPr>
          <w:rFonts w:ascii="Times New Roman" w:hAnsi="Times New Roman" w:eastAsia="宋体" w:cs="Times New Roman"/>
          <w:kern w:val="32"/>
          <w:sz w:val="24"/>
          <w:lang w:val="en-US" w:eastAsia="zh-CN"/>
          <w:color w:val="000000"/>
        </w:rPr>
        <w:t xml:space="preserve"> </w:t>
      </w:r>
      <m:oMath>
        <m:r>
          <m:t>τ</m:t>
        </m:r>
        <m:r>
          <m:rPr>
            <m:sty m:val="p"/>
          </m:rPr>
          <m:t>≤</m:t>
        </m:r>
        <m:sSub>
          <m:e>
            <m:r>
              <m:t>τ</m:t>
            </m:r>
          </m:e>
          <m:sub>
            <m:r>
              <m:t>2</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保证温差还没有被冷点的上升吃掉。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损伤预算因此写在表面褐变和表面含水上。用冷点温度否决探针，会放过表面已经越界的情况。取</w:t>
      </w:r>
      <w:r>
        <w:rPr>
          <w:rFonts w:ascii="Times New Roman" w:hAnsi="Times New Roman" w:eastAsia="宋体" w:cs="Times New Roman"/>
          <w:kern w:val="32"/>
          <w:sz w:val="24"/>
          <w:lang w:val="en-US" w:eastAsia="zh-CN"/>
          <w:color w:val="000000"/>
        </w:rPr>
        <w:t xml:space="preserve"> </w:t>
      </w:r>
      <m:oMath>
        <m:sSub>
          <m:e>
            <m:r>
              <m:t>τ</m:t>
            </m:r>
          </m:e>
          <m:sub>
            <m:r>
              <m:t>2</m:t>
            </m:r>
          </m:sub>
        </m:sSub>
        <m:r>
          <m:rPr>
            <m:sty m:val="p"/>
          </m:rPr>
          <m:t>=</m:t>
        </m:r>
        <m:r>
          <m:t>30</m:t>
        </m:r>
        <m:r>
          <m:t> </m:t>
        </m:r>
        <m:r>
          <m:rPr>
            <m:sty m:val="p"/>
          </m:rPr>
          <m:t>s</m:t>
        </m:r>
      </m:oMath>
      <w:r>
        <w:rPr>
          <w:rFonts w:ascii="Times New Roman" w:hAnsi="Times New Roman" w:eastAsia="宋体" w:cs="Times New Roman"/>
          <w:kern w:val="32"/>
          <w:sz w:val="24"/>
          <w:lang w:val="en-US" w:eastAsia="zh-CN"/>
          <w:color w:val="000000"/>
        </w:rPr>
        <w:t xml:space="preserve">、</w:t>
      </w:r>
      <m:oMath>
        <m:r>
          <m:t>τ</m:t>
        </m:r>
        <m:r>
          <m:rPr>
            <m:sty m:val="p"/>
          </m:rPr>
          <m:t>=</m:t>
        </m:r>
        <m:r>
          <m:t>3</m:t>
        </m:r>
        <m:r>
          <m:t> </m:t>
        </m:r>
        <m:r>
          <m:rPr>
            <m:sty m:val="p"/>
          </m:rPr>
          <m:t>s</m:t>
        </m:r>
      </m:oMath>
      <w:r>
        <w:rPr>
          <w:rFonts w:ascii="Times New Roman" w:hAnsi="Times New Roman" w:eastAsia="宋体" w:cs="Times New Roman"/>
          <w:kern w:val="32"/>
          <w:sz w:val="24"/>
          <w:lang w:val="en-US" w:eastAsia="zh-CN"/>
          <w:color w:val="000000"/>
        </w:rPr>
        <w:t xml:space="preserve">、</w:t>
      </w:r>
      <m:oMath>
        <m:r>
          <m:t>Δ</m:t>
        </m:r>
        <m:sSub>
          <m:e>
            <m:r>
              <m:t>T</m:t>
            </m:r>
          </m:e>
          <m:sub>
            <m:r>
              <m:t>s</m:t>
            </m:r>
          </m:sub>
        </m:sSub>
        <m:r>
          <m:rPr>
            <m:sty m:val="p"/>
          </m:rPr>
          <m:t>=</m:t>
        </m:r>
        <m:r>
          <m:t>12</m:t>
        </m:r>
        <m:r>
          <m:t> </m:t>
        </m:r>
        <m:r>
          <m:rPr>
            <m:sty m:val="p"/>
          </m:rPr>
          <m:t>K</m:t>
        </m:r>
      </m:oMath>
      <w:r>
        <w:rPr>
          <w:rFonts w:ascii="Times New Roman" w:hAnsi="Times New Roman" w:eastAsia="宋体" w:cs="Times New Roman"/>
          <w:kern w:val="32"/>
          <w:sz w:val="24"/>
          <w:lang w:val="en-US" w:eastAsia="zh-CN"/>
          <w:color w:val="000000"/>
        </w:rPr>
        <w:t xml:space="preserve">，解析上界</w:t>
      </w:r>
      <w:r>
        <w:rPr>
          <w:rFonts w:ascii="Times New Roman" w:hAnsi="Times New Roman" w:eastAsia="宋体" w:cs="Times New Roman"/>
          <w:kern w:val="32"/>
          <w:sz w:val="24"/>
          <w:lang w:val="en-US" w:eastAsia="zh-CN"/>
          <w:color w:val="000000"/>
        </w:rPr>
        <w:t xml:space="preserve"> </w:t>
      </w:r>
      <m:oMath>
        <m:r>
          <m:t>1.20</m:t>
        </m:r>
        <m:r>
          <m:t> </m:t>
        </m:r>
        <m:r>
          <m:rPr>
            <m:sty m:val="p"/>
          </m:rPr>
          <m:t>K</m:t>
        </m:r>
      </m:oMath>
      <w:r>
        <w:rPr>
          <w:rFonts w:ascii="Times New Roman" w:hAnsi="Times New Roman" w:eastAsia="宋体" w:cs="Times New Roman"/>
          <w:kern w:val="32"/>
          <w:sz w:val="24"/>
          <w:lang w:val="en-US" w:eastAsia="zh-CN"/>
          <w:color w:val="000000"/>
        </w:rPr>
        <w:t xml:space="preserve">，离散步进实现值</w:t>
      </w:r>
      <w:r>
        <w:rPr>
          <w:rFonts w:ascii="Times New Roman" w:hAnsi="Times New Roman" w:eastAsia="宋体" w:cs="Times New Roman"/>
          <w:kern w:val="32"/>
          <w:sz w:val="24"/>
          <w:lang w:val="en-US" w:eastAsia="zh-CN"/>
          <w:color w:val="000000"/>
        </w:rPr>
        <w:t xml:space="preserve"> </w:t>
      </w:r>
      <m:oMath>
        <m:r>
          <m:t>1.14</m:t>
        </m:r>
        <m:r>
          <m:t> </m:t>
        </m:r>
        <m:r>
          <m:rPr>
            <m:sty m:val="p"/>
          </m:rPr>
          <m:t>K</m:t>
        </m:r>
      </m:oMath>
      <w:r>
        <w:rPr>
          <w:rFonts w:ascii="Times New Roman" w:hAnsi="Times New Roman" w:eastAsia="宋体" w:cs="Times New Roman"/>
          <w:kern w:val="32"/>
          <w:sz w:val="24"/>
          <w:lang w:val="en-US" w:eastAsia="zh-CN"/>
          <w:color w:val="000000"/>
        </w:rPr>
        <w:t xml:space="preserve">，落在预算之内。这组常数属于命题核对。工程核探针窗为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，对应 Fourier 数</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（第3章），冷点增量远小于表面增量：短窗口把热量留在近表面。</w:t>
      </w:r>
    </w:p>
    <w:bookmarkEnd w:id="89"/>
    <w:bookmarkStart w:id="90"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使用(4.6)，没有蒸汽窗。跟踪器看见表面温度，按点估计停机。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无探针与对偶共用同一条饱和线性加热律，两者的差别只落在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窗口以及其后的热阻更新上。开环把停止时刻写成厚度的函数，腔温比例干脆把它取成时域终点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，于是四条策略在同一积分器上给出四种互不相同的停机几何：时钟、腔温、点估计，以及点估计加一段短窗。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加热请求(4.6) 里的裕量随方差与厚度一起放大。方差还停在前验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，停机门槛大约落在</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；等方差降到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也随之退到约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。厚件上同一公式会把门槛继续抬高，点估计于是更难单独宣布停机。倘若导热时间尺度在家用时域内根本走不完，停机时刻就会先被时域终点截住——这属于跟踪器一侧的几何，而不是探针拒绝工作。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，加热列始终由(4.6)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90"/>
    <w:bookmarkStart w:id="97"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蒸汽路径分解与安全屏障</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4.5</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若品质泛函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和</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依赖蒸汽质量，则全导数恰好分解为(4.8) 的三项。</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链式法则在所述依赖下把全导数写成三条互不重叠的通路。其余状态若只作为这三者的中间变量，已被吸收进偏导数。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2"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fwbv548q\media\3078a2f25f61bb798e142ed2728b32562df9eec9.png" id="0" name="Picture"/>
                    <pic:cNvPicPr>
                      <a:picLocks noChangeArrowheads="1" noChangeAspect="1"/>
                    </pic:cNvPicPr>
                  </pic:nvPicPr>
                  <pic:blipFill>
                    <a:blip r:embed="rId91"/>
                    <a:stretch>
                      <a:fillRect/>
                    </a:stretch>
                  </pic:blipFill>
                  <pic:spPr bwMode="auto">
                    <a:xfrm>
                      <a:off x="0" y="0"/>
                      <a:ext cx="3190087" cy="2362772"/>
                    </a:xfrm>
                    <a:prstGeom prst="rect">
                      <a:avLst/>
                    </a:prstGeom>
                    <a:noFill/>
                    <a:ln w="9525">
                      <a:noFill/>
                      <a:headEnd/>
                      <a:tailEnd/>
                    </a:ln>
                  </pic:spPr>
                </pic:pic>
              </a:graphicData>
            </a:graphic>
          </wp:inline>
        </w:drawing>
      </w:r>
      <w:bookmarkEnd w:id="9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4"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fwbv548q\media\7d38f61797f91ec70c894014d9acd31d6dd1e62a.png" id="0" name="Picture"/>
                    <pic:cNvPicPr>
                      <a:picLocks noChangeArrowheads="1" noChangeAspect="1"/>
                    </pic:cNvPicPr>
                  </pic:nvPicPr>
                  <pic:blipFill>
                    <a:blip r:embed="rId93"/>
                    <a:stretch>
                      <a:fillRect/>
                    </a:stretch>
                  </pic:blipFill>
                  <pic:spPr bwMode="auto">
                    <a:xfrm>
                      <a:off x="0" y="0"/>
                      <a:ext cx="5328000" cy="2078999"/>
                    </a:xfrm>
                    <a:prstGeom prst="rect">
                      <a:avLst/>
                    </a:prstGeom>
                    <a:noFill/>
                    <a:ln w="9525">
                      <a:noFill/>
                      <a:headEnd/>
                      <a:tailEnd/>
                    </a:ln>
                  </pic:spPr>
                </pic:pic>
              </a:graphicData>
            </a:graphic>
          </wp:inline>
        </w:drawing>
      </w:r>
      <w:bookmarkEnd w:id="9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6"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fwbv548q\media\68f916ae1f8ce9cdefcc9f47dfa05dd21bd8ddbf.png" id="0" name="Picture"/>
                    <pic:cNvPicPr>
                      <a:picLocks noChangeArrowheads="1" noChangeAspect="1"/>
                    </pic:cNvPicPr>
                  </pic:nvPicPr>
                  <pic:blipFill>
                    <a:blip r:embed="rId95"/>
                    <a:stretch>
                      <a:fillRect/>
                    </a:stretch>
                  </pic:blipFill>
                  <pic:spPr bwMode="auto">
                    <a:xfrm>
                      <a:off x="0" y="0"/>
                      <a:ext cx="3098418" cy="2181726"/>
                    </a:xfrm>
                    <a:prstGeom prst="rect">
                      <a:avLst/>
                    </a:prstGeom>
                    <a:noFill/>
                    <a:ln w="9525">
                      <a:noFill/>
                      <a:headEnd/>
                      <a:tailEnd/>
                    </a:ln>
                  </pic:spPr>
                </pic:pic>
              </a:graphicData>
            </a:graphic>
          </wp:inline>
        </w:drawing>
      </w:r>
      <w:bookmarkEnd w:id="9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7"/>
    <w:bookmarkStart w:id="98" w:name="模型假设与工程简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98"/>
    <w:bookmarkEnd w:id="99"/>
    <w:bookmarkStart w:id="164"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2" w:name="_Toc0032"/>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2"/>
    </w:p>
    <w:p>
      <w:pPr>
        <w:pStyle w:val="FirstParagraph"/>
        <w:autoSpaceDE w:val="0"/>
        <w:autoSpaceDN w:val="0"/>
        <w:kinsoku/>
        <w:wordWrap/>
        <w:overflowPunct/>
        <w:widowControl/>
        <w:snapToGrid w:val="0"/>
        <w:jc w:val="both"/>
        <w:spacing w:line="360" w:lineRule="auto" w:before="0" w:after="0"/>
        <w:ind w:firstLineChars="200" w:firstLine="480"/>
      </w:pPr>
      <w:bookmarkStart w:id="100" w:name="ch:result"/>
      <w:r>
        <w:rPr>
          <w:rFonts w:ascii="Times New Roman" w:hAnsi="Times New Roman" w:eastAsia="宋体" w:cs="Times New Roman"/>
          <w:kern w:val="32"/>
          <w:sz w:val="24"/>
          <w:lang w:val="en-US" w:eastAsia="zh-CN"/>
          <w:color w:val="000000"/>
        </w:rPr>
        <w:t xml:space="preserve">[ch:result]</w:t>
      </w:r>
      <w:bookmarkEnd w:id="100"/>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上一章把内部热阻的不可辨识、两段探针和安全屏障写成了命题。命题需要数值来检验：同一台积分器放到因子格子上跑开，看开环菜单在什么厚度上失效，看腔温比例闭合的究竟是空气还是冷点，也看那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探针到底有没有把内部热阻的后验收窄。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是全部策略比较的零点，对应恒温冷点上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读表有一个顺序需要遵守：先按厚度拆开，再去比较策略名称。食品名、初始含水与档位名称的效应都明显小于厚度，若把三者混在一起读，真正的主效应就会被掩掉。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本章涉及两套数值核，需要先交代清楚，否则同一名义格子上的数字会对不上。主对照核用于 S1、S0、S2 以及本章前五节：腔温节点、水箱、门互锁和结壳反馈都不进入边界，蒸汽阀在探针窗外关闭。演示版核用于档位研究（§5.9 之前的档位一节）和演示页：腔温与腔湿真正积分，表面蒸汽压差进入潜热，结壳乘回表面导热，探针窗外蒸汽回到基线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。两套核共用同一个十六条积分器，差别只在五个开关上，但同一名义格子的停机偏差可以相差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以上。判断一张表属于哪一套，看表题后半句；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逐条记录了每个日志的代际，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01"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color w:val="000000"/>
        </w:rPr>
        <w:t>5.1　战役设计与评分口径</w:t>
      </w:r>
      <w:bookmarkEnd w:id="3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01"/>
    <w:bookmarkStart w:id="119" w:name="s1-总体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5.2　S1 总体与厚度主效应</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02"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02"/>
    <w:bookmarkStart w:id="103"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0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04"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0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6" w:name="fig:phase"/>
      <w:r>
        <w:rPr>
          <w:rFonts w:ascii="Times New Roman" w:hAnsi="Times New Roman" w:eastAsia="黑体" w:cs="Times New Roman"/>
          <w:b/>
          <w:kern w:val="32"/>
          <w:sz w:val="21"/>
          <w:lang w:val="en-US" w:eastAsia="zh-CN"/>
          <w:color w:val="000000"/>
        </w:rPr>
        <w:drawing>
          <wp:inline>
            <wp:extent cx="5328000" cy="4437216"/>
            <wp:effectExtent b="0" l="0" r="0" t="0"/>
            <wp:docPr descr="四条策略在 41\times31 连续参数平面上的停机偏差，每格 48 个种子。虚线为设计线 e_{\alpha}=0。开环与腔温比例的零线是两条近乎笔直的窄带，无探针的零线在 30–35\,\mathrm{mm} 之间抖动，对偶的零线分成两支并在中间夹出一片负值区" title="" id="1" name="Picture"/>
            <a:graphic>
              <a:graphicData uri="http://schemas.openxmlformats.org/drawingml/2006/picture">
                <pic:pic>
                  <pic:nvPicPr>
                    <pic:cNvPr descr="C:\Users\13561\AppData\Local\Temp\acts-docx-fwbv548q\media\f961d863a8470dd65f7400c5f197fbcdb1afdac1.png" id="0" name="Picture"/>
                    <pic:cNvPicPr>
                      <a:picLocks noChangeArrowheads="1" noChangeAspect="1"/>
                    </pic:cNvPicPr>
                  </pic:nvPicPr>
                  <pic:blipFill>
                    <a:blip r:embed="rId105"/>
                    <a:stretch>
                      <a:fillRect/>
                    </a:stretch>
                  </pic:blipFill>
                  <pic:spPr bwMode="auto">
                    <a:xfrm>
                      <a:off x="0" y="0"/>
                      <a:ext cx="5328000" cy="4437216"/>
                    </a:xfrm>
                    <a:prstGeom prst="rect">
                      <a:avLst/>
                    </a:prstGeom>
                    <a:noFill/>
                    <a:ln w="9525">
                      <a:noFill/>
                      <a:headEnd/>
                      <a:tailEnd/>
                    </a:ln>
                  </pic:spPr>
                </pic:pic>
              </a:graphicData>
            </a:graphic>
          </wp:inline>
        </w:drawing>
      </w:r>
      <w:bookmarkEnd w:id="10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w:t>
      </w:r>
      <w:r>
        <w:rPr>
          <w:rFonts w:ascii="Times New Roman" w:hAnsi="Times New Roman" w:eastAsia="楷体" w:cs="Times New Roman"/>
          <w:b w:val="0"/>
          <w:kern w:val="32"/>
          <w:sz w:val="21"/>
          <w:lang w:val="en-US" w:eastAsia="zh-CN"/>
          <w:color w:val="000000"/>
        </w:rPr>
        <w:t xml:space="preserve"> </w:t>
      </w:r>
      <m:oMath>
        <m:r>
          <m:t>41</m:t>
        </m:r>
        <m:r>
          <m:rPr>
            <m:sty m:val="p"/>
          </m:rPr>
          <m:t>×</m:t>
        </m:r>
        <m:r>
          <m:t>31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连续参数平面上的停机偏差，每格</w:t>
      </w:r>
      <w:r>
        <w:rPr>
          <w:rFonts w:ascii="Times New Roman" w:hAnsi="Times New Roman" w:eastAsia="楷体" w:cs="Times New Roman"/>
          <w:b w:val="0"/>
          <w:kern w:val="32"/>
          <w:sz w:val="21"/>
          <w:lang w:val="en-US" w:eastAsia="zh-CN"/>
          <w:color w:val="000000"/>
        </w:rPr>
        <w:t xml:space="preserve"> </w:t>
      </w:r>
      <m:oMath>
        <m:r>
          <m:t>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。开环与腔温比例的零线是两条近乎笔直的窄带，无探针的零线在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35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之间抖动，对偶的零线分成两支并在中间夹出一片负值区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除了零线的位置，停机偏差沿厚度的分布形状也值得看。图5.2把每一档厚度的中位偏差画成一条水平脊，两条竖线分别是十分位与九十分位。无探针的脊几乎是一条竖直的窄带，从</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只移动了约</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，说明它对厚度不敏感；对偶的脊则明显右倾，在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处穿过零点，之后被扩散时间压回负区。两条脊的形状差异，比任何单点数字都更能说明两种策略在闭合什么量。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8" w:name="fig:ridge"/>
      <w:r>
        <w:rPr>
          <w:rFonts w:ascii="Times New Roman" w:hAnsi="Times New Roman" w:eastAsia="黑体" w:cs="Times New Roman"/>
          <w:b/>
          <w:kern w:val="32"/>
          <w:sz w:val="21"/>
          <w:lang w:val="en-US" w:eastAsia="zh-CN"/>
          <w:color w:val="000000"/>
        </w:rPr>
        <w:drawing>
          <wp:inline>
            <wp:extent cx="5328000" cy="2507184"/>
            <wp:effectExtent b="0" l="0" r="0" t="0"/>
            <wp:docPr descr="停机偏差沿厚度的分布。左列为无探针，右列为对偶；每条脊对应一档厚度，横线为十分位到九十分位。无探针几乎不随厚度移动，对偶在 30–45\,\mathrm{mm} 穿过零点" title="" id="1" name="Picture"/>
            <a:graphic>
              <a:graphicData uri="http://schemas.openxmlformats.org/drawingml/2006/picture">
                <pic:pic>
                  <pic:nvPicPr>
                    <pic:cNvPr descr="C:\Users\13561\AppData\Local\Temp\acts-docx-fwbv548q\media\e2ecbbbe297ccb72694200332bb66ce65702d3d5.png" id="0" name="Picture"/>
                    <pic:cNvPicPr>
                      <a:picLocks noChangeArrowheads="1" noChangeAspect="1"/>
                    </pic:cNvPicPr>
                  </pic:nvPicPr>
                  <pic:blipFill>
                    <a:blip r:embed="rId107"/>
                    <a:stretch>
                      <a:fillRect/>
                    </a:stretch>
                  </pic:blipFill>
                  <pic:spPr bwMode="auto">
                    <a:xfrm>
                      <a:off x="0" y="0"/>
                      <a:ext cx="5328000" cy="2507184"/>
                    </a:xfrm>
                    <a:prstGeom prst="rect">
                      <a:avLst/>
                    </a:prstGeom>
                    <a:noFill/>
                    <a:ln w="9525">
                      <a:noFill/>
                      <a:headEnd/>
                      <a:tailEnd/>
                    </a:ln>
                  </pic:spPr>
                </pic:pic>
              </a:graphicData>
            </a:graphic>
          </wp:inline>
        </w:drawing>
      </w:r>
      <w:bookmarkEnd w:id="10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停机偏差沿厚度的分布。左列为无探针，右列为对偶；每条脊对应一档厚度，横线为十分位到九十分位。无探针几乎不随厚度移动，对偶在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穿过零点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图5.3回答一个容易被忽略的问题：种子究竟在哪些地方才起作用。把每格</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个种子的标准差铺成面积之后可以看到，开环与腔温比例**整片为零**，这两条策略的轨迹对种子完全确定；而无探针与对偶的方差则聚在薄件、高温，以及零点附近那些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差一点就要跨过停机阈值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的格子上。这片分布本身就是结论：闭环策略的不确定性来自判据的边缘，而非来自噪声。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0" w:name="fig:sens"/>
      <w:r>
        <w:rPr>
          <w:rFonts w:ascii="Times New Roman" w:hAnsi="Times New Roman" w:eastAsia="黑体" w:cs="Times New Roman"/>
          <w:b/>
          <w:kern w:val="32"/>
          <w:sz w:val="21"/>
          <w:lang w:val="en-US" w:eastAsia="zh-CN"/>
          <w:color w:val="000000"/>
        </w:rPr>
        <w:drawing>
          <wp:inline>
            <wp:extent cx="5328000" cy="2120890"/>
            <wp:effectExtent b="0" l="0" r="0" t="0"/>
            <wp:docPr descr="格内标准差的空间分布。开环与腔温比例恒为零；无探针与对偶的方差集中在零点附近与薄件高温区，即停机判据的边缘" title="" id="1" name="Picture"/>
            <a:graphic>
              <a:graphicData uri="http://schemas.openxmlformats.org/drawingml/2006/picture">
                <pic:pic>
                  <pic:nvPicPr>
                    <pic:cNvPr descr="C:\Users\13561\AppData\Local\Temp\acts-docx-fwbv548q\media\a8b314095fa7cf43df36422c577bc6a17bc2ae4e.png" id="0" name="Picture"/>
                    <pic:cNvPicPr>
                      <a:picLocks noChangeArrowheads="1" noChangeAspect="1"/>
                    </pic:cNvPicPr>
                  </pic:nvPicPr>
                  <pic:blipFill>
                    <a:blip r:embed="rId109"/>
                    <a:stretch>
                      <a:fillRect/>
                    </a:stretch>
                  </pic:blipFill>
                  <pic:spPr bwMode="auto">
                    <a:xfrm>
                      <a:off x="0" y="0"/>
                      <a:ext cx="5328000" cy="2120890"/>
                    </a:xfrm>
                    <a:prstGeom prst="rect">
                      <a:avLst/>
                    </a:prstGeom>
                    <a:noFill/>
                    <a:ln w="9525">
                      <a:noFill/>
                      <a:headEnd/>
                      <a:tailEnd/>
                    </a:ln>
                  </pic:spPr>
                </pic:pic>
              </a:graphicData>
            </a:graphic>
          </wp:inline>
        </w:drawing>
      </w:r>
      <w:bookmarkEnd w:id="11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格内标准差的空间分布。开环与腔温比例恒为零；无探针与对偶的方差集中在零点附近与薄件高温区，即停机判据的边缘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图5.4把这种边缘性摊开：同一格子的</w:t>
      </w:r>
      <w:r>
        <w:rPr>
          <w:rFonts w:ascii="Times New Roman" w:hAnsi="Times New Roman" w:eastAsia="宋体" w:cs="Times New Roman"/>
          <w:kern w:val="32"/>
          <w:sz w:val="24"/>
          <w:lang w:val="en-US" w:eastAsia="zh-CN"/>
          <w:color w:val="000000"/>
        </w:rPr>
        <w:t xml:space="preserve"> </w:t>
      </w:r>
      <m:oMath>
        <m:r>
          <m:t>120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个种子并没有给出一条光滑分布，而是给出**两个模态**，中间空无一物。原因是停机判定在</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网格上进行阈值穿越，种子只决定轨迹是恰好落在这一格还是下一格，一次跳格就是约</w:t>
      </w:r>
      <w:r>
        <w:rPr>
          <w:rFonts w:ascii="Times New Roman" w:hAnsi="Times New Roman" w:eastAsia="宋体" w:cs="Times New Roman"/>
          <w:kern w:val="32"/>
          <w:sz w:val="24"/>
          <w:lang w:val="en-US" w:eastAsia="zh-CN"/>
          <w:color w:val="000000"/>
        </w:rPr>
        <w:t xml:space="preserve"> </w:t>
      </w:r>
      <m:oMath>
        <m:r>
          <m:t>0.09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的偏差。以单峰核密度去拟合这样的样本会凭空造出不存在的光滑性，所以这里如实画出两个峰。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2" w:name="fig:bimodal"/>
      <w:r>
        <w:rPr>
          <w:rFonts w:ascii="Times New Roman" w:hAnsi="Times New Roman" w:eastAsia="黑体" w:cs="Times New Roman"/>
          <w:b/>
          <w:kern w:val="32"/>
          <w:sz w:val="21"/>
          <w:lang w:val="en-US" w:eastAsia="zh-CN"/>
          <w:color w:val="000000"/>
        </w:rPr>
        <w:drawing>
          <wp:inline>
            <wp:extent cx="5328000" cy="2043799"/>
            <wp:effectExtent b="0" l="0" r="0" t="0"/>
            <wp:docPr descr="同一格 120 个种子给出两个模态。左边一列是对偶 15\,\mathrm{mm} 两层夹心，右边一列是无探针 15\,\mathrm{mm} 均匀场；两峰之间没有样本，因为停机判定在 2\,\mathrm{s} 网格上整格跳" title="" id="1" name="Picture"/>
            <a:graphic>
              <a:graphicData uri="http://schemas.openxmlformats.org/drawingml/2006/picture">
                <pic:pic>
                  <pic:nvPicPr>
                    <pic:cNvPr descr="C:\Users\13561\AppData\Local\Temp\acts-docx-fwbv548q\media\3821b18a991549f9d5df0997ee26915c3c52a996.png" id="0" name="Picture"/>
                    <pic:cNvPicPr>
                      <a:picLocks noChangeArrowheads="1" noChangeAspect="1"/>
                    </pic:cNvPicPr>
                  </pic:nvPicPr>
                  <pic:blipFill>
                    <a:blip r:embed="rId111"/>
                    <a:stretch>
                      <a:fillRect/>
                    </a:stretch>
                  </pic:blipFill>
                  <pic:spPr bwMode="auto">
                    <a:xfrm>
                      <a:off x="0" y="0"/>
                      <a:ext cx="5328000" cy="2043799"/>
                    </a:xfrm>
                    <a:prstGeom prst="rect">
                      <a:avLst/>
                    </a:prstGeom>
                    <a:noFill/>
                    <a:ln w="9525">
                      <a:noFill/>
                      <a:headEnd/>
                      <a:tailEnd/>
                    </a:ln>
                  </pic:spPr>
                </pic:pic>
              </a:graphicData>
            </a:graphic>
          </wp:inline>
        </w:drawing>
      </w:r>
      <w:bookmarkEnd w:id="11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同一格</w:t>
      </w:r>
      <w:r>
        <w:rPr>
          <w:rFonts w:ascii="Times New Roman" w:hAnsi="Times New Roman" w:eastAsia="楷体" w:cs="Times New Roman"/>
          <w:b w:val="0"/>
          <w:kern w:val="32"/>
          <w:sz w:val="21"/>
          <w:lang w:val="en-US" w:eastAsia="zh-CN"/>
          <w:color w:val="000000"/>
        </w:rPr>
        <w:t xml:space="preserve"> </w:t>
      </w:r>
      <m:oMath>
        <m:r>
          <m:t>120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个种子给出两个模态。左边一列是对偶</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两层夹心，右边一列是无探针</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均匀场；两峰之间没有样本，因为停机判定在</w:t>
      </w:r>
      <w:r>
        <w:rPr>
          <w:rFonts w:ascii="Times New Roman" w:hAnsi="Times New Roman" w:eastAsia="楷体" w:cs="Times New Roman"/>
          <w:b w:val="0"/>
          <w:kern w:val="32"/>
          <w:sz w:val="21"/>
          <w:lang w:val="en-US" w:eastAsia="zh-CN"/>
          <w:color w:val="000000"/>
        </w:rPr>
        <w:t xml:space="preserve"> </w:t>
      </w:r>
      <m:oMath>
        <m:r>
          <m:t>2</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网格上整格跳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，远小于策略之间的差别，所以那条窗口不是抽样噪声。图5.5把四条曲线与设计线的交点单独画出来，交点位置沿厚度轴依次右移，对偶在最右侧，这是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87795" cy="2637780"/>
            <wp:effectExtent b="0" l="0" r="0" t="0"/>
            <wp:docPr descr="image" title="" id="1" name="Picture"/>
            <a:graphic>
              <a:graphicData uri="http://schemas.openxmlformats.org/drawingml/2006/picture">
                <pic:pic>
                  <pic:nvPicPr>
                    <pic:cNvPr descr="C:\Users\13561\AppData\Local\Temp\acts-docx-fwbv548q\media\daf0e6a3780ebe4cdf74c42d2d5867864410cd76.png" id="0" name="Picture"/>
                    <pic:cNvPicPr>
                      <a:picLocks noChangeArrowheads="1" noChangeAspect="1"/>
                    </pic:cNvPicPr>
                  </pic:nvPicPr>
                  <pic:blipFill>
                    <a:blip r:embed="rId113"/>
                    <a:stretch>
                      <a:fillRect/>
                    </a:stretch>
                  </pic:blipFill>
                  <pic:spPr bwMode="auto">
                    <a:xfrm>
                      <a:off x="0" y="0"/>
                      <a:ext cx="3187795" cy="263778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fwbv548q\media\af7cc95f00e3eb7139774b89c6a37bcbdd248b91.png" id="0" name="Picture"/>
                    <pic:cNvPicPr>
                      <a:picLocks noChangeArrowheads="1" noChangeAspect="1"/>
                    </pic:cNvPicPr>
                  </pic:nvPicPr>
                  <pic:blipFill>
                    <a:blip r:embed="rId114"/>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条。对偶的曲线全程在最右侧，无探针次之，开环与腔温比例分别在左侧与上沿形成台阶。图5.6按厚度给出未达设计线的比例：无探针总体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个停机时刻。以这样的样本做核密度估计，得到的形状主要由插值核的带宽决定，而非数据本身。本章的分布结果因此建立在图5.1与图5.5的连续参数平面上：每个点由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fwbv548q\media\b316264836708013815c1c81f48f0b9a899adc6d.png" id="0" name="Picture"/>
                    <pic:cNvPicPr>
                      <a:picLocks noChangeArrowheads="1" noChangeAspect="1"/>
                    </pic:cNvPicPr>
                  </pic:nvPicPr>
                  <pic:blipFill>
                    <a:blip r:embed="rId115"/>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90087" cy="2548403"/>
            <wp:effectExtent b="0" l="0" r="0" t="0"/>
            <wp:docPr descr="image" title="" id="1" name="Picture"/>
            <a:graphic>
              <a:graphicData uri="http://schemas.openxmlformats.org/drawingml/2006/picture">
                <pic:pic>
                  <pic:nvPicPr>
                    <pic:cNvPr descr="C:\Users\13561\AppData\Local\Temp\acts-docx-fwbv548q\media\9e58fd86a6630c1423bf237bf1c0e71aa0566275.png" id="0" name="Picture"/>
                    <pic:cNvPicPr>
                      <a:picLocks noChangeArrowheads="1" noChangeAspect="1"/>
                    </pic:cNvPicPr>
                  </pic:nvPicPr>
                  <pic:blipFill>
                    <a:blip r:embed="rId116"/>
                    <a:stretch>
                      <a:fillRect/>
                    </a:stretch>
                  </pic:blipFill>
                  <pic:spPr bwMode="auto">
                    <a:xfrm>
                      <a:off x="0" y="0"/>
                      <a:ext cx="3190087" cy="254840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之后探针窗的表面温差不够，更新的接受条件不成立。两个分母不同，比例两个分母不同，比例不能互借。厚件上的负偏差在方差下降之后仍然在：探针回答的是热阻看见了没有，这块食品在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5.7：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5.7：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fwbv548q\media\53aa4701b91a338eac36570e39911bc0af1e9926.png" id="0" name="Picture"/>
                    <pic:cNvPicPr>
                      <a:picLocks noChangeArrowheads="1" noChangeAspect="1"/>
                    </pic:cNvPicPr>
                  </pic:nvPicPr>
                  <pic:blipFill>
                    <a:blip r:embed="rId117"/>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fwbv548q\media\7aaea77d87b82bf35899147443e14437dae50af3.png" id="0" name="Picture"/>
                    <pic:cNvPicPr>
                      <a:picLocks noChangeArrowheads="1" noChangeAspect="1"/>
                    </pic:cNvPicPr>
                  </pic:nvPicPr>
                  <pic:blipFill>
                    <a:blip r:embed="rId118"/>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w:t>
      </w:r>
    </w:p>
    <w:bookmarkEnd w:id="119"/>
    <w:bookmarkStart w:id="122" w:name="档位允许集合与能量偏差联合"/>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5.3　档位允许集合与能量–偏差联合</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1" w:name="fig:cross"/>
      <w:r>
        <w:rPr>
          <w:rFonts w:ascii="Times New Roman" w:hAnsi="Times New Roman" w:eastAsia="黑体" w:cs="Times New Roman"/>
          <w:b/>
          <w:kern w:val="32"/>
          <w:sz w:val="21"/>
          <w:lang w:val="en-US" w:eastAsia="zh-CN"/>
          <w:color w:val="000000"/>
        </w:rPr>
        <w:drawing>
          <wp:inline>
            <wp:extent cx="3190087" cy="254840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fwbv548q\media\61f3c9cdf7cfc745c20549e4494bdc15ff58d0e6.png" id="0" name="Picture"/>
                    <pic:cNvPicPr>
                      <a:picLocks noChangeArrowheads="1" noChangeAspect="1"/>
                    </pic:cNvPicPr>
                  </pic:nvPicPr>
                  <pic:blipFill>
                    <a:blip r:embed="rId120"/>
                    <a:stretch>
                      <a:fillRect/>
                    </a:stretch>
                  </pic:blipFill>
                  <pic:spPr bwMode="auto">
                    <a:xfrm>
                      <a:off x="0" y="0"/>
                      <a:ext cx="3190087" cy="2548403"/>
                    </a:xfrm>
                    <a:prstGeom prst="rect">
                      <a:avLst/>
                    </a:prstGeom>
                    <a:noFill/>
                    <a:ln w="9525">
                      <a:noFill/>
                      <a:headEnd/>
                      <a:tailEnd/>
                    </a:ln>
                  </pic:spPr>
                </pic:pic>
              </a:graphicData>
            </a:graphic>
          </wp:inline>
        </w:drawing>
      </w:r>
      <w:bookmarkEnd w:id="1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22"/>
    <w:bookmarkStart w:id="130" w:name="种子-7-典型轨迹"/>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5.4　种子 7 典型轨迹</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4"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fwbv548q\media\fc75b2fcb95ede38b5795c90aeaa37482e39ed2a.png" id="0" name="Picture"/>
                    <pic:cNvPicPr>
                      <a:picLocks noChangeArrowheads="1" noChangeAspect="1"/>
                    </pic:cNvPicPr>
                  </pic:nvPicPr>
                  <pic:blipFill>
                    <a:blip r:embed="rId123"/>
                    <a:stretch>
                      <a:fillRect/>
                    </a:stretch>
                  </pic:blipFill>
                  <pic:spPr bwMode="auto">
                    <a:xfrm>
                      <a:off x="0" y="0"/>
                      <a:ext cx="5328000" cy="2043799"/>
                    </a:xfrm>
                    <a:prstGeom prst="rect">
                      <a:avLst/>
                    </a:prstGeom>
                    <a:noFill/>
                    <a:ln w="9525">
                      <a:noFill/>
                      <a:headEnd/>
                      <a:tailEnd/>
                    </a:ln>
                  </pic:spPr>
                </pic:pic>
              </a:graphicData>
            </a:graphic>
          </wp:inline>
        </w:drawing>
      </w:r>
      <w:bookmarkEnd w:id="12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5"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fwbv548q\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1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图5.11固定对偶、组合档，打开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7"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fwbv548q\media\928af1c76faa30dc6e8b2a5de9f0eb836ef55835.png" id="0" name="Picture"/>
                    <pic:cNvPicPr>
                      <a:picLocks noChangeArrowheads="1" noChangeAspect="1"/>
                    </pic:cNvPicPr>
                  </pic:nvPicPr>
                  <pic:blipFill>
                    <a:blip r:embed="rId126"/>
                    <a:stretch>
                      <a:fillRect/>
                    </a:stretch>
                  </pic:blipFill>
                  <pic:spPr bwMode="auto">
                    <a:xfrm>
                      <a:off x="0" y="0"/>
                      <a:ext cx="3190087" cy="2456733"/>
                    </a:xfrm>
                    <a:prstGeom prst="rect">
                      <a:avLst/>
                    </a:prstGeom>
                    <a:noFill/>
                    <a:ln w="9525">
                      <a:noFill/>
                      <a:headEnd/>
                      <a:tailEnd/>
                    </a:ln>
                  </pic:spPr>
                </pic:pic>
              </a:graphicData>
            </a:graphic>
          </wp:inline>
        </w:drawing>
      </w:r>
      <w:bookmarkEnd w:id="12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图5.12固定对偶、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9"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fwbv548q\media\b1fd4cebe3bce77140de98b86e5f2aeccb6ec977.png" id="0" name="Picture"/>
                    <pic:cNvPicPr>
                      <a:picLocks noChangeArrowheads="1" noChangeAspect="1"/>
                    </pic:cNvPicPr>
                  </pic:nvPicPr>
                  <pic:blipFill>
                    <a:blip r:embed="rId128"/>
                    <a:stretch>
                      <a:fillRect/>
                    </a:stretch>
                  </pic:blipFill>
                  <pic:spPr bwMode="auto">
                    <a:xfrm>
                      <a:off x="0" y="0"/>
                      <a:ext cx="5328000" cy="1967466"/>
                    </a:xfrm>
                    <a:prstGeom prst="rect">
                      <a:avLst/>
                    </a:prstGeom>
                    <a:noFill/>
                    <a:ln w="9525">
                      <a:noFill/>
                      <a:headEnd/>
                      <a:tailEnd/>
                    </a:ln>
                  </pic:spPr>
                </pic:pic>
              </a:graphicData>
            </a:graphic>
          </wp:inline>
        </w:drawing>
      </w:r>
      <w:bookmarkEnd w:id="12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，结壳门槛</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内未触及。含水轨迹见图5.10右：全程从 0.72 缓慢降到约 0.65，离 0.45 的结壳门槛还远，因此褐变通道几乎不动作。</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30"/>
    <w:bookmarkStart w:id="136"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5.5　网格收敛与冷点定义</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31"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3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图5.13把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3"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fwbv548q\media\2c685fbec12d5f34af3458d77798cd9c2b828ece.png" id="0" name="Picture"/>
                    <pic:cNvPicPr>
                      <a:picLocks noChangeArrowheads="1" noChangeAspect="1"/>
                    </pic:cNvPicPr>
                  </pic:nvPicPr>
                  <pic:blipFill>
                    <a:blip r:embed="rId132"/>
                    <a:stretch>
                      <a:fillRect/>
                    </a:stretch>
                  </pic:blipFill>
                  <pic:spPr bwMode="auto">
                    <a:xfrm>
                      <a:off x="0" y="0"/>
                      <a:ext cx="5328000" cy="2120131"/>
                    </a:xfrm>
                    <a:prstGeom prst="rect">
                      <a:avLst/>
                    </a:prstGeom>
                    <a:noFill/>
                    <a:ln w="9525">
                      <a:noFill/>
                      <a:headEnd/>
                      <a:tailEnd/>
                    </a:ln>
                  </pic:spPr>
                </pic:pic>
              </a:graphicData>
            </a:graphic>
          </wp:inline>
        </w:drawing>
      </w:r>
      <w:bookmarkEnd w:id="13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表5.5是种子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、组合档、对偶的五档网格，取演示版核。停机偏差从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。热阻结束方差一律是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：探针是否接受新热阻，与沿厚度分成几格无关。</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，十六格已经落在这一缓坡上；收敛曲线见图5.13右。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34"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34"/>
    <w:bookmarkStart w:id="135"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35"/>
    <w:bookmarkEnd w:id="136"/>
    <w:bookmarkStart w:id="146"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5.6　因子消融</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的初始含水达不到这条门槛。该因子在饱和区间内处于灵敏度死区。图5.15把这条轴单独画出来：连续参数扫描下，含水从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。图5.14把三个因子的边际画在同一张图上：厚度轴的跨度最大，非均质次之，含水轴退化成一条水平线。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8"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fwbv548q\media\8d93ef4c57595f09ee3cc4e1a10f883f6f7c8939.png" id="0" name="Picture"/>
                    <pic:cNvPicPr>
                      <a:picLocks noChangeArrowheads="1" noChangeAspect="1"/>
                    </pic:cNvPicPr>
                  </pic:nvPicPr>
                  <pic:blipFill>
                    <a:blip r:embed="rId137"/>
                    <a:stretch>
                      <a:fillRect/>
                    </a:stretch>
                  </pic:blipFill>
                  <pic:spPr bwMode="auto">
                    <a:xfrm>
                      <a:off x="0" y="0"/>
                      <a:ext cx="3098418" cy="2456733"/>
                    </a:xfrm>
                    <a:prstGeom prst="rect">
                      <a:avLst/>
                    </a:prstGeom>
                    <a:noFill/>
                    <a:ln w="9525">
                      <a:noFill/>
                      <a:headEnd/>
                      <a:tailEnd/>
                    </a:ln>
                  </pic:spPr>
                </pic:pic>
              </a:graphicData>
            </a:graphic>
          </wp:inline>
        </w:drawing>
      </w:r>
      <w:bookmarkEnd w:id="1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0"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fwbv548q\media\fcf54396e786e57999d2f412ad0ff120213bdaee.png" id="0" name="Picture"/>
                    <pic:cNvPicPr>
                      <a:picLocks noChangeArrowheads="1" noChangeAspect="1"/>
                    </pic:cNvPicPr>
                  </pic:nvPicPr>
                  <pic:blipFill>
                    <a:blip r:embed="rId139"/>
                    <a:stretch>
                      <a:fillRect/>
                    </a:stretch>
                  </pic:blipFill>
                  <pic:spPr bwMode="auto">
                    <a:xfrm>
                      <a:off x="0" y="0"/>
                      <a:ext cx="3098418" cy="2456733"/>
                    </a:xfrm>
                    <a:prstGeom prst="rect">
                      <a:avLst/>
                    </a:prstGeom>
                    <a:noFill/>
                    <a:ln w="9525">
                      <a:noFill/>
                      <a:headEnd/>
                      <a:tailEnd/>
                    </a:ln>
                  </pic:spPr>
                </pic:pic>
              </a:graphicData>
            </a:graphic>
          </wp:inline>
        </w:drawing>
      </w:r>
      <w:bookmarkEnd w:id="14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。一簇贴上沿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2"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fwbv548q\media\693fa1ed1658dd1c1359ec8d967b315ceff9a20a.png" id="0" name="Picture"/>
                    <pic:cNvPicPr>
                      <a:picLocks noChangeArrowheads="1" noChangeAspect="1"/>
                    </pic:cNvPicPr>
                  </pic:nvPicPr>
                  <pic:blipFill>
                    <a:blip r:embed="rId141"/>
                    <a:stretch>
                      <a:fillRect/>
                    </a:stretch>
                  </pic:blipFill>
                  <pic:spPr bwMode="auto">
                    <a:xfrm>
                      <a:off x="0" y="0"/>
                      <a:ext cx="3098418" cy="2273395"/>
                    </a:xfrm>
                    <a:prstGeom prst="rect">
                      <a:avLst/>
                    </a:prstGeom>
                    <a:noFill/>
                    <a:ln w="9525">
                      <a:noFill/>
                      <a:headEnd/>
                      <a:tailEnd/>
                    </a:ln>
                  </pic:spPr>
                </pic:pic>
              </a:graphicData>
            </a:graphic>
          </wp:inline>
        </w:drawing>
      </w:r>
      <w:bookmarkEnd w:id="14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43"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4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，腔温回落把表面通量打断几十秒。图5.17把各因子按组画在一起：探针组的对偶与无探针分开约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5"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fwbv548q\media\7cdd137ce24a5612faef8b84fa3ed208589a13e9.png" id="0" name="Picture"/>
                    <pic:cNvPicPr>
                      <a:picLocks noChangeArrowheads="1" noChangeAspect="1"/>
                    </pic:cNvPicPr>
                  </pic:nvPicPr>
                  <pic:blipFill>
                    <a:blip r:embed="rId144"/>
                    <a:stretch>
                      <a:fillRect/>
                    </a:stretch>
                  </pic:blipFill>
                  <pic:spPr bwMode="auto">
                    <a:xfrm>
                      <a:off x="0" y="0"/>
                      <a:ext cx="3281756" cy="2456733"/>
                    </a:xfrm>
                    <a:prstGeom prst="rect">
                      <a:avLst/>
                    </a:prstGeom>
                    <a:noFill/>
                    <a:ln w="9525">
                      <a:noFill/>
                      <a:headEnd/>
                      <a:tailEnd/>
                    </a:ln>
                  </pic:spPr>
                </pic:pic>
              </a:graphicData>
            </a:graphic>
          </wp:inline>
        </w:drawing>
      </w:r>
      <w:bookmarkEnd w:id="1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46"/>
    <w:bookmarkStart w:id="150"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5.7　估计器对比：标量跟踪器与两状态滤波</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表5.8给出三条厚度上的对比，图5.18把同一组数字画成随厚度变化的三条折线，真值一列由单指数滞后在场上直接拟合得到：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47"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4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9"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fwbv548q\media\591057d436cdf0daab559be26e6e20ef943fbb3d.png" id="0" name="Picture"/>
                    <pic:cNvPicPr>
                      <a:picLocks noChangeArrowheads="1" noChangeAspect="1"/>
                    </pic:cNvPicPr>
                  </pic:nvPicPr>
                  <pic:blipFill>
                    <a:blip r:embed="rId148"/>
                    <a:stretch>
                      <a:fillRect/>
                    </a:stretch>
                  </pic:blipFill>
                  <pic:spPr bwMode="auto">
                    <a:xfrm>
                      <a:off x="0" y="0"/>
                      <a:ext cx="5328000" cy="3135908"/>
                    </a:xfrm>
                    <a:prstGeom prst="rect">
                      <a:avLst/>
                    </a:prstGeom>
                    <a:noFill/>
                    <a:ln w="9525">
                      <a:noFill/>
                      <a:headEnd/>
                      <a:tailEnd/>
                    </a:ln>
                  </pic:spPr>
                </pic:pic>
              </a:graphicData>
            </a:graphic>
          </wp:inline>
        </w:drawing>
      </w:r>
      <w:bookmarkEnd w:id="14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50"/>
    <w:bookmarkStart w:id="152"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5.8　第五条策略：滚动时域 MPC</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，每步重解一次。它和其余策略共用同一个观察器与停机判据，两条策略的差别因此只落在决策规则上。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51"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5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52"/>
    <w:bookmarkStart w:id="162"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5.9　宽格子、集合散布与 50 mm 时域</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图5.19用同一批连续扫描数据给出两个策略的设计线对比，左侧开环的零线是一条陡直窄带，贴在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4"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fwbv548q\media\45b2ff4e5ed1ed669134b6b817f1f537eab74322.png" id="0" name="Picture"/>
                    <pic:cNvPicPr>
                      <a:picLocks noChangeArrowheads="1" noChangeAspect="1"/>
                    </pic:cNvPicPr>
                  </pic:nvPicPr>
                  <pic:blipFill>
                    <a:blip r:embed="rId153"/>
                    <a:stretch>
                      <a:fillRect/>
                    </a:stretch>
                  </pic:blipFill>
                  <pic:spPr bwMode="auto">
                    <a:xfrm>
                      <a:off x="0" y="0"/>
                      <a:ext cx="5328000" cy="2197251"/>
                    </a:xfrm>
                    <a:prstGeom prst="rect">
                      <a:avLst/>
                    </a:prstGeom>
                    <a:noFill/>
                    <a:ln w="9525">
                      <a:noFill/>
                      <a:headEnd/>
                      <a:tailEnd/>
                    </a:ln>
                  </pic:spPr>
                </pic:pic>
              </a:graphicData>
            </a:graphic>
          </wp:inline>
        </w:drawing>
      </w:r>
      <w:bookmarkEnd w:id="15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5.16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图5.20把种子散布与参数效应放在同一坐标上：参数平面上的分位带横跨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6"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fwbv548q\media\377babed388a813c2d8e6497d4bdbabb6f34d62d.png" id="0" name="Picture"/>
                    <pic:cNvPicPr>
                      <a:picLocks noChangeArrowheads="1" noChangeAspect="1"/>
                    </pic:cNvPicPr>
                  </pic:nvPicPr>
                  <pic:blipFill>
                    <a:blip r:embed="rId155"/>
                    <a:stretch>
                      <a:fillRect/>
                    </a:stretch>
                  </pic:blipFill>
                  <pic:spPr bwMode="auto">
                    <a:xfrm>
                      <a:off x="0" y="0"/>
                      <a:ext cx="3006748" cy="2273395"/>
                    </a:xfrm>
                    <a:prstGeom prst="rect">
                      <a:avLst/>
                    </a:prstGeom>
                    <a:noFill/>
                    <a:ln w="9525">
                      <a:noFill/>
                      <a:headEnd/>
                      <a:tailEnd/>
                    </a:ln>
                  </pic:spPr>
                </pic:pic>
              </a:graphicData>
            </a:graphic>
          </wp:inline>
        </w:drawing>
      </w:r>
      <w:bookmarkEnd w:id="15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5.17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，中位与极差都不动。图5.21给出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57"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57"/>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9"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fwbv548q\media\e91b130d7f39b51922d6d8c0278c08e9a53d7b2c.png" id="0" name="Picture"/>
                    <pic:cNvPicPr>
                      <a:picLocks noChangeArrowheads="1" noChangeAspect="1"/>
                    </pic:cNvPicPr>
                  </pic:nvPicPr>
                  <pic:blipFill>
                    <a:blip r:embed="rId158"/>
                    <a:stretch>
                      <a:fillRect/>
                    </a:stretch>
                  </pic:blipFill>
                  <pic:spPr bwMode="auto">
                    <a:xfrm>
                      <a:off x="0" y="0"/>
                      <a:ext cx="3006748" cy="2273395"/>
                    </a:xfrm>
                    <a:prstGeom prst="rect">
                      <a:avLst/>
                    </a:prstGeom>
                    <a:noFill/>
                    <a:ln w="9525">
                      <a:noFill/>
                      <a:headEnd/>
                      <a:tailEnd/>
                    </a:ln>
                  </pic:spPr>
                </pic:pic>
              </a:graphicData>
            </a:graphic>
          </wp:inline>
        </w:drawing>
      </w:r>
      <w:bookmarkEnd w:id="1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5.18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。图5.22给出两条时域的进度曲线：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2772"/>
            <wp:effectExtent b="0" l="0" r="0" t="0"/>
            <wp:docPr descr="image" title="" id="1" name="Picture"/>
            <a:graphic>
              <a:graphicData uri="http://schemas.openxmlformats.org/drawingml/2006/picture">
                <pic:pic>
                  <pic:nvPicPr>
                    <pic:cNvPr descr="C:\Users\13561\AppData\Local\Temp\acts-docx-fwbv548q\media\24bcc6b8431bec31cf938c4e3802427f6c2c06a1.png" id="0" name="Picture"/>
                    <pic:cNvPicPr>
                      <a:picLocks noChangeArrowheads="1" noChangeAspect="1"/>
                    </pic:cNvPicPr>
                  </pic:nvPicPr>
                  <pic:blipFill>
                    <a:blip r:embed="rId160"/>
                    <a:stretch>
                      <a:fillRect/>
                    </a:stretch>
                  </pic:blipFill>
                  <pic:spPr bwMode="auto">
                    <a:xfrm>
                      <a:off x="0" y="0"/>
                      <a:ext cx="3098418" cy="23627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fwbv548q\media\3a63e5d682d14d4a67a9ac04a451112a0d91881c.png" id="0" name="Picture"/>
                    <pic:cNvPicPr>
                      <a:picLocks noChangeArrowheads="1" noChangeAspect="1"/>
                    </pic:cNvPicPr>
                  </pic:nvPicPr>
                  <pic:blipFill>
                    <a:blip r:embed="rId161"/>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62"/>
    <w:bookmarkStart w:id="163" w:name="表面蒸汽压差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5.10　表面蒸汽压差符号随厚度翻转</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对全部为负，见图5.22，腔温还低时，食品侧饱和压高于腔侧，差值为负，表面被吸热，厚件来不及用后面的冷凝把这口热补回来。蒸汽压公式的符号随厚度翻转；Antoine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读表时先按厚度拆开，再比较策略。总体中位把分布压成一个数，厚度把这个数拆开。对偶相对无探针把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63"/>
    <w:bookmarkEnd w:id="164"/>
    <w:bookmarkStart w:id="178"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3" w:name="_Toc0043"/>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3"/>
    </w:p>
    <w:p>
      <w:pPr>
        <w:pStyle w:val="FirstParagraph"/>
        <w:autoSpaceDE w:val="0"/>
        <w:autoSpaceDN w:val="0"/>
        <w:kinsoku/>
        <w:wordWrap/>
        <w:overflowPunct/>
        <w:widowControl/>
        <w:snapToGrid w:val="0"/>
        <w:jc w:val="both"/>
        <w:spacing w:line="360" w:lineRule="auto" w:before="0" w:after="0"/>
        <w:ind w:firstLineChars="200" w:firstLine="480"/>
      </w:pPr>
      <w:bookmarkStart w:id="165" w:name="ch:demo"/>
      <w:r>
        <w:rPr>
          <w:rFonts w:ascii="Times New Roman" w:hAnsi="Times New Roman" w:eastAsia="宋体" w:cs="Times New Roman"/>
          <w:kern w:val="32"/>
          <w:sz w:val="24"/>
          <w:lang w:val="en-US" w:eastAsia="zh-CN"/>
          <w:color w:val="000000"/>
        </w:rPr>
        <w:t xml:space="preserve">[ch:demo]</w:t>
      </w:r>
      <w:bookmarkEnd w:id="165"/>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图6.1是剖面视图，也是全章最好的一张总览：腔体按家用蒸烤箱的可见零件建模。六个 U 形加热管对应加热指令，左侧喷嘴与蒸汽粒子对应蒸汽阀，后壁的十叶风机对应风机档位，右上七片百叶对应排汽开度。水位显示在水箱液面，门的开合跟着铰链走。图6.2给出开门后的整机外观。食品沿厚度分成十六块几乎贴合的薄片，每一片的颜色是表面温度与冷点温度的插值。底部曲线给出表面温度、冷点温度、估计值和进度四条线，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。页面读取的是已经写出的数组，不在浏览器里重跑十六条控制体，所以拖动时间轴看到的就是核里那一次积分的真实轨迹。公开地址为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73" w:name="腔体可视化与交互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color w:val="000000"/>
        </w:rPr>
        <w:t>6.1　腔体可视化与交互对照</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7。catalog 预写</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条：四种策略乘三种档位再乘三种厚度，共</w:t>
      </w:r>
      <w:r>
        <w:rPr>
          <w:rFonts w:ascii="Times New Roman" w:hAnsi="Times New Roman" w:eastAsia="宋体" w:cs="Times New Roman"/>
          <w:kern w:val="32"/>
          <w:sz w:val="24"/>
          <w:lang w:val="en-US" w:eastAsia="zh-CN"/>
          <w:color w:val="000000"/>
        </w:rPr>
        <w:t xml:space="preserve"> </w:t>
      </w:r>
      <m:oMath>
        <m:r>
          <m:t>14904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帧。页面把四种策略与三种档位都做成下拉项，因此每条都在页面里可达；正文只引用其中的组合档对偶三条。这些数组由演示版工程核写出，开关与主表不同，差别在5章的口径说明里给出。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页面分成三栏，顶栏之下另有一条仪表带。仪表带并给出本帧时刻、冷点、进度、停机时刻、相对设计线的偏差和热阻方差。进度越过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时读数改成绿色，低于设计线时改成红色。左栏选择蒸、烤、组合与四种策略。中栏是腔体。右栏给出本帧的含水、进度、热阻与方差、腔温腔湿、水位，以及四个执行器的条形指示。路径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fwbv548q\media\340623cc3da80101bad9c8b5a33d4698e11c9633.png" id="0" name="Picture"/>
                    <pic:cNvPicPr>
                      <a:picLocks noChangeArrowheads="1" noChangeAspect="1"/>
                    </pic:cNvPicPr>
                  </pic:nvPicPr>
                  <pic:blipFill>
                    <a:blip r:embed="rId166"/>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剖面视图：门隐藏后可见加热管、喷嘴、后壁风机、烤架与十六块薄片。这是腔体内部几何的总览</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fwbv548q\media\d14e2372f1437b0d5c20d01704144418c5620c0d.png" id="0" name="Picture"/>
                    <pic:cNvPicPr>
                      <a:picLocks noChangeArrowheads="1" noChangeAspect="1"/>
                    </pic:cNvPicPr>
                  </pic:nvPicPr>
                  <pic:blipFill>
                    <a:blip r:embed="rId167"/>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起始帧。色带接近初温，蒸汽为基线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fwbv548q\media\a5b8b2aefed56e0c2a58cbc73366c09049f6250c.png" id="0" name="Picture"/>
                    <pic:cNvPicPr>
                      <a:picLocks noChangeArrowheads="1" noChangeAspect="1"/>
                    </pic:cNvPicPr>
                  </pic:nvPicPr>
                  <pic:blipFill>
                    <a:blip r:embed="rId168"/>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探针窗前半段。蒸汽从喷嘴喷出，在窗内转为金色</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fwbv548q\media\b7533ad82b6ab913aa8c3b0896973a84122c5a34.png" id="0" name="Picture"/>
                    <pic:cNvPicPr>
                      <a:picLocks noChangeArrowheads="1" noChangeAspect="1"/>
                    </pic:cNvPicPr>
                  </pic:nvPicPr>
                  <pic:blipFill>
                    <a:blip r:embed="rId16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对照开环。虚线为菜单切断后的冷点与进度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图6.2给出开门全貌、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fwbv548q\media\4bcabc767826860f2a300e94af8bbdb14a1930a0.png" id="0" name="Picture"/>
                    <pic:cNvPicPr>
                      <a:picLocks noChangeArrowheads="1" noChangeAspect="1"/>
                    </pic:cNvPicPr>
                  </pic:nvPicPr>
                  <pic:blipFill>
                    <a:blip r:embed="rId170"/>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门打开时的腔体</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fwbv548q\media\af347902d4ec987eb0a661b18f62426bbb2c1425.png" id="0" name="Picture"/>
                    <pic:cNvPicPr>
                      <a:picLocks noChangeArrowheads="1" noChangeAspect="1"/>
                    </pic:cNvPicPr>
                  </pic:nvPicPr>
                  <pic:blipFill>
                    <a:blip r:embed="rId171"/>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停机附近。</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fwbv548q\media\640587f5e7ed97c4402b2af6b0bf97fb8f7fff8c.png" id="0" name="Picture"/>
                    <pic:cNvPicPr>
                      <a:picLocks noChangeArrowheads="1" noChangeAspect="1"/>
                    </pic:cNvPicPr>
                  </pic:nvPicPr>
                  <pic:blipFill>
                    <a:blip r:embed="rId172"/>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左栏另有两盏灯，跟随当前帧变化。热阻灯读这一帧的方差，低于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便标成已见，否则仍是先验；进度灯读这一帧的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标成已到，否则算未到。起始帧两盏都是暗红。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对偶组合在停机帧两盏同绿，而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的时域终点是一绿一红——方差已经落到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，进度却还停在</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73"/>
    <w:bookmarkStart w:id="176"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6.2　主要结论</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执行量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。同一套四个执行量，薄件被菜单推过设计线，厚件停在设计线之下。厚度把整条带平移。策略名称、档位名称、食品名称，都排在厚度后面。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探针接受判据用的参照是一个滞后倍数，不是膜热阻与内热阻之比。在场上直接拟合单指数滞后，真值是</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，与种子无关。旧实现的参照上限定在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的时间参照贴着上限，接受判据实际在和常数比较。把上限放到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）：缺陷是真的，结论对它稳健。</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两状态 EKF 把后验方差从两个取值变成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个，并把热阻偏差从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。薄件偏差仍大，因为它升温快、可辨识的上升段短。估计器改善的是后验，不是停机：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在四条策略的口径上没有变好。</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滚动时域 MPC 在三种厚度上都最省能量（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上因共用有偏的冷点估计而提前停机，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。更好的决策规则接在有偏输入后面，只会更快地做错事。这一条把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瓶颈在信息不在优化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从判断变成可测。</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的格子占全场的</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，且这个比例与网格无关（</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格）。本文因此只评冷点温度，不评冷点位置；一维与二维冷点温度只差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5" w:name="fig:conc_ecdf"/>
      <w:r>
        <w:rPr>
          <w:rFonts w:ascii="Times New Roman" w:hAnsi="Times New Roman" w:eastAsia="黑体" w:cs="Times New Roman"/>
          <w:b/>
          <w:kern w:val="32"/>
          <w:sz w:val="21"/>
          <w:lang w:val="en-US" w:eastAsia="zh-CN"/>
          <w:color w:val="000000"/>
        </w:rPr>
        <w:drawing>
          <wp:inline>
            <wp:extent cx="3098418" cy="2362772"/>
            <wp:effectExtent b="0" l="0" r="0" t="0"/>
            <wp:docPr descr="S1 停机偏差经验分布。对偶右移之后九成仍在零下" title="" id="1" name="Picture"/>
            <a:graphic>
              <a:graphicData uri="http://schemas.openxmlformats.org/drawingml/2006/picture">
                <pic:pic>
                  <pic:nvPicPr>
                    <pic:cNvPr descr="C:\Users\13561\AppData\Local\Temp\acts-docx-fwbv548q\media\4034729cfb58e91a67fb015edcd53af15e32ea12.png" id="0" name="Picture"/>
                    <pic:cNvPicPr>
                      <a:picLocks noChangeArrowheads="1" noChangeAspect="1"/>
                    </pic:cNvPicPr>
                  </pic:nvPicPr>
                  <pic:blipFill>
                    <a:blip r:embed="rId174"/>
                    <a:stretch>
                      <a:fillRect/>
                    </a:stretch>
                  </pic:blipFill>
                  <pic:spPr bwMode="auto">
                    <a:xfrm>
                      <a:off x="0" y="0"/>
                      <a:ext cx="3098418" cy="2362772"/>
                    </a:xfrm>
                    <a:prstGeom prst="rect">
                      <a:avLst/>
                    </a:prstGeom>
                    <a:noFill/>
                    <a:ln w="9525">
                      <a:noFill/>
                      <a:headEnd/>
                      <a:tailEnd/>
                    </a:ln>
                  </pic:spPr>
                </pic:pic>
              </a:graphicData>
            </a:graphic>
          </wp:inline>
        </w:drawing>
      </w:r>
      <w:bookmarkEnd w:id="17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这是结构决定而非风格选择。水位、门开关、剩余电流和加热器温度属于硬测量，其中任何一条越过阈值，加热与蒸汽就同时写成零；而进度估计、热阻后验和冷点跟踪则留在品质回路里，不参与断电判断。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的功能，一旦把这两侧混写进同一条加热请求，超温切断就会跟着后验一起抖动。已经运行的核因此把品质请求与安全指令分成两列，而 IEC 60335-1 与 GB 4706.1 要求的正是这些硬测量点存在[19,20]。正文给出的是测量隔离的结构。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76"/>
    <w:bookmarkStart w:id="177"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6.3　局限与后续工作</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这一版日志用的估计器是标量跟踪器，而非集合滤波。第一个记录点之所以出现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，是因为先验热阻取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时存在滞后上限；到</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，估计值</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已经明显高于冷点的</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。对偶窗是一张</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的时间表，无探针与对偶共用饱和线性加热律，所以两条策略的差别几乎全部来自那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开环按厚度给菜单，薄件过熟、厚件不足。腔温比例闭合空气温度，不停机。无探针经常在真值进度未到设计线时停止。对偶在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仍受扩散时间限制。菜单名称只出现在允许集合里。一体机真正要回答的，是内部热阻有没有被这一次过程看见。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77"/>
    <w:bookmarkEnd w:id="178"/>
    <w:bookmarkStart w:id="179"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7" w:name="_Toc0047"/>
      <w:r>
        <w:rPr>
          <w:rFonts w:ascii="Times New Roman" w:hAnsi="Times New Roman" w:eastAsia="黑体" w:cs="Times New Roman"/>
          <w:b/>
          <w:kern w:val="32"/>
          <w:sz w:val="32"/>
          <w:lang w:val="en-US" w:eastAsia="zh-CN"/>
          <w:color w:val="000000"/>
        </w:rPr>
        <w:t xml:space="preserve">参考文献</w:t>
      </w:r>
      <w:bookmarkEnd w:id="47"/>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79"/>
    <w:bookmarkStart w:id="184"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8" w:name="_Toc0048"/>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80"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9" w:name="_Toc0049"/>
      <w:r>
        <w:rPr>
          <w:rFonts w:ascii="Times New Roman" w:hAnsi="Times New Roman" w:eastAsia="黑体" w:cs="Times New Roman"/>
          <w:b/>
          <w:kern w:val="32"/>
          <w:sz w:val="28"/>
          <w:lang w:val="en-US" w:eastAsia="zh-CN"/>
          <w:color w:val="000000"/>
        </w:rPr>
        <w:t>A.1　规格层场量</w:t>
      </w:r>
      <w:bookmarkEnd w:id="49"/>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80"/>
    <w:bookmarkStart w:id="181"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A.2　估计、探针与执行量</w:t>
      </w:r>
      <w:bookmarkEnd w:id="50"/>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81"/>
    <w:bookmarkStart w:id="182"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A.3　数值核中实际出现的量</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82"/>
    <w:bookmarkStart w:id="183"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A.4　日志字段</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83"/>
    <w:bookmarkEnd w:id="184"/>
    <w:bookmarkStart w:id="193"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3" w:name="_Toc0053"/>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85"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B.1　十六条控制体</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85"/>
    <w:bookmarkStart w:id="186"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B.2　活度</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86"/>
    <w:bookmarkStart w:id="187"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B.3　开环、腔温、无探针与对偶的执行量</w:t>
      </w:r>
      <w:bookmarkEnd w:id="56"/>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87"/>
    <w:bookmarkStart w:id="188"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B.4　加热器温度与界面通量</w:t>
      </w:r>
      <w:bookmarkEnd w:id="5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88"/>
    <w:bookmarkStart w:id="189"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B.5　参数标定与量级依据</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llYl</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常数 &amp; 数值 &amp; 依据 &amp; 参与结论</w:t>
      </w:r>
      <w:r>
        <w:rPr>
          <w:rFonts w:ascii="Times New Roman" w:hAnsi="Times New Roman" w:eastAsia="宋体" w:cs="Times New Roman"/>
          <w:kern w:val="32"/>
          <w:sz w:val="24"/>
          <w:lang w:val="en-US" w:eastAsia="zh-CN"/>
          <w:color w:val="000000"/>
        </w:rPr>
        <w:br/>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瘦肉组织导热率的量级，</w:t>
      </w:r>
      <m:oMath>
        <m:r>
          <m:t>α</m:t>
        </m:r>
        <m:r>
          <m:rPr>
            <m:sty m:val="p"/>
          </m:rPr>
          <m:t>=</m:t>
        </m:r>
        <m:r>
          <m:t>k</m:t>
        </m:r>
        <m:r>
          <m:rPr>
            <m:sty m:val="p"/>
          </m:rPr>
          <m:t>/(</m:t>
        </m:r>
        <m:r>
          <m:t>ρ</m:t>
        </m:r>
        <m:r>
          <m:t>c</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是（Fourier 数）</w:t>
      </w:r>
      <w:r>
        <w:rPr>
          <w:rFonts w:ascii="Times New Roman" w:hAnsi="Times New Roman" w:eastAsia="宋体" w:cs="Times New Roman"/>
          <w:kern w:val="32"/>
          <w:sz w:val="24"/>
          <w:lang w:val="en-US" w:eastAsia="zh-CN"/>
          <w:color w:val="000000"/>
        </w:rPr>
        <w:br/>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含水食品体积热容的常用区间 &amp; 是</w:t>
      </w:r>
      <w:r>
        <w:rPr>
          <w:rFonts w:ascii="Times New Roman" w:hAnsi="Times New Roman" w:eastAsia="宋体" w:cs="Times New Roman"/>
          <w:kern w:val="32"/>
          <w:sz w:val="24"/>
          <w:lang w:val="en-US" w:eastAsia="zh-CN"/>
          <w:color w:val="000000"/>
        </w:rPr>
        <w:br/>
      </w:r>
      <m:oMath>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0.68</m:t>
        </m:r>
        <m:r>
          <m:t> </m:t>
        </m:r>
        <m:r>
          <m:rPr>
            <m:sty m:val="p"/>
          </m:rPr>
          <m:t>W/(m⋅K)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由</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反算，非独立标定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脂肪夹层</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0.45</m:t>
        </m:r>
        <m:r>
          <m:t> </m:t>
        </m:r>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脂肪导热低于肌肉的定性事实，倍数按工程取值 &amp; 是（非均质三档）</w:t>
      </w:r>
      <w:r>
        <w:rPr>
          <w:rFonts w:ascii="Times New Roman" w:hAnsi="Times New Roman" w:eastAsia="宋体" w:cs="Times New Roman"/>
          <w:kern w:val="32"/>
          <w:sz w:val="24"/>
          <w:lang w:val="en-US" w:eastAsia="zh-CN"/>
          <w:color w:val="000000"/>
        </w:rPr>
        <w:br/>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家用风机档位下的对流系数范围</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w:t>
      </w:r>
      <m:oMath>
        <m:r>
          <m:t>84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是（Biot 数）</w:t>
      </w:r>
      <w:r>
        <w:rPr>
          <w:rFonts w:ascii="Times New Roman" w:hAnsi="Times New Roman" w:eastAsia="宋体" w:cs="Times New Roman"/>
          <w:kern w:val="32"/>
          <w:sz w:val="24"/>
          <w:lang w:val="en-US" w:eastAsia="zh-CN"/>
          <w:color w:val="000000"/>
        </w:rPr>
        <w:br/>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90</m:t>
        </m:r>
        <m:r>
          <m:rPr>
            <m:sty m:val="p"/>
          </m:rPr>
          <m:t>+</m:t>
        </m:r>
        <m:r>
          <m:t>95</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管壁温度与腔温的量级，非实测腔温 &amp; 是（边界通量）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潜热 18000/9000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冷凝与蒸发通量的工程尺度，使界面通量与对流项同量级 &amp; 是（路径 A/B）</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辐射附加 7000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管壁辐射的等效份额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加热器时间常数 0.015/0.008 &amp;</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满功率平衡点落在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 &amp; 是（安全投影）</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削减阈值 230/幅值 0.75 &amp;</w:t>
      </w:r>
      <w:r>
        <w:rPr>
          <w:rFonts w:ascii="Times New Roman" w:hAnsi="Times New Roman" w:eastAsia="宋体" w:cs="Times New Roman"/>
          <w:kern w:val="32"/>
          <w:sz w:val="24"/>
          <w:lang w:val="en-US" w:eastAsia="zh-CN"/>
          <w:color w:val="000000"/>
        </w:rPr>
        <w:t xml:space="preserve"> </w:t>
      </w:r>
      <m:oMath>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/无量纲 &amp; 家电通用温升裕量下取定 &amp; 是（安全层）</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活度参数 scale/k &amp;</w:t>
      </w:r>
      <w:r>
        <w:rPr>
          <w:rFonts w:ascii="Times New Roman" w:hAnsi="Times New Roman" w:eastAsia="宋体" w:cs="Times New Roman"/>
          <w:kern w:val="32"/>
          <w:sz w:val="24"/>
          <w:lang w:val="en-US" w:eastAsia="zh-CN"/>
          <w:color w:val="000000"/>
        </w:rPr>
        <w:t xml:space="preserve"> </w:t>
      </w:r>
      <m:oMath>
        <m:r>
          <m:t>0.055</m:t>
        </m:r>
      </m:oMath>
      <w:r>
        <w:rPr>
          <w:rFonts w:ascii="Times New Roman" w:hAnsi="Times New Roman" w:eastAsia="宋体" w:cs="Times New Roman"/>
          <w:kern w:val="32"/>
          <w:sz w:val="24"/>
          <w:lang w:val="en-US" w:eastAsia="zh-CN"/>
          <w:color w:val="000000"/>
        </w:rPr>
        <w:t xml:space="preserve">–</w:t>
      </w:r>
      <m:oMath>
        <m:r>
          <m:t>0.10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0.70</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依公开 GAB 清洁子集的量级取形状，非反演 &amp; 是（界面通量幅度）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sSub>
          <m:e>
            <m:r>
              <m:t>T</m:t>
            </m:r>
          </m:e>
          <m:sub>
            <m:r>
              <m:rPr>
                <m:sty m:val="p"/>
              </m:rPr>
              <m:t>r</m:t>
            </m:r>
            <m:r>
              <m:rPr>
                <m:sty m:val="p"/>
              </m:rPr>
              <m:t>e</m:t>
            </m:r>
            <m:r>
              <m:rPr>
                <m:sty m:val="p"/>
              </m:rPr>
              <m:t>f</m:t>
            </m:r>
          </m:sub>
        </m:sSub>
      </m:oMath>
      <w:r>
        <w:rPr>
          <w:rFonts w:ascii="Times New Roman" w:hAnsi="Times New Roman" w:eastAsia="宋体" w:cs="Times New Roman"/>
          <w:kern w:val="32"/>
          <w:sz w:val="24"/>
          <w:lang w:val="en-US" w:eastAsia="zh-CN"/>
          <w:color w:val="000000"/>
        </w:rPr>
        <w:t xml:space="preserve">/</w:t>
      </w:r>
      <m:oMath>
        <m:r>
          <m:t>z</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10</m:t>
        </m:r>
        <m:r>
          <m:t> </m:t>
        </m:r>
        <m:r>
          <m:rPr>
            <m:sty m:val="p"/>
          </m:rPr>
          <m:t>K</m:t>
        </m:r>
      </m:oMath>
      <w:r>
        <w:rPr>
          <w:rFonts w:ascii="Times New Roman" w:hAnsi="Times New Roman" w:eastAsia="宋体" w:cs="Times New Roman"/>
          <w:kern w:val="32"/>
          <w:sz w:val="24"/>
          <w:lang w:val="en-US" w:eastAsia="zh-CN"/>
          <w:color w:val="000000"/>
        </w:rPr>
        <w:t xml:space="preserve">/</w:t>
      </w:r>
      <m:oMath>
        <m:r>
          <m:t>2</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热力杀菌文献的常用档；设计线据此得</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是（停机判据）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跟踪器 280 s &amp;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使</w:t>
      </w:r>
      <w:r>
        <w:rPr>
          <w:rFonts w:ascii="Times New Roman" w:hAnsi="Times New Roman" w:eastAsia="宋体" w:cs="Times New Roman"/>
          <w:kern w:val="32"/>
          <w:sz w:val="24"/>
          <w:lang w:val="en-US" w:eastAsia="zh-CN"/>
          <w:color w:val="000000"/>
        </w:rPr>
        <w:t xml:space="preserve"> </w:t>
      </w:r>
      <m:oMath>
        <m:r>
          <m:t>r</m:t>
        </m:r>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落在观察到的滞后量级 &amp; 是（停机门槛）</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探针窗</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短于内部滞后、长于表面瞬态 &amp; 是（对偶策略）</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方差乘子 0.35 &amp; 无量纲 &amp; 工程取值，使结束方差落在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是（方差报告）</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噪声 0.4 K / 0.004 &amp;</w:t>
      </w:r>
      <w:r>
        <w:rPr>
          <w:rFonts w:ascii="Times New Roman" w:hAnsi="Times New Roman" w:eastAsia="宋体" w:cs="Times New Roman"/>
          <w:kern w:val="32"/>
          <w:sz w:val="24"/>
          <w:lang w:val="en-US" w:eastAsia="zh-CN"/>
          <w:color w:val="000000"/>
        </w:rPr>
        <w:t xml:space="preserve"> </w:t>
      </w:r>
      <m:oMath>
        <m:r>
          <m:rPr>
            <m:sty m:val="p"/>
          </m:rPr>
          <m:t>K</m:t>
        </m:r>
      </m:oMath>
      <w:r>
        <w:rPr>
          <w:rFonts w:ascii="Times New Roman" w:hAnsi="Times New Roman" w:eastAsia="宋体" w:cs="Times New Roman"/>
          <w:kern w:val="32"/>
          <w:sz w:val="24"/>
          <w:lang w:val="en-US" w:eastAsia="zh-CN"/>
          <w:color w:val="000000"/>
        </w:rPr>
        <w:t xml:space="preserve">/无量纲 &amp; 家用 NTC 与称重通道的量级 &amp; 是（种子散布）</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189"/>
    <w:bookmarkStart w:id="190"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B.6　进度</w:t>
      </w:r>
      <w:bookmarkEnd w:id="5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190"/>
    <w:bookmarkStart w:id="191"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B.7　噪声与能量</w:t>
      </w:r>
      <w:bookmarkEnd w:id="60"/>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191"/>
    <w:bookmarkStart w:id="192"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B.8　离散核的适用范围</w:t>
      </w:r>
      <w:bookmarkEnd w:id="61"/>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192"/>
    <w:bookmarkEnd w:id="193"/>
    <w:bookmarkStart w:id="196"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2" w:name="_Toc0062"/>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194"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C.1　探针窗前后的状态</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194"/>
    <w:bookmarkStart w:id="195"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C.2　同一格式重放的内部场</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195"/>
    <w:bookmarkEnd w:id="196"/>
    <w:bookmarkStart w:id="203"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5" w:name="_Toc0065"/>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197"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D.1　Fourier 数</w:t>
      </w:r>
      <w:bookmarkEnd w:id="66"/>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197"/>
    <w:bookmarkStart w:id="198"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D.2　Biot 数</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198"/>
    <w:bookmarkStart w:id="199"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D.3　加热器平衡点</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199"/>
    <w:bookmarkStart w:id="200"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D.4　进度设计线与 F 值</w:t>
      </w:r>
      <w:bookmarkEnd w:id="69"/>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200"/>
    <w:bookmarkStart w:id="201"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D.5　Kossovich 数</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201"/>
    <w:bookmarkStart w:id="202"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D.6　尺度估计的适用范围</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202"/>
    <w:bookmarkEnd w:id="203"/>
    <w:bookmarkStart w:id="207"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2" w:name="_Toc0072"/>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204"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E.1　公开等温线的拟合记录</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204"/>
    <w:bookmarkStart w:id="205"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E.2　交叉表的读法</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205"/>
    <w:bookmarkStart w:id="206"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E.3　能量、方差与褐变的伴随量</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206"/>
    <w:bookmarkEnd w:id="207"/>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24" Type="http://schemas.openxmlformats.org/officeDocument/2006/relationships/image" Target="media/rId24.png"/><Relationship Id="rId56" Type="http://schemas.openxmlformats.org/officeDocument/2006/relationships/image" Target="media/rId56.png"/><Relationship Id="rId160" Type="http://schemas.openxmlformats.org/officeDocument/2006/relationships/image" Target="media/rId160.png"/><Relationship Id="rId132" Type="http://schemas.openxmlformats.org/officeDocument/2006/relationships/image" Target="media/rId132.png"/><Relationship Id="rId80" Type="http://schemas.openxmlformats.org/officeDocument/2006/relationships/image" Target="media/rId80.png"/><Relationship Id="rId91" Type="http://schemas.openxmlformats.org/officeDocument/2006/relationships/image" Target="media/rId91.png"/><Relationship Id="rId166" Type="http://schemas.openxmlformats.org/officeDocument/2006/relationships/image" Target="media/rId166.png"/><Relationship Id="rId155" Type="http://schemas.openxmlformats.org/officeDocument/2006/relationships/image" Target="media/rId155.png"/><Relationship Id="rId111" Type="http://schemas.openxmlformats.org/officeDocument/2006/relationships/image" Target="media/rId111.png"/><Relationship Id="rId161" Type="http://schemas.openxmlformats.org/officeDocument/2006/relationships/image" Target="media/rId161.png"/><Relationship Id="rId174" Type="http://schemas.openxmlformats.org/officeDocument/2006/relationships/image" Target="media/rId174.png"/><Relationship Id="rId153" Type="http://schemas.openxmlformats.org/officeDocument/2006/relationships/image" Target="media/rId153.png"/><Relationship Id="rId170" Type="http://schemas.openxmlformats.org/officeDocument/2006/relationships/image" Target="media/rId170.png"/><Relationship Id="rId117" Type="http://schemas.openxmlformats.org/officeDocument/2006/relationships/image" Target="media/rId117.png"/><Relationship Id="rId85" Type="http://schemas.openxmlformats.org/officeDocument/2006/relationships/image" Target="media/rId85.png"/><Relationship Id="rId148" Type="http://schemas.openxmlformats.org/officeDocument/2006/relationships/image" Target="media/rId148.png"/><Relationship Id="rId72" Type="http://schemas.openxmlformats.org/officeDocument/2006/relationships/image" Target="media/rId72.png"/><Relationship Id="rId120" Type="http://schemas.openxmlformats.org/officeDocument/2006/relationships/image" Target="media/rId120.png"/><Relationship Id="rId172" Type="http://schemas.openxmlformats.org/officeDocument/2006/relationships/image" Target="media/rId172.png"/><Relationship Id="rId67" Type="http://schemas.openxmlformats.org/officeDocument/2006/relationships/image" Target="media/rId67.png"/><Relationship Id="rId95" Type="http://schemas.openxmlformats.org/officeDocument/2006/relationships/image" Target="media/rId95.png"/><Relationship Id="rId141" Type="http://schemas.openxmlformats.org/officeDocument/2006/relationships/image" Target="media/rId141.png"/><Relationship Id="rId27" Type="http://schemas.openxmlformats.org/officeDocument/2006/relationships/image" Target="media/rId27.png"/><Relationship Id="rId38" Type="http://schemas.openxmlformats.org/officeDocument/2006/relationships/image" Target="media/rId38.png"/><Relationship Id="rId118" Type="http://schemas.openxmlformats.org/officeDocument/2006/relationships/image" Target="media/rId118.png"/><Relationship Id="rId144" Type="http://schemas.openxmlformats.org/officeDocument/2006/relationships/image" Target="media/rId144.png"/><Relationship Id="rId93" Type="http://schemas.openxmlformats.org/officeDocument/2006/relationships/image" Target="media/rId93.png"/><Relationship Id="rId60" Type="http://schemas.openxmlformats.org/officeDocument/2006/relationships/image" Target="media/rId60.png"/><Relationship Id="rId137" Type="http://schemas.openxmlformats.org/officeDocument/2006/relationships/image" Target="media/rId137.png"/><Relationship Id="rId83" Type="http://schemas.openxmlformats.org/officeDocument/2006/relationships/image" Target="media/rId83.png"/><Relationship Id="rId126" Type="http://schemas.openxmlformats.org/officeDocument/2006/relationships/image" Target="media/rId126.png"/><Relationship Id="rId116" Type="http://schemas.openxmlformats.org/officeDocument/2006/relationships/image" Target="media/rId116.png"/><Relationship Id="rId168" Type="http://schemas.openxmlformats.org/officeDocument/2006/relationships/image" Target="media/rId168.png"/><Relationship Id="rId109" Type="http://schemas.openxmlformats.org/officeDocument/2006/relationships/image" Target="media/rId109.png"/><Relationship Id="rId171" Type="http://schemas.openxmlformats.org/officeDocument/2006/relationships/image" Target="media/rId171.png"/><Relationship Id="rId114" Type="http://schemas.openxmlformats.org/officeDocument/2006/relationships/image" Target="media/rId114.png"/><Relationship Id="rId128" Type="http://schemas.openxmlformats.org/officeDocument/2006/relationships/image" Target="media/rId128.png"/><Relationship Id="rId115" Type="http://schemas.openxmlformats.org/officeDocument/2006/relationships/image" Target="media/rId115.png"/><Relationship Id="rId169" Type="http://schemas.openxmlformats.org/officeDocument/2006/relationships/image" Target="media/rId169.png"/><Relationship Id="rId167" Type="http://schemas.openxmlformats.org/officeDocument/2006/relationships/image" Target="media/rId167.png"/><Relationship Id="rId70" Type="http://schemas.openxmlformats.org/officeDocument/2006/relationships/image" Target="media/rId70.png"/><Relationship Id="rId58" Type="http://schemas.openxmlformats.org/officeDocument/2006/relationships/image" Target="media/rId58.png"/><Relationship Id="rId113" Type="http://schemas.openxmlformats.org/officeDocument/2006/relationships/image" Target="media/rId113.png"/><Relationship Id="rId107" Type="http://schemas.openxmlformats.org/officeDocument/2006/relationships/image" Target="media/rId107.png"/><Relationship Id="rId158" Type="http://schemas.openxmlformats.org/officeDocument/2006/relationships/image" Target="media/rId158.png"/><Relationship Id="rId29" Type="http://schemas.openxmlformats.org/officeDocument/2006/relationships/image" Target="media/rId29.png"/><Relationship Id="rId105" Type="http://schemas.openxmlformats.org/officeDocument/2006/relationships/image" Target="media/rId105.png"/><Relationship Id="rId123" Type="http://schemas.openxmlformats.org/officeDocument/2006/relationships/image" Target="media/rId123.png"/><Relationship Id="rId139" Type="http://schemas.openxmlformats.org/officeDocument/2006/relationships/image" Target="media/rId139.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2026-10-19T06:57:38Z</dcterms:created>
  <dcterms:modified xsi:type="dcterms:W3CDTF">2026-10-19T06:57:38Z</dcterms:modified>
</cp:coreProperties>
</file>

<file path=docProps/custom.xml><?xml version="1.0" encoding="utf-8"?>
<Properties xmlns="http://schemas.openxmlformats.org/officeDocument/2006/custom-properties" xmlns:vt="http://schemas.openxmlformats.org/officeDocument/2006/docPropsVTypes"/>
</file>