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1663A">
      <w:pPr>
        <w:jc w:val="center"/>
      </w:pPr>
      <w:r>
        <w:rPr>
          <w:b/>
          <w:sz w:val="32"/>
        </w:rPr>
        <w:t>二期原型 · 待产品确认问题</w:t>
      </w:r>
      <w:r>
        <w:rPr>
          <w:b/>
          <w:sz w:val="32"/>
        </w:rPr>
        <w:br w:type="textWrapping"/>
      </w:r>
      <w:r>
        <w:rPr>
          <w:b/>
          <w:sz w:val="32"/>
        </w:rPr>
        <w:t>产品回复函</w:t>
      </w:r>
    </w:p>
    <w:p w14:paraId="28CB8143">
      <w:pPr>
        <w:jc w:val="center"/>
      </w:pPr>
      <w:r>
        <w:rPr>
          <w:color w:val="666666"/>
          <w:sz w:val="18"/>
        </w:rPr>
        <w:t>回复日期：2026-05-12　|　对应文档：07_二期原型待产品确认问题.docx</w:t>
      </w:r>
    </w:p>
    <w:p w14:paraId="699835D5"/>
    <w:p w14:paraId="00757AC4">
      <w:pPr>
        <w:spacing w:after="160"/>
      </w:pPr>
      <w:r>
        <w:rPr>
          <w:sz w:val="21"/>
        </w:rPr>
        <w:t>下表为对开发同事所提 18 个问题的统一产品结论，便于排期与实现口径对齐。若与后续书面 PRD 冲突，以最新版 PRD 及评审纪要为准；标「需技术/财务会签」项请相关方补充一页纸确认。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45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4E0FD5A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2880" w:type="dxa"/>
            <w:shd w:val="clear" w:color="auto" w:fill="4472C4"/>
          </w:tcPr>
          <w:p w14:paraId="40574C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问题编号</w:t>
            </w:r>
          </w:p>
        </w:tc>
        <w:tc>
          <w:tcPr>
            <w:tcW w:w="2880" w:type="dxa"/>
            <w:shd w:val="clear" w:color="auto" w:fill="4472C4"/>
          </w:tcPr>
          <w:p w14:paraId="6CCB85D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产品结论概要</w:t>
            </w:r>
          </w:p>
        </w:tc>
      </w:tr>
      <w:tr w14:paraId="310D0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502E3B">
            <w:pPr>
              <w:spacing w:after="0" w:line="240" w:lineRule="auto"/>
            </w:pPr>
            <w:r>
              <w:rPr>
                <w:sz w:val="20"/>
              </w:rPr>
              <w:t>阻塞（7）</w:t>
            </w:r>
          </w:p>
        </w:tc>
        <w:tc>
          <w:tcPr>
            <w:tcW w:w="2880" w:type="dxa"/>
          </w:tcPr>
          <w:p w14:paraId="096C8B2A">
            <w:pPr>
              <w:spacing w:after="0" w:line="240" w:lineRule="auto"/>
            </w:pPr>
            <w:r>
              <w:rPr>
                <w:sz w:val="20"/>
              </w:rPr>
              <w:t>P1 P2 P3 P6 P7 P15 P16</w:t>
            </w:r>
          </w:p>
        </w:tc>
        <w:tc>
          <w:tcPr>
            <w:tcW w:w="2880" w:type="dxa"/>
          </w:tcPr>
          <w:p w14:paraId="10E99221">
            <w:pPr>
              <w:spacing w:after="0" w:line="240" w:lineRule="auto"/>
            </w:pPr>
            <w:r>
              <w:rPr>
                <w:sz w:val="20"/>
              </w:rPr>
              <w:t>均已给默认口径；P16 需与 DBA/数仓会签字段映射</w:t>
            </w:r>
          </w:p>
        </w:tc>
      </w:tr>
      <w:tr w14:paraId="0F6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8FF839">
            <w:pPr>
              <w:spacing w:after="0" w:line="240" w:lineRule="auto"/>
            </w:pPr>
            <w:r>
              <w:rPr>
                <w:sz w:val="20"/>
              </w:rPr>
              <w:t>逻辑矛盾（4）</w:t>
            </w:r>
          </w:p>
        </w:tc>
        <w:tc>
          <w:tcPr>
            <w:tcW w:w="2880" w:type="dxa"/>
          </w:tcPr>
          <w:p w14:paraId="40C768DE">
            <w:pPr>
              <w:spacing w:after="0" w:line="240" w:lineRule="auto"/>
            </w:pPr>
            <w:r>
              <w:rPr>
                <w:sz w:val="20"/>
              </w:rPr>
              <w:t>P3 P8 P11 P17</w:t>
            </w:r>
          </w:p>
        </w:tc>
        <w:tc>
          <w:tcPr>
            <w:tcW w:w="2880" w:type="dxa"/>
          </w:tcPr>
          <w:p w14:paraId="6764424C">
            <w:pPr>
              <w:spacing w:after="0" w:line="240" w:lineRule="auto"/>
            </w:pPr>
            <w:r>
              <w:rPr>
                <w:sz w:val="20"/>
              </w:rPr>
              <w:t>以「字典链路 + MVP 简化」裁定；P11 按无团队池数据</w:t>
            </w:r>
          </w:p>
        </w:tc>
      </w:tr>
      <w:tr w14:paraId="7E4C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35D5B">
            <w:pPr>
              <w:spacing w:after="0" w:line="240" w:lineRule="auto"/>
            </w:pPr>
            <w:r>
              <w:rPr>
                <w:sz w:val="20"/>
              </w:rPr>
              <w:t>缺失定义（4）</w:t>
            </w:r>
          </w:p>
        </w:tc>
        <w:tc>
          <w:tcPr>
            <w:tcW w:w="2880" w:type="dxa"/>
          </w:tcPr>
          <w:p w14:paraId="2AB5C19D">
            <w:pPr>
              <w:spacing w:after="0" w:line="240" w:lineRule="auto"/>
            </w:pPr>
            <w:r>
              <w:rPr>
                <w:sz w:val="20"/>
              </w:rPr>
              <w:t>P4 P9 P12 P13 P14 P18</w:t>
            </w:r>
          </w:p>
        </w:tc>
        <w:tc>
          <w:tcPr>
            <w:tcW w:w="2880" w:type="dxa"/>
          </w:tcPr>
          <w:p w14:paraId="382E19E4">
            <w:pPr>
              <w:spacing w:after="0" w:line="240" w:lineRule="auto"/>
            </w:pPr>
            <w:r>
              <w:rPr>
                <w:sz w:val="20"/>
              </w:rPr>
              <w:t>MVP 边界与字段来源已写明；部分二期增强</w:t>
            </w:r>
          </w:p>
        </w:tc>
      </w:tr>
      <w:tr w14:paraId="6935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CAE3E6">
            <w:pPr>
              <w:spacing w:after="0" w:line="240" w:lineRule="auto"/>
            </w:pPr>
            <w:r>
              <w:rPr>
                <w:sz w:val="20"/>
              </w:rPr>
              <w:t>待确认（3）</w:t>
            </w:r>
          </w:p>
        </w:tc>
        <w:tc>
          <w:tcPr>
            <w:tcW w:w="2880" w:type="dxa"/>
          </w:tcPr>
          <w:p w14:paraId="561204F3">
            <w:pPr>
              <w:spacing w:after="0" w:line="240" w:lineRule="auto"/>
            </w:pPr>
            <w:r>
              <w:rPr>
                <w:sz w:val="20"/>
              </w:rPr>
              <w:t>P5 P10 P14（部分）</w:t>
            </w:r>
          </w:p>
        </w:tc>
        <w:tc>
          <w:tcPr>
            <w:tcW w:w="2880" w:type="dxa"/>
          </w:tcPr>
          <w:p w14:paraId="729569E1">
            <w:pPr>
              <w:spacing w:after="0" w:line="240" w:lineRule="auto"/>
            </w:pPr>
            <w:r>
              <w:rPr>
                <w:sz w:val="20"/>
              </w:rPr>
              <w:t>可先开发，联调前再收口文案与映射表</w:t>
            </w:r>
          </w:p>
        </w:tc>
      </w:tr>
    </w:tbl>
    <w:p w14:paraId="0740252C"/>
    <w:p w14:paraId="5041999E">
      <w:pPr>
        <w:pStyle w:val="3"/>
      </w:pPr>
      <w:r>
        <w:t>一、规则包模块</w:t>
      </w:r>
    </w:p>
    <w:p w14:paraId="6708E1F9">
      <w:pPr>
        <w:pStyle w:val="4"/>
      </w:pPr>
      <w:r>
        <w:t>P1【阻塞】规则包「客户类型配置」与规则层「指定客户」关系</w:t>
      </w:r>
    </w:p>
    <w:p w14:paraId="140A2A3D"/>
    <w:p w14:paraId="3FD834FA">
      <w:pPr>
        <w:spacing w:after="60"/>
      </w:pPr>
      <w:r>
        <w:rPr>
          <w:sz w:val="21"/>
        </w:rPr>
        <w:t>结论：</w:t>
      </w:r>
    </w:p>
    <w:p w14:paraId="4DA7EB19">
      <w:pPr>
        <w:spacing w:after="60"/>
      </w:pPr>
      <w:r>
        <w:rPr>
          <w:sz w:val="21"/>
        </w:rPr>
        <w:t>1）规则包上的「客户类型（直客/同行）」为命中前置条件，用于限定本包适用的客户属性，不是纯展示标签。</w:t>
      </w:r>
    </w:p>
    <w:p w14:paraId="7CD4D329">
      <w:pPr>
        <w:spacing w:after="60"/>
      </w:pPr>
      <w:r>
        <w:rPr>
          <w:sz w:val="21"/>
        </w:rPr>
        <w:t>2）当规则包选择「仅直客」时，若规则层「指定客户」中出现同行客户，保存时做**强校验拦截**（禁止保存）；若历史数据需迁移，由实施一次性清洗。以规则包口径为准，避免「包限直客、规则点名同行」并存。</w:t>
      </w:r>
    </w:p>
    <w:p w14:paraId="0FC2F6AC">
      <w:pPr>
        <w:spacing w:after="60"/>
      </w:pPr>
      <w:r>
        <w:rPr>
          <w:sz w:val="21"/>
        </w:rPr>
        <w:t>3）试算列表「业务类型」Tab 为**列表筛选视图**；与规则包「客户类型」业务含义接近但用途不同——Tab 服务于运营筛选，规则包服务于引擎命中。MVP 要求：试算列表可按底表/规则命中结果中的客户类型与 Tab 联动过滤；不要求与规则包字段在字面上完全同一枚举。</w:t>
      </w:r>
    </w:p>
    <w:p w14:paraId="183AF4D4">
      <w:pPr>
        <w:spacing w:after="60"/>
      </w:pPr>
      <w:r>
        <w:rPr>
          <w:sz w:val="21"/>
        </w:rPr>
        <w:t>需技术会签：校验规则与底表客户类型字段来源。</w:t>
      </w:r>
    </w:p>
    <w:p w14:paraId="5F3EB1D8">
      <w:pPr>
        <w:pStyle w:val="4"/>
      </w:pPr>
      <w:r>
        <w:t>P2【阻塞】「回款截止时间」存储口径</w:t>
      </w:r>
    </w:p>
    <w:p w14:paraId="4A33ACA9"/>
    <w:p w14:paraId="751560B5">
      <w:pPr>
        <w:spacing w:after="60"/>
      </w:pPr>
      <w:r>
        <w:rPr>
          <w:sz w:val="21"/>
        </w:rPr>
        <w:t>结论：</w:t>
      </w:r>
    </w:p>
    <w:p w14:paraId="741971D5">
      <w:pPr>
        <w:spacing w:after="60"/>
      </w:pPr>
      <w:r>
        <w:rPr>
          <w:sz w:val="21"/>
        </w:rPr>
        <w:t>1）**核算截止时间**以归档 PRD 为准：回款截止核算时间 = **当前账期自然月最后一日 23:59:59**，由系统按账期计算，**不允许业务手改到秒级**。</w:t>
      </w:r>
    </w:p>
    <w:p w14:paraId="3245390C">
      <w:pPr>
        <w:spacing w:after="60"/>
      </w:pPr>
      <w:r>
        <w:rPr>
          <w:sz w:val="21"/>
        </w:rPr>
        <w:t>2）规则包编辑页若仍展示「回款截止时间」字段，则改为**只读展示**（由系统根据所选账期/规则包生效区间自动计算并回显），与手工填写的示例冲突处，以本回复与归档 PRD 统一。</w:t>
      </w:r>
    </w:p>
    <w:p w14:paraId="05A7D1A7">
      <w:pPr>
        <w:spacing w:after="60"/>
      </w:pPr>
      <w:r>
        <w:rPr>
          <w:sz w:val="21"/>
        </w:rPr>
        <w:t>3）归档宽表 `S_BALANCE_COMMISSION_CURRENT`（或等价宽表）中「回款截止时间」**写入系统计算结果**，与规则包展示同源。</w:t>
      </w:r>
    </w:p>
    <w:p w14:paraId="107C8AF8">
      <w:pPr>
        <w:spacing w:after="60"/>
      </w:pPr>
      <w:r>
        <w:rPr>
          <w:sz w:val="21"/>
        </w:rPr>
        <w:t>4）「回款截止时间」与规则层「回款发放门槛（如回款率≥80%）」为**并列条件（AND）**：在截止时刻前满足回款率门槛，才具备发放资格；具体发放批次仍受批次状态控制。</w:t>
      </w:r>
    </w:p>
    <w:p w14:paraId="77C666F1">
      <w:pPr>
        <w:spacing w:after="60"/>
      </w:pPr>
      <w:r>
        <w:rPr>
          <w:sz w:val="21"/>
        </w:rPr>
        <w:t>需财务会签：账期与自然月对齐规则（跨月回款、调账）是否在提成域单独说明。</w:t>
      </w:r>
    </w:p>
    <w:p w14:paraId="35000705">
      <w:pPr>
        <w:pStyle w:val="4"/>
      </w:pPr>
      <w:r>
        <w:t>P3【逻辑矛盾】唯一性校验中的「角色」</w:t>
      </w:r>
    </w:p>
    <w:p w14:paraId="3AFD18F4"/>
    <w:p w14:paraId="6DB4261E">
      <w:pPr>
        <w:spacing w:after="60"/>
      </w:pPr>
      <w:r>
        <w:rPr>
          <w:sz w:val="21"/>
        </w:rPr>
        <w:t>结论：</w:t>
      </w:r>
    </w:p>
    <w:p w14:paraId="48A57C3F">
      <w:pPr>
        <w:numPr>
          <w:ilvl w:val="0"/>
          <w:numId w:val="7"/>
        </w:numPr>
        <w:spacing w:after="60"/>
        <w:rPr>
          <w:sz w:val="21"/>
        </w:rPr>
      </w:pPr>
      <w:r>
        <w:rPr>
          <w:sz w:val="21"/>
        </w:rPr>
        <w:t>规则包编辑表单**</w:t>
      </w:r>
      <w:r>
        <w:rPr>
          <w:rFonts w:hint="eastAsia" w:eastAsia="宋体"/>
          <w:sz w:val="21"/>
          <w:lang w:val="en-US" w:eastAsia="zh-CN"/>
        </w:rPr>
        <w:t>需要</w:t>
      </w:r>
      <w:r>
        <w:rPr>
          <w:sz w:val="21"/>
        </w:rPr>
        <w:t>单独维护「提成角色」字段**；二期 PRD 中「角色+分公司+部门+小组</w:t>
      </w:r>
      <w:r>
        <w:rPr>
          <w:rFonts w:hint="eastAsia" w:eastAsia="宋体"/>
          <w:sz w:val="21"/>
          <w:lang w:val="en-US" w:eastAsia="zh-CN"/>
        </w:rPr>
        <w:t>+提成角色</w:t>
      </w:r>
      <w:r>
        <w:rPr>
          <w:sz w:val="21"/>
        </w:rPr>
        <w:t>」唯一性表述，</w:t>
      </w:r>
      <w:r>
        <w:rPr>
          <w:rFonts w:hint="eastAsia" w:eastAsia="宋体"/>
          <w:sz w:val="21"/>
          <w:lang w:val="en-US" w:eastAsia="zh-CN"/>
        </w:rPr>
        <w:t>人员再关联包</w:t>
      </w:r>
      <w:r>
        <w:rPr>
          <w:sz w:val="21"/>
        </w:rPr>
        <w:t>。</w:t>
      </w:r>
    </w:p>
    <w:p w14:paraId="0E526BA1">
      <w:pPr>
        <w:numPr>
          <w:ilvl w:val="0"/>
          <w:numId w:val="7"/>
        </w:numPr>
        <w:spacing w:after="60"/>
      </w:pPr>
      <w:r>
        <w:rPr>
          <w:sz w:val="21"/>
        </w:rPr>
        <w:t>需产品备案：同步更新对外 PRD 唯一性条款，避免开发继续按「包级角色」实现。</w:t>
      </w:r>
    </w:p>
    <w:p w14:paraId="33D1261E">
      <w:pPr>
        <w:pStyle w:val="4"/>
      </w:pPr>
      <w:r>
        <w:t>P4【缺失定义】规则包详情「版本历史」Tab</w:t>
      </w:r>
    </w:p>
    <w:p w14:paraId="19D005D5"/>
    <w:p w14:paraId="2A69D1DC">
      <w:pPr>
        <w:spacing w:after="60"/>
      </w:pPr>
      <w:r>
        <w:rPr>
          <w:sz w:val="21"/>
        </w:rPr>
        <w:t>结论：</w:t>
      </w:r>
    </w:p>
    <w:p w14:paraId="0BDF9AA3">
      <w:pPr>
        <w:spacing w:after="60"/>
      </w:pPr>
      <w:r>
        <w:rPr>
          <w:sz w:val="21"/>
        </w:rPr>
        <w:t>1）列表字段（MVP）：**版本号、发布时间、发布人、变更摘要（短文本）、包内规则条数**。</w:t>
      </w:r>
    </w:p>
    <w:p w14:paraId="1ED10EBA">
      <w:pPr>
        <w:spacing w:after="60"/>
      </w:pPr>
      <w:r>
        <w:rPr>
          <w:sz w:val="21"/>
        </w:rPr>
        <w:t>2）点击行展开：MVP 展示**与上一版本的差异摘要（Diff）**，以规则编码/条件/公式关键字段 diff 为主；**不做整包规则全文快照 UI**（全文可通过导出或日志查看）。</w:t>
      </w:r>
    </w:p>
    <w:p w14:paraId="4EA77370">
      <w:pPr>
        <w:spacing w:after="60"/>
      </w:pPr>
      <w:r>
        <w:rPr>
          <w:sz w:val="21"/>
        </w:rPr>
        <w:t>3）入口保留则 **MVP 需实现列表 + 展开 Diff**；若排期极端紧张，可第一期仅「列表+摘要」，Diff 放到迭代+1，但需项目经理书面确认排期。</w:t>
      </w:r>
    </w:p>
    <w:p w14:paraId="0C3A5234">
      <w:pPr>
        <w:spacing w:after="60"/>
      </w:pPr>
      <w:r>
        <w:rPr>
          <w:sz w:val="21"/>
        </w:rPr>
        <w:t>需技术会签：版本快照存储策略（仅存 diff 还是存全量 JSON）。</w:t>
      </w:r>
    </w:p>
    <w:p w14:paraId="16FDCD1F">
      <w:pPr>
        <w:pStyle w:val="4"/>
      </w:pPr>
      <w:r>
        <w:t>P5【待确认】规则包「结算周期」与规则层「结算方式」</w:t>
      </w:r>
    </w:p>
    <w:p w14:paraId="1FDEF8F0"/>
    <w:p w14:paraId="7192F1FD">
      <w:pPr>
        <w:spacing w:after="60"/>
      </w:pPr>
      <w:r>
        <w:rPr>
          <w:sz w:val="21"/>
        </w:rPr>
        <w:t>结论：</w:t>
      </w:r>
    </w:p>
    <w:p w14:paraId="541B06C9">
      <w:pPr>
        <w:spacing w:after="60"/>
        <w:rPr>
          <w:rFonts w:hint="default"/>
          <w:lang w:val="en-US"/>
        </w:rPr>
      </w:pPr>
      <w:r>
        <w:rPr>
          <w:sz w:val="21"/>
        </w:rPr>
        <w:t>1）</w:t>
      </w:r>
      <w:r>
        <w:rPr>
          <w:rFonts w:hint="eastAsia" w:eastAsia="宋体"/>
          <w:sz w:val="21"/>
          <w:lang w:val="en-US" w:eastAsia="zh-CN"/>
        </w:rPr>
        <w:t>这两个定义第一版暂时去掉</w:t>
      </w:r>
    </w:p>
    <w:p w14:paraId="41B499B4">
      <w:pPr>
        <w:spacing w:after="60"/>
      </w:pPr>
      <w:r>
        <w:rPr>
          <w:sz w:val="21"/>
        </w:rPr>
        <w:t>需文案：统一帮助文档用语一轮。</w:t>
      </w:r>
    </w:p>
    <w:p w14:paraId="3EBD6677"/>
    <w:p w14:paraId="748A62F0">
      <w:pPr>
        <w:pStyle w:val="3"/>
      </w:pPr>
      <w:r>
        <w:t>二、规则模块</w:t>
      </w:r>
    </w:p>
    <w:p w14:paraId="261A4DA6">
      <w:pPr>
        <w:pStyle w:val="4"/>
      </w:pPr>
      <w:r>
        <w:t>P6【阻塞】「互斥组/相加组」配置位置</w:t>
      </w:r>
    </w:p>
    <w:p w14:paraId="7E022A8D"/>
    <w:p w14:paraId="0469241B">
      <w:pPr>
        <w:spacing w:after="60"/>
      </w:pPr>
      <w:r>
        <w:rPr>
          <w:sz w:val="21"/>
        </w:rPr>
        <w:t>结论：</w:t>
      </w:r>
    </w:p>
    <w:p w14:paraId="2CA15562">
      <w:pPr>
        <w:spacing w:after="60"/>
      </w:pPr>
      <w:r>
        <w:rPr>
          <w:sz w:val="21"/>
        </w:rPr>
        <w:t>1）规则包层保留「包内默认编排（同角色相加/互斥）」作为**默认值**。</w:t>
      </w:r>
    </w:p>
    <w:p w14:paraId="6E357FCE">
      <w:pPr>
        <w:spacing w:after="60"/>
        <w:rPr>
          <w:rFonts w:hint="default" w:eastAsia="宋体"/>
          <w:lang w:val="en-US" w:eastAsia="zh-CN"/>
        </w:rPr>
      </w:pPr>
      <w:r>
        <w:rPr>
          <w:sz w:val="21"/>
        </w:rPr>
        <w:t>2）</w:t>
      </w:r>
      <w:r>
        <w:rPr>
          <w:rFonts w:hint="eastAsia" w:eastAsia="宋体"/>
          <w:sz w:val="21"/>
          <w:lang w:val="en-US" w:eastAsia="zh-CN"/>
        </w:rPr>
        <w:t>规则层的互斥组先去掉,默认同角色互斥</w:t>
      </w:r>
    </w:p>
    <w:p w14:paraId="2462702E">
      <w:pPr>
        <w:spacing w:after="60"/>
        <w:rPr>
          <w:rFonts w:hint="default" w:eastAsia="宋体"/>
          <w:lang w:val="en-US" w:eastAsia="zh-CN"/>
        </w:rPr>
      </w:pPr>
      <w:r>
        <w:rPr>
          <w:sz w:val="21"/>
        </w:rPr>
        <w:t>3）</w:t>
      </w:r>
      <w:r>
        <w:rPr>
          <w:rFonts w:hint="eastAsia" w:eastAsia="宋体"/>
          <w:sz w:val="21"/>
          <w:lang w:val="en-US" w:eastAsia="zh-CN"/>
        </w:rPr>
        <w:t>目前只有相加和互斥了, 包里如果存在多角色默认根据优先级顺序执行</w:t>
      </w:r>
    </w:p>
    <w:p w14:paraId="4B691DB1">
      <w:pPr>
        <w:spacing w:after="60"/>
      </w:pPr>
      <w:r>
        <w:rPr>
          <w:sz w:val="21"/>
        </w:rPr>
        <w:t>需技术会签：与一期引擎字段命名对齐，避免重复存储。</w:t>
      </w:r>
    </w:p>
    <w:p w14:paraId="0CBADA28">
      <w:pPr>
        <w:pStyle w:val="4"/>
      </w:pPr>
      <w:r>
        <w:t>P7【阻塞】「相加」触发条件与整柜/非整柜</w:t>
      </w:r>
    </w:p>
    <w:p w14:paraId="47AA496D"/>
    <w:p w14:paraId="08C1C83E">
      <w:pPr>
        <w:spacing w:after="60"/>
      </w:pPr>
      <w:r>
        <w:rPr>
          <w:sz w:val="21"/>
        </w:rPr>
        <w:t>结论：</w:t>
      </w:r>
    </w:p>
    <w:p w14:paraId="5A1123FD">
      <w:pPr>
        <w:spacing w:after="60"/>
      </w:pPr>
      <w:r>
        <w:rPr>
          <w:sz w:val="21"/>
        </w:rPr>
        <w:t>1）**销售产品仅在规则层参与匹配**；规则包不感知销售产品维度——理解正确。</w:t>
      </w:r>
    </w:p>
    <w:p w14:paraId="301E9532">
      <w:pPr>
        <w:spacing w:after="60"/>
      </w:pPr>
      <w:r>
        <w:rPr>
          <w:sz w:val="21"/>
        </w:rPr>
        <w:t>2）**相加触发（MVP）**：规则包配置为「同角色相加」且**同一员工、同一提成角色**命中多条规则时，对**数值类结果按矩阵定义相加**（具体项以 PRD 公式为准）。</w:t>
      </w:r>
    </w:p>
    <w:p w14:paraId="24600C3F">
      <w:pPr>
        <w:spacing w:after="60"/>
      </w:pPr>
      <w:r>
        <w:rPr>
          <w:sz w:val="21"/>
        </w:rPr>
        <w:t>3）苏州「整柜 + 非整柜相加」场景：**优先以运单底表「是否整柜」逻辑列**作为分流条件；**销售产品作为辅助匹配条件**可与逻辑列组合使用（与矩阵⑪⑫一致）。若底表列缺失，由数据侧补列，不在规则包层补。</w:t>
      </w:r>
    </w:p>
    <w:p w14:paraId="2EA631FF">
      <w:pPr>
        <w:spacing w:after="60"/>
      </w:pPr>
      <w:r>
        <w:rPr>
          <w:sz w:val="21"/>
        </w:rPr>
        <w:t>需数据会签：底表「是否整柜」列口径与维护责任。</w:t>
      </w:r>
    </w:p>
    <w:p w14:paraId="7F7F24C1">
      <w:pPr>
        <w:pStyle w:val="4"/>
      </w:pPr>
      <w:r>
        <w:t>P8【逻辑矛盾】规则层「指定客户」与 customerMode</w:t>
      </w:r>
    </w:p>
    <w:p w14:paraId="2E15B005"/>
    <w:p w14:paraId="580DD9B3">
      <w:pPr>
        <w:spacing w:after="60"/>
      </w:pPr>
      <w:r>
        <w:rPr>
          <w:sz w:val="21"/>
        </w:rPr>
        <w:t>结论：</w:t>
      </w:r>
    </w:p>
    <w:p w14:paraId="170C6F2B">
      <w:pPr>
        <w:spacing w:after="60"/>
      </w:pPr>
      <w:r>
        <w:rPr>
          <w:sz w:val="21"/>
        </w:rPr>
        <w:t>1）二期移除「客户匹配方式/客户范围」下拉后，MVP **默认等价于「仅指定客户（白名单）」**：指定列表内为 INCLUDE。</w:t>
      </w:r>
    </w:p>
    <w:p w14:paraId="18EBAC75">
      <w:pPr>
        <w:spacing w:after="60"/>
      </w:pPr>
      <w:r>
        <w:rPr>
          <w:sz w:val="21"/>
        </w:rPr>
        <w:t>2）「排除指定（黑名单）」与「全部客户」**不纳入本期交互**；若业务紧急需要，走**单独规则模板或二期「高级条件」**开关，不在默认页暴露。</w:t>
      </w:r>
    </w:p>
    <w:p w14:paraId="0855F373">
      <w:pPr>
        <w:spacing w:after="60"/>
      </w:pPr>
      <w:r>
        <w:rPr>
          <w:sz w:val="21"/>
        </w:rPr>
        <w:t>3）代码中 `customerMode`（INCLUDE/EXCLUDE/ALL）**保留枚举与兼容**，默认 INCLUDE；EXCLUDE/ALL **预留扩展**，本期前端不配置即不传非 INCLUDE。</w:t>
      </w:r>
    </w:p>
    <w:p w14:paraId="1B44A9C4">
      <w:pPr>
        <w:spacing w:after="60"/>
      </w:pPr>
      <w:r>
        <w:rPr>
          <w:sz w:val="21"/>
        </w:rPr>
        <w:t>需技术会签：旧数据迁移默认 INCLUDE。</w:t>
      </w:r>
    </w:p>
    <w:p w14:paraId="0344FE71">
      <w:pPr>
        <w:pStyle w:val="4"/>
      </w:pPr>
      <w:r>
        <w:t>P9【缺失定义】条件表达式「来源业务账号 ID」</w:t>
      </w:r>
    </w:p>
    <w:p w14:paraId="678408FF"/>
    <w:p w14:paraId="79D4E7D5">
      <w:pPr>
        <w:spacing w:after="60"/>
      </w:pPr>
      <w:r>
        <w:rPr>
          <w:sz w:val="21"/>
        </w:rPr>
        <w:t>结论：</w:t>
      </w:r>
    </w:p>
    <w:p w14:paraId="66A21CBB">
      <w:pPr>
        <w:spacing w:after="60"/>
      </w:pPr>
      <w:r>
        <w:rPr>
          <w:sz w:val="21"/>
        </w:rPr>
        <w:t>1）变量语义：**与人员/账号主数据一致的业务账号唯一标识**（可与系统登录账号映射，具体以主数据字段为准），**不是随意字符串**。</w:t>
      </w:r>
    </w:p>
    <w:p w14:paraId="1213660A">
      <w:pPr>
        <w:spacing w:after="60"/>
      </w:pPr>
      <w:r>
        <w:rPr>
          <w:sz w:val="21"/>
        </w:rPr>
        <w:t>2）白名单配置值格式：**与主数据同一套 ID**（禁止长期依赖 `acct_demo_001` 类示意值）。</w:t>
      </w:r>
    </w:p>
    <w:p w14:paraId="5A5E16AD">
      <w:pPr>
        <w:spacing w:after="60"/>
      </w:pPr>
      <w:r>
        <w:rPr>
          <w:sz w:val="21"/>
        </w:rPr>
        <w:t>3）**需纳入内置变量枚举接口**（如 `GET /sBussBaseFormula/variables`），与表达式构建器联动，避免「幽灵变量」。</w:t>
      </w:r>
    </w:p>
    <w:p w14:paraId="50F0F2E1">
      <w:pPr>
        <w:spacing w:after="60"/>
      </w:pPr>
      <w:r>
        <w:rPr>
          <w:sz w:val="21"/>
        </w:rPr>
        <w:t>需技术/主数据会签：最终字段名与表（人员映射表或账号表）一行说明写入数据字典。</w:t>
      </w:r>
    </w:p>
    <w:p w14:paraId="437D3AED"/>
    <w:p w14:paraId="51C213C8">
      <w:pPr>
        <w:pStyle w:val="3"/>
      </w:pPr>
      <w:r>
        <w:t>三、提成试算模块</w:t>
      </w:r>
    </w:p>
    <w:p w14:paraId="06BCB0FA">
      <w:pPr>
        <w:pStyle w:val="4"/>
      </w:pPr>
      <w:r>
        <w:t>P10【阻塞】「特殊放行」与「是否计提=否」</w:t>
      </w:r>
    </w:p>
    <w:p w14:paraId="1B8E130F"/>
    <w:p w14:paraId="367BC787">
      <w:pPr>
        <w:spacing w:after="60"/>
      </w:pPr>
      <w:r>
        <w:rPr>
          <w:sz w:val="21"/>
        </w:rPr>
        <w:t>结论：</w:t>
      </w:r>
    </w:p>
    <w:p w14:paraId="03F848E0">
      <w:pPr>
        <w:spacing w:after="60"/>
      </w:pPr>
      <w:r>
        <w:rPr>
          <w:sz w:val="21"/>
        </w:rPr>
        <w:t>1）**全选不自动勾选「否」行**的前提下，提供**「仅勾选否行」「反选」等批量能力**或单独操作区，避免用户逐一点选上百行；不要求用户只靠手动点选。</w:t>
      </w:r>
    </w:p>
    <w:p w14:paraId="654D2B8E">
      <w:pPr>
        <w:spacing w:after="60"/>
      </w:pPr>
      <w:r>
        <w:rPr>
          <w:sz w:val="21"/>
        </w:rPr>
        <w:t>2）完成特殊放行后：**「是否计提」字段仍保持「否」**（不改变计提口径统计）；另增 **`特殊放行（允许进入发放批次）` + 原因** 标记，用于发放流程白名单。</w:t>
      </w:r>
    </w:p>
    <w:p w14:paraId="73F8BD25">
      <w:pPr>
        <w:spacing w:after="60"/>
      </w:pPr>
      <w:r>
        <w:rPr>
          <w:sz w:val="21"/>
        </w:rPr>
        <w:t>3）放行后**实发提成默认取试算结果**；若需金额调整，走**「提成调整」**流程，不在试算页直接改「是否计提」。</w:t>
      </w:r>
    </w:p>
    <w:p w14:paraId="0071C5C8">
      <w:pPr>
        <w:spacing w:after="60"/>
      </w:pPr>
      <w:r>
        <w:rPr>
          <w:sz w:val="21"/>
        </w:rPr>
        <w:t>需业务会签：财务是否接受「否 + 放行」组合进批次。</w:t>
      </w:r>
    </w:p>
    <w:p w14:paraId="3B4ED9D1">
      <w:pPr>
        <w:pStyle w:val="4"/>
      </w:pPr>
      <w:r>
        <w:t>P11【逻辑矛盾】试算表第 11 行「赵敏」扣减</w:t>
      </w:r>
    </w:p>
    <w:p w14:paraId="5A3560A4"/>
    <w:p w14:paraId="5A81E6B2">
      <w:pPr>
        <w:spacing w:after="60"/>
      </w:pPr>
      <w:r>
        <w:rPr>
          <w:sz w:val="21"/>
        </w:rPr>
        <w:t>结论：</w:t>
      </w:r>
    </w:p>
    <w:p w14:paraId="7F13F3A4">
      <w:pPr>
        <w:spacing w:after="60"/>
      </w:pPr>
      <w:r>
        <w:rPr>
          <w:sz w:val="21"/>
        </w:rPr>
        <w:t>1）「演示占位」扣减在真实系统**不存在**；该行 **扣减/调整 = 0，实发 = 应发 = 4,480.00**。</w:t>
      </w:r>
    </w:p>
    <w:p w14:paraId="4539FA5F">
      <w:pPr>
        <w:spacing w:after="60"/>
      </w:pPr>
      <w:r>
        <w:rPr>
          <w:sz w:val="21"/>
        </w:rPr>
        <w:t>2）开发实现与验收用例：**按 1）执行**。</w:t>
      </w:r>
    </w:p>
    <w:p w14:paraId="772AD5EA">
      <w:pPr>
        <w:spacing w:after="60"/>
      </w:pPr>
      <w:r>
        <w:rPr>
          <w:sz w:val="21"/>
        </w:rPr>
        <w:t>3）团队池/后置分成属二期；宽表与界面**可预留字段但默认隐藏/空**，不在 MVP 参与计算。</w:t>
      </w:r>
    </w:p>
    <w:p w14:paraId="01AEC028">
      <w:pPr>
        <w:spacing w:after="60"/>
      </w:pPr>
      <w:r>
        <w:rPr>
          <w:sz w:val="21"/>
        </w:rPr>
        <w:t>需更新原型示例数据，避免误导测试预期。</w:t>
      </w:r>
    </w:p>
    <w:p w14:paraId="412C9F47">
      <w:pPr>
        <w:pStyle w:val="4"/>
      </w:pPr>
      <w:r>
        <w:t>P12【缺失定义】「毛利扣除（重算工资）」</w:t>
      </w:r>
    </w:p>
    <w:p w14:paraId="6307CB64"/>
    <w:p w14:paraId="1BC18ED5">
      <w:pPr>
        <w:spacing w:after="60"/>
      </w:pPr>
      <w:r>
        <w:rPr>
          <w:sz w:val="21"/>
        </w:rPr>
        <w:t>结论：</w:t>
      </w:r>
    </w:p>
    <w:p w14:paraId="7A343503">
      <w:pPr>
        <w:spacing w:after="60"/>
      </w:pPr>
      <w:r>
        <w:rPr>
          <w:sz w:val="21"/>
        </w:rPr>
        <w:t>1）MVP 数据来源：**月度调整表（或表外成本导入）中标记为「</w:t>
      </w:r>
      <w:r>
        <w:rPr>
          <w:rFonts w:hint="eastAsia"/>
          <w:sz w:val="21"/>
        </w:rPr>
        <w:t>毛利调整对应月份核算提成金额</w:t>
      </w:r>
      <w:r>
        <w:rPr>
          <w:sz w:val="21"/>
        </w:rPr>
        <w:t>」的费用</w:t>
      </w:r>
      <w:r>
        <w:rPr>
          <w:rFonts w:hint="eastAsia" w:eastAsia="宋体"/>
          <w:sz w:val="21"/>
          <w:lang w:val="en-US" w:eastAsia="zh-CN"/>
        </w:rPr>
        <w:t>类型</w:t>
      </w:r>
      <w:r>
        <w:rPr>
          <w:sz w:val="21"/>
        </w:rPr>
        <w:t>**；系统按映射汇总到本列。</w:t>
      </w:r>
    </w:p>
    <w:p w14:paraId="3FB22BFF">
      <w:pPr>
        <w:spacing w:after="60"/>
      </w:pPr>
      <w:r>
        <w:rPr>
          <w:sz w:val="21"/>
        </w:rPr>
        <w:t>2）**费用类型编码由数据字典统一维护**（产品补充一条「</w:t>
      </w:r>
      <w:r>
        <w:rPr>
          <w:rFonts w:hint="eastAsia"/>
          <w:sz w:val="21"/>
        </w:rPr>
        <w:t>毛利调整对应月份核算提成金额</w:t>
      </w:r>
      <w:r>
        <w:rPr>
          <w:sz w:val="21"/>
        </w:rPr>
        <w:t>」类目的正式编码与名称）；导入时用户只选费用类型。</w:t>
      </w:r>
    </w:p>
    <w:p w14:paraId="74A0D682">
      <w:pPr>
        <w:spacing w:after="60"/>
      </w:pPr>
      <w:r>
        <w:rPr>
          <w:sz w:val="21"/>
        </w:rPr>
        <w:t>3）与「表外毛利扣」区分：**本列仅承载与人力成本重算挂钩、需单独对账展示的扣款**；不重合并入表外毛利扣列，避免财务对账混淆。</w:t>
      </w:r>
    </w:p>
    <w:p w14:paraId="6BBEFE9E">
      <w:pPr>
        <w:spacing w:after="60"/>
      </w:pPr>
      <w:r>
        <w:rPr>
          <w:sz w:val="21"/>
        </w:rPr>
        <w:t>需财务会签：字典条目与会计科目对应关系。</w:t>
      </w:r>
    </w:p>
    <w:p w14:paraId="4D609221">
      <w:pPr>
        <w:pStyle w:val="4"/>
      </w:pPr>
      <w:r>
        <w:t>P13【缺失定义】「个税」</w:t>
      </w:r>
    </w:p>
    <w:p w14:paraId="67909129"/>
    <w:p w14:paraId="113E5024">
      <w:pPr>
        <w:spacing w:after="60"/>
      </w:pPr>
      <w:r>
        <w:rPr>
          <w:sz w:val="21"/>
        </w:rPr>
        <w:t>结论：</w:t>
      </w:r>
    </w:p>
    <w:p w14:paraId="379A9B2C">
      <w:pPr>
        <w:spacing w:after="60"/>
      </w:pPr>
      <w:r>
        <w:rPr>
          <w:sz w:val="21"/>
        </w:rPr>
        <w:t>1）MVP：**不自动算税**；字段来源为财务外部导入**（Excel/接口二期）。</w:t>
      </w:r>
    </w:p>
    <w:p w14:paraId="48C6B06B">
      <w:pPr>
        <w:spacing w:after="60"/>
      </w:pPr>
      <w:r>
        <w:rPr>
          <w:sz w:val="21"/>
        </w:rPr>
        <w:t>2）不锁定国内个税算法模型；**不与 HR 系统对接前不计算**。</w:t>
      </w:r>
    </w:p>
    <w:p w14:paraId="558D7A42">
      <w:pPr>
        <w:spacing w:after="60"/>
        <w:rPr>
          <w:rFonts w:hint="eastAsia" w:eastAsia="宋体"/>
          <w:sz w:val="21"/>
          <w:lang w:val="en-US" w:eastAsia="zh-CN"/>
        </w:rPr>
      </w:pPr>
      <w:r>
        <w:rPr>
          <w:sz w:val="21"/>
        </w:rPr>
        <w:t>3）**个税展示（高亮），</w:t>
      </w:r>
      <w:r>
        <w:rPr>
          <w:rFonts w:hint="eastAsia" w:eastAsia="宋体"/>
          <w:sz w:val="21"/>
          <w:lang w:val="en-US" w:eastAsia="zh-CN"/>
        </w:rPr>
        <w:t>个税影响实发提成,</w:t>
      </w:r>
      <w:r>
        <w:rPr>
          <w:sz w:val="21"/>
        </w:rPr>
        <w:t>参与实发</w:t>
      </w:r>
      <w:r>
        <w:rPr>
          <w:rFonts w:hint="eastAsia" w:eastAsia="宋体"/>
          <w:sz w:val="21"/>
          <w:lang w:val="en-US" w:eastAsia="zh-CN"/>
        </w:rPr>
        <w:t>前的扣减</w:t>
      </w:r>
    </w:p>
    <w:p w14:paraId="171AB4B7">
      <w:pPr>
        <w:spacing w:after="60"/>
        <w:rPr>
          <w:rFonts w:hint="default" w:eastAsia="宋体"/>
          <w:lang w:val="en-US" w:eastAsia="zh-CN"/>
        </w:rPr>
      </w:pPr>
      <w:r>
        <w:rPr>
          <w:sz w:val="21"/>
        </w:rPr>
        <w:t>4）实现：</w:t>
      </w:r>
      <w:r>
        <w:rPr>
          <w:rFonts w:hint="eastAsia" w:eastAsia="宋体"/>
          <w:sz w:val="21"/>
          <w:lang w:val="en-US" w:eastAsia="zh-CN"/>
        </w:rPr>
        <w:t>需要计算,:应发-个税=实发</w:t>
      </w:r>
    </w:p>
    <w:p w14:paraId="28ADA0B5">
      <w:pPr>
        <w:spacing w:after="60"/>
      </w:pPr>
      <w:r>
        <w:rPr>
          <w:sz w:val="21"/>
        </w:rPr>
        <w:t>需财务会签：上线前是否强制导入或允许全空。</w:t>
      </w:r>
    </w:p>
    <w:p w14:paraId="1F9C44FE">
      <w:pPr>
        <w:pStyle w:val="4"/>
      </w:pPr>
      <w:r>
        <w:t>P14【待确认】试算 Step1～Step5 与 17 步日志</w:t>
      </w:r>
    </w:p>
    <w:p w14:paraId="5AD1F20B"/>
    <w:p w14:paraId="4D0679C5">
      <w:pPr>
        <w:spacing w:after="60"/>
      </w:pPr>
      <w:r>
        <w:rPr>
          <w:sz w:val="21"/>
        </w:rPr>
        <w:t>结论：</w:t>
      </w:r>
    </w:p>
    <w:p w14:paraId="06CD07C7">
      <w:pPr>
        <w:spacing w:after="60"/>
      </w:pPr>
      <w:r>
        <w:rPr>
          <w:sz w:val="21"/>
        </w:rPr>
        <w:t>1）**两套体系**：**Step1～5** 为**业务可读摘要步骤**；**17 步**为**引擎/技术试算日志**。必须提供**映射表（附录）**写清 Step 与日志序号区间对应关系（产品 3 个工作日内补表）。</w:t>
      </w:r>
    </w:p>
    <w:p w14:paraId="4301E852">
      <w:pPr>
        <w:spacing w:after="60"/>
      </w:pPr>
      <w:r>
        <w:rPr>
          <w:sz w:val="21"/>
        </w:rPr>
        <w:t>2）多规则相加场景：**Step5「相加」在日志中记一条汇总记录**（含参与规则 ID 列表）。</w:t>
      </w:r>
    </w:p>
    <w:p w14:paraId="713E85DA">
      <w:pPr>
        <w:spacing w:after="60"/>
      </w:pPr>
      <w:r>
        <w:rPr>
          <w:sz w:val="21"/>
        </w:rPr>
        <w:t>3）矩阵步骤**指导验收用例与日志关键节点文案**，不替代 17 步内部实现；开发按映射表打点。</w:t>
      </w:r>
    </w:p>
    <w:p w14:paraId="133D747C">
      <w:pPr>
        <w:spacing w:after="60"/>
      </w:pPr>
      <w:r>
        <w:rPr>
          <w:sz w:val="21"/>
        </w:rPr>
        <w:t>需项目经理：跟踪映射表交付。</w:t>
      </w:r>
    </w:p>
    <w:p w14:paraId="35F61E72"/>
    <w:p w14:paraId="41E79840">
      <w:pPr>
        <w:pStyle w:val="3"/>
      </w:pPr>
      <w:r>
        <w:t>四、数据字典模块</w:t>
      </w:r>
    </w:p>
    <w:p w14:paraId="2DBC410E">
      <w:pPr>
        <w:pStyle w:val="4"/>
      </w:pPr>
      <w:r>
        <w:t>P15【阻塞】数据字典开发范围</w:t>
      </w:r>
    </w:p>
    <w:p w14:paraId="3CDFC942"/>
    <w:p w14:paraId="1E004751">
      <w:pPr>
        <w:spacing w:after="60"/>
      </w:pPr>
      <w:r>
        <w:rPr>
          <w:sz w:val="21"/>
        </w:rPr>
        <w:t>结论：</w:t>
      </w:r>
    </w:p>
    <w:p w14:paraId="42649306">
      <w:pPr>
        <w:spacing w:after="60"/>
      </w:pPr>
      <w:r>
        <w:rPr>
          <w:sz w:val="21"/>
        </w:rPr>
        <w:t>1）MVP：**至少提供查询接口 + 种子数据初始化**；管理端 **CRUD 可做「简化版」（仅停用/改显示名）或二期完整 CRUD**，由项目经理按排期二选一，**不阻塞试算主链路**。</w:t>
      </w:r>
    </w:p>
    <w:p w14:paraId="57CB2A84">
      <w:pPr>
        <w:spacing w:after="60"/>
      </w:pPr>
      <w:r>
        <w:rPr>
          <w:sz w:val="21"/>
        </w:rPr>
        <w:t>2）不允许「无接口只有手工改库」作为终态；**初始化脚本 + 查询**为底线交付。</w:t>
      </w:r>
    </w:p>
    <w:p w14:paraId="705A9791">
      <w:pPr>
        <w:spacing w:after="60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3）服务商主数据：与运单/主数据系统同步**</w:t>
      </w:r>
      <w:r>
        <w:rPr>
          <w:rFonts w:hint="eastAsia" w:eastAsia="宋体"/>
          <w:sz w:val="21"/>
          <w:lang w:val="en-US" w:eastAsia="zh-CN"/>
        </w:rPr>
        <w:t>,运单底表上的内陆费会从这里的配置取</w:t>
      </w:r>
    </w:p>
    <w:p w14:paraId="6389F755">
      <w:pPr>
        <w:spacing w:after="60"/>
      </w:pPr>
      <w:r>
        <w:rPr>
          <w:sz w:val="21"/>
        </w:rPr>
        <w:t>需架构会签：主数据 Source of Truth。</w:t>
      </w:r>
    </w:p>
    <w:p w14:paraId="069E157B">
      <w:pPr>
        <w:pStyle w:val="4"/>
      </w:pPr>
      <w:r>
        <w:t>P16【阻塞】内陆费计费重字段</w:t>
      </w:r>
    </w:p>
    <w:p w14:paraId="58613748"/>
    <w:p w14:paraId="4F29D619">
      <w:pPr>
        <w:spacing w:after="60"/>
      </w:pPr>
      <w:r>
        <w:rPr>
          <w:sz w:val="21"/>
        </w:rPr>
        <w:t>结论：</w:t>
      </w:r>
    </w:p>
    <w:p w14:paraId="24B03882">
      <w:pPr>
        <w:spacing w:after="60"/>
      </w:pPr>
      <w:r>
        <w:rPr>
          <w:sz w:val="21"/>
        </w:rPr>
        <w:t>1）**以内陆费 PRD 默认口径为准：内陆费 = 出货计费重 × 单价系数**。</w:t>
      </w:r>
    </w:p>
    <w:p w14:paraId="41EF1829">
      <w:pPr>
        <w:spacing w:after="60"/>
      </w:pPr>
      <w:r>
        <w:rPr>
          <w:sz w:val="21"/>
        </w:rPr>
        <w:t>2）</w:t>
      </w:r>
      <w:r>
        <w:rPr>
          <w:rFonts w:hint="eastAsia" w:eastAsia="宋体"/>
          <w:sz w:val="21"/>
          <w:lang w:val="en-US" w:eastAsia="zh-CN"/>
        </w:rPr>
        <w:t>运单底表帮忙加上</w:t>
      </w:r>
      <w:r>
        <w:rPr>
          <w:rFonts w:hint="default" w:eastAsia="宋体"/>
          <w:sz w:val="21"/>
          <w:lang w:val="en-US" w:eastAsia="zh-CN"/>
        </w:rPr>
        <w:t>”</w:t>
      </w:r>
      <w:r>
        <w:rPr>
          <w:rFonts w:hint="eastAsia" w:eastAsia="宋体"/>
          <w:sz w:val="21"/>
          <w:lang w:val="en-US" w:eastAsia="zh-CN"/>
        </w:rPr>
        <w:t>出货计费重</w:t>
      </w:r>
      <w:r>
        <w:rPr>
          <w:rFonts w:hint="default" w:eastAsia="宋体"/>
          <w:sz w:val="21"/>
          <w:lang w:val="en-US" w:eastAsia="zh-CN"/>
        </w:rPr>
        <w:t>”</w:t>
      </w:r>
      <w:r>
        <w:rPr>
          <w:rFonts w:hint="eastAsia" w:eastAsia="宋体"/>
          <w:sz w:val="21"/>
          <w:lang w:val="en-US" w:eastAsia="zh-CN"/>
        </w:rPr>
        <w:t>字段</w:t>
      </w:r>
    </w:p>
    <w:p w14:paraId="467B237F">
      <w:pPr>
        <w:spacing w:after="60"/>
      </w:pPr>
      <w:r>
        <w:rPr>
          <w:sz w:val="21"/>
        </w:rPr>
        <w:t>3）若物理表后续增加「收货计费重」字段，**以实际字段名为准**再更新字典；开发动工前 **DBA 会签一行**确认当前表结构。</w:t>
      </w:r>
    </w:p>
    <w:p w14:paraId="344A72A2">
      <w:pPr>
        <w:spacing w:after="60"/>
      </w:pPr>
      <w:r>
        <w:rPr>
          <w:sz w:val="21"/>
        </w:rPr>
        <w:t>需 DBA：出具 `S_BALANCE_COMMISSION_CURRENT` 计费重相关字段清单。</w:t>
      </w:r>
    </w:p>
    <w:p w14:paraId="0350F945">
      <w:pPr>
        <w:pStyle w:val="4"/>
      </w:pPr>
      <w:r>
        <w:t>P17【逻辑矛盾】费用名称含「提成」但大类为毛利扣</w:t>
      </w:r>
    </w:p>
    <w:p w14:paraId="35A446CE"/>
    <w:p w14:paraId="6C25DB80">
      <w:pPr>
        <w:spacing w:after="60"/>
      </w:pPr>
      <w:r>
        <w:rPr>
          <w:sz w:val="21"/>
        </w:rPr>
        <w:t>结论：</w:t>
      </w:r>
    </w:p>
    <w:p w14:paraId="56642CBF">
      <w:pPr>
        <w:spacing w:after="60"/>
      </w:pPr>
      <w:r>
        <w:rPr>
          <w:sz w:val="21"/>
        </w:rPr>
        <w:t>1）</w:t>
      </w:r>
      <w:r>
        <w:rPr>
          <w:rFonts w:hint="eastAsia" w:eastAsia="宋体"/>
          <w:sz w:val="21"/>
          <w:lang w:val="en-US" w:eastAsia="zh-CN"/>
        </w:rPr>
        <w:t>直接按配置里面的来，导入的模版用费用类型匹配</w:t>
      </w:r>
      <w:r>
        <w:rPr>
          <w:sz w:val="21"/>
        </w:rPr>
        <w:t>。</w:t>
      </w:r>
    </w:p>
    <w:p w14:paraId="4548ACA2">
      <w:pPr>
        <w:spacing w:after="60"/>
      </w:pPr>
      <w:r>
        <w:rPr>
          <w:sz w:val="21"/>
        </w:rPr>
        <w:t>需财务：确认无未备案特殊条目。</w:t>
      </w:r>
    </w:p>
    <w:p w14:paraId="15970701">
      <w:pPr>
        <w:pStyle w:val="4"/>
      </w:pPr>
      <w:r>
        <w:t>P18【缺失定义】服务商「计费重口径=收货」时内陆费公式</w:t>
      </w:r>
    </w:p>
    <w:p w14:paraId="77A93CA2"/>
    <w:p w14:paraId="260E9A3E">
      <w:pPr>
        <w:spacing w:after="60"/>
      </w:pPr>
      <w:r>
        <w:rPr>
          <w:sz w:val="21"/>
        </w:rPr>
        <w:t>结论：</w:t>
      </w:r>
    </w:p>
    <w:p w14:paraId="183F726A">
      <w:pPr>
        <w:spacing w:after="60"/>
      </w:pPr>
      <w:r>
        <w:rPr>
          <w:sz w:val="21"/>
        </w:rPr>
        <w:t>1）当服务商字典</w:t>
      </w:r>
      <w:r>
        <w:rPr>
          <w:rFonts w:hint="eastAsia" w:eastAsia="宋体"/>
          <w:sz w:val="21"/>
          <w:lang w:val="en-US" w:eastAsia="zh-CN"/>
        </w:rPr>
        <w:t>默认为出货计费重</w:t>
      </w:r>
      <w:r>
        <w:rPr>
          <w:sz w:val="21"/>
        </w:rPr>
        <w:t>。</w:t>
      </w:r>
    </w:p>
    <w:p w14:paraId="33EB58E1"/>
    <w:p w14:paraId="455CFBEF">
      <w:pPr>
        <w:jc w:val="left"/>
      </w:pPr>
      <w:r>
        <w:rPr>
          <w:sz w:val="21"/>
        </w:rPr>
        <w:t>—— 以上结论用于指导二期提成相关开发；阻塞项（P1、P2、P3、P6、P7、P15、P16）请按文内「会签」项补齐责任人签字或书面确认后动工。</w:t>
      </w:r>
      <w:r>
        <w:rPr>
          <w:sz w:val="21"/>
        </w:rPr>
        <w:br w:type="textWrapping"/>
      </w:r>
      <w:r>
        <w:rPr>
          <w:sz w:val="21"/>
        </w:rPr>
        <w:t>产品负责人：_______</w:t>
      </w:r>
      <w:bookmarkStart w:id="0" w:name="_GoBack"/>
      <w:bookmarkEnd w:id="0"/>
      <w:r>
        <w:rPr>
          <w:sz w:val="21"/>
        </w:rPr>
        <w:t>________　日期：_______________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293AA"/>
    <w:multiLevelType w:val="singleLevel"/>
    <w:tmpl w:val="005293A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A3FA7"/>
    <w:rsid w:val="1A1324AA"/>
    <w:rsid w:val="216655B5"/>
    <w:rsid w:val="2AFF7DF7"/>
    <w:rsid w:val="3418374D"/>
    <w:rsid w:val="4A4D705B"/>
    <w:rsid w:val="6C50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1646</Words>
  <Characters>1859</Characters>
  <Lines>0</Lines>
  <Paragraphs>0</Paragraphs>
  <TotalTime>178</TotalTime>
  <ScaleCrop>false</ScaleCrop>
  <LinksUpToDate>false</LinksUpToDate>
  <CharactersWithSpaces>1937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琰の</cp:lastModifiedBy>
  <dcterms:modified xsi:type="dcterms:W3CDTF">2026-05-12T11:20:32Z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eyJoZGlkIjoiMjZiN2NlYzBkMjFiYWU2MGIzN2I0YWEzYWI0MjhkNjkiLCJ1c2VySWQiOiIyNzc5Njk5MDgifQ==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B55FD5474C504FBDAF7B215314102579_12</vt:lpwstr>
  </property>
</Properties>
</file>