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72C2D">
      <w:pPr>
        <w:spacing w:before="2400"/>
        <w:jc w:val="center"/>
        <w:outlineLvl w:val="0"/>
      </w:pPr>
      <w:bookmarkStart w:id="0" w:name="_Toc3455"/>
      <w:r>
        <w:rPr>
          <w:rFonts w:ascii="Times New Roman" w:hAnsi="Times New Roman" w:eastAsia="黑体"/>
          <w:b/>
          <w:sz w:val="44"/>
        </w:rPr>
        <w:t>景区导览服务AI数字人系统</w:t>
      </w:r>
      <w:bookmarkEnd w:id="0"/>
    </w:p>
    <w:p w14:paraId="6F5FF375">
      <w:pPr>
        <w:spacing w:before="400"/>
        <w:jc w:val="center"/>
        <w:outlineLvl w:val="0"/>
      </w:pPr>
      <w:bookmarkStart w:id="1" w:name="_Toc16138"/>
      <w:r>
        <w:rPr>
          <w:rFonts w:ascii="Times New Roman" w:hAnsi="Times New Roman" w:eastAsia="黑体"/>
          <w:b/>
          <w:sz w:val="36"/>
        </w:rPr>
        <w:t>软件需求规格说明书</w:t>
      </w:r>
      <w:bookmarkEnd w:id="1"/>
    </w:p>
    <w:p w14:paraId="4E0E34C9">
      <w:pPr>
        <w:sectPr>
          <w:pgSz w:w="12240" w:h="15840"/>
          <w:pgMar w:top="1440" w:right="1803" w:bottom="1440" w:left="1803" w:header="720" w:footer="720" w:gutter="0"/>
          <w:cols w:space="720" w:num="1"/>
          <w:docGrid w:linePitch="360" w:charSpace="0"/>
        </w:sectPr>
      </w:pPr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80972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sdtEndPr>
      <w:sdtContent>
        <w:p w14:paraId="29FFC41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71247A9">
          <w:pPr>
            <w:pStyle w:val="164"/>
            <w:tabs>
              <w:tab w:val="right" w:leader="dot" w:pos="8634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_Toc3455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景区导览服务AI数字人系统</w:t>
          </w:r>
          <w:r>
            <w:tab/>
          </w:r>
          <w:r>
            <w:fldChar w:fldCharType="begin"/>
          </w:r>
          <w:r>
            <w:instrText xml:space="preserve"> PAGEREF _Toc3455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1A6736B">
          <w:pPr>
            <w:pStyle w:val="16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_Toc16138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软件需求规格说明书</w:t>
          </w:r>
          <w:r>
            <w:tab/>
          </w:r>
          <w:r>
            <w:fldChar w:fldCharType="begin"/>
          </w:r>
          <w:r>
            <w:instrText xml:space="preserve"> PAGEREF _Toc16138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64FACC5">
          <w:pPr>
            <w:pStyle w:val="16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_Toc8454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第1章 引言</w:t>
          </w:r>
          <w:r>
            <w:tab/>
          </w:r>
          <w:r>
            <w:fldChar w:fldCharType="begin"/>
          </w:r>
          <w:r>
            <w:instrText xml:space="preserve"> PAGEREF _Toc8454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D9E5D8F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_Toc27304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_Toc27304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FC6DAC7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_Toc1200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_Toc1200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788D5E9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_Toc16573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1.3 术语定义与缩写</w:t>
          </w:r>
          <w:r>
            <w:tab/>
          </w:r>
          <w:r>
            <w:fldChar w:fldCharType="begin"/>
          </w:r>
          <w:r>
            <w:instrText xml:space="preserve"> PAGEREF _Toc16573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58097A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_Toc24924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1.4 参考资料</w:t>
          </w:r>
          <w:r>
            <w:tab/>
          </w:r>
          <w:r>
            <w:fldChar w:fldCharType="begin"/>
          </w:r>
          <w:r>
            <w:instrText xml:space="preserve"> PAGEREF _Toc24924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90397A">
          <w:pPr>
            <w:pStyle w:val="16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_Toc26523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第2章 总体描述</w:t>
          </w:r>
          <w:r>
            <w:tab/>
          </w:r>
          <w:r>
            <w:fldChar w:fldCharType="begin"/>
          </w:r>
          <w:r>
            <w:instrText xml:space="preserve"> PAGEREF _Toc26523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FD699F1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_Toc10554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2.1 产品前景</w:t>
          </w:r>
          <w:r>
            <w:tab/>
          </w:r>
          <w:r>
            <w:fldChar w:fldCharType="begin"/>
          </w:r>
          <w:r>
            <w:instrText xml:space="preserve"> PAGEREF _Toc10554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25D218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_Toc309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2.2 用户特征</w:t>
          </w:r>
          <w:r>
            <w:tab/>
          </w:r>
          <w:r>
            <w:fldChar w:fldCharType="begin"/>
          </w:r>
          <w:r>
            <w:instrText xml:space="preserve"> PAGEREF _Toc309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1FAAB86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_Toc5361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2.3 运行环境</w:t>
          </w:r>
          <w:r>
            <w:tab/>
          </w:r>
          <w:r>
            <w:fldChar w:fldCharType="begin"/>
          </w:r>
          <w:r>
            <w:instrText xml:space="preserve"> PAGEREF _Toc5361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1BF924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_Toc28713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2.4 设计与实现约束</w:t>
          </w:r>
          <w:r>
            <w:tab/>
          </w:r>
          <w:r>
            <w:fldChar w:fldCharType="begin"/>
          </w:r>
          <w:r>
            <w:instrText xml:space="preserve"> PAGEREF _Toc28713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0E9C4A9">
          <w:pPr>
            <w:pStyle w:val="16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_Toc7914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第3章 功能需求</w:t>
          </w:r>
          <w:r>
            <w:tab/>
          </w:r>
          <w:r>
            <w:fldChar w:fldCharType="begin"/>
          </w:r>
          <w:r>
            <w:instrText xml:space="preserve"> PAGEREF _Toc7914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FC3687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_Toc1628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3.1 系统功能架构图</w:t>
          </w:r>
          <w:r>
            <w:tab/>
          </w:r>
          <w:r>
            <w:fldChar w:fldCharType="begin"/>
          </w:r>
          <w:r>
            <w:instrText xml:space="preserve"> PAGEREF _Toc1628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190342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_Toc5651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3.2 功能子图</w:t>
          </w:r>
          <w:r>
            <w:tab/>
          </w:r>
          <w:r>
            <w:fldChar w:fldCharType="begin"/>
          </w:r>
          <w:r>
            <w:instrText xml:space="preserve"> PAGEREF _Toc5651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B1C1093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_Toc28986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3.2.1 智能语音问答</w:t>
          </w:r>
          <w:r>
            <w:tab/>
          </w:r>
          <w:r>
            <w:fldChar w:fldCharType="begin"/>
          </w:r>
          <w:r>
            <w:instrText xml:space="preserve"> PAGEREF _Toc28986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252F652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_Toc27538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3.2.2 景区导览与路线推荐子系统</w:t>
          </w:r>
          <w:r>
            <w:tab/>
          </w:r>
          <w:r>
            <w:fldChar w:fldCharType="begin"/>
          </w:r>
          <w:r>
            <w:instrText xml:space="preserve"> PAGEREF _Toc27538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8E634B3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_Toc6413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3.2.3 数字人形象与状态管理子系统</w:t>
          </w:r>
          <w:r>
            <w:tab/>
          </w:r>
          <w:r>
            <w:fldChar w:fldCharType="begin"/>
          </w:r>
          <w:r>
            <w:instrText xml:space="preserve"> PAGEREF _Toc6413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08BBD3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_Toc15173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3.2.4 后台管理子系统</w:t>
          </w:r>
          <w:r>
            <w:tab/>
          </w:r>
          <w:r>
            <w:fldChar w:fldCharType="begin"/>
          </w:r>
          <w:r>
            <w:instrText xml:space="preserve"> PAGEREF _Toc15173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59B3F5F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_Toc5138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3.3 用例图</w:t>
          </w:r>
          <w:r>
            <w:tab/>
          </w:r>
          <w:r>
            <w:fldChar w:fldCharType="begin"/>
          </w:r>
          <w:r>
            <w:instrText xml:space="preserve"> PAGEREF _Toc5138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6DE67E7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_Toc19711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3.4 核心用例详细描述</w:t>
          </w:r>
          <w:r>
            <w:tab/>
          </w:r>
          <w:r>
            <w:fldChar w:fldCharType="begin"/>
          </w:r>
          <w:r>
            <w:instrText xml:space="preserve"> PAGEREF _Toc19711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A78A34F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_Toc4914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1. 管理员拖拽上传PDF/Word/TXT文档</w:t>
          </w:r>
          <w:r>
            <w:tab/>
          </w:r>
          <w:r>
            <w:fldChar w:fldCharType="begin"/>
          </w:r>
          <w:r>
            <w:instrText xml:space="preserve"> PAGEREF _Toc4914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1439725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_Toc31962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4. 后端SSE推送各阶段进度：</w:t>
          </w:r>
          <w:r>
            <w:tab/>
          </w:r>
          <w:r>
            <w:fldChar w:fldCharType="begin"/>
          </w:r>
          <w:r>
            <w:instrText xml:space="preserve"> PAGEREF _Toc31962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93FD373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_Toc7563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3.5 动态交互建模：时序图</w:t>
          </w:r>
          <w:r>
            <w:tab/>
          </w:r>
          <w:r>
            <w:fldChar w:fldCharType="begin"/>
          </w:r>
          <w:r>
            <w:instrText xml:space="preserve"> PAGEREF _Toc7563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5841816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_Toc11050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3.5.1 核心业务时序图：「游客语音问答全链路」</w:t>
          </w:r>
          <w:r>
            <w:tab/>
          </w:r>
          <w:r>
            <w:fldChar w:fldCharType="begin"/>
          </w:r>
          <w:r>
            <w:instrText xml:space="preserve"> PAGEREF _Toc11050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65DBD1E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_Toc22825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3.5.2 异常时序图：「网络异常与 SSE 断线重连」</w:t>
          </w:r>
          <w:r>
            <w:tab/>
          </w:r>
          <w:r>
            <w:fldChar w:fldCharType="begin"/>
          </w:r>
          <w:r>
            <w:instrText xml:space="preserve"> PAGEREF _Toc22825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84CF7C2">
          <w:pPr>
            <w:pStyle w:val="16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_Toc6339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第4章 非功能需求</w:t>
          </w:r>
          <w:r>
            <w:tab/>
          </w:r>
          <w:r>
            <w:fldChar w:fldCharType="begin"/>
          </w:r>
          <w:r>
            <w:instrText xml:space="preserve"> PAGEREF _Toc6339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1F4964E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_Toc21153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4.1 性能需求</w:t>
          </w:r>
          <w:r>
            <w:tab/>
          </w:r>
          <w:r>
            <w:fldChar w:fldCharType="begin"/>
          </w:r>
          <w:r>
            <w:instrText xml:space="preserve"> PAGEREF _Toc21153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607C3CC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_Toc31410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4.2 安全需求</w:t>
          </w:r>
          <w:r>
            <w:tab/>
          </w:r>
          <w:r>
            <w:fldChar w:fldCharType="begin"/>
          </w:r>
          <w:r>
            <w:instrText xml:space="preserve"> PAGEREF _Toc31410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8879B3F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_Toc621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4.3 可靠性需求</w:t>
          </w:r>
          <w:r>
            <w:tab/>
          </w:r>
          <w:r>
            <w:fldChar w:fldCharType="begin"/>
          </w:r>
          <w:r>
            <w:instrText xml:space="preserve"> PAGEREF _Toc621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5E604FE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_Toc10406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4.4 可维护性与可测试性</w:t>
          </w:r>
          <w:r>
            <w:tab/>
          </w:r>
          <w:r>
            <w:fldChar w:fldCharType="begin"/>
          </w:r>
          <w:r>
            <w:instrText xml:space="preserve"> PAGEREF _Toc10406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A9CC8EC">
          <w:pPr>
            <w:pStyle w:val="16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_Toc1588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第5章 接口与数据需求</w:t>
          </w:r>
          <w:r>
            <w:tab/>
          </w:r>
          <w:r>
            <w:fldChar w:fldCharType="begin"/>
          </w:r>
          <w:r>
            <w:instrText xml:space="preserve"> PAGEREF _Toc1588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320CBD4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_Toc9098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5.1 接口总览</w:t>
          </w:r>
          <w:r>
            <w:tab/>
          </w:r>
          <w:r>
            <w:fldChar w:fldCharType="begin"/>
          </w:r>
          <w:r>
            <w:instrText xml:space="preserve"> PAGEREF _Toc9098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D01201A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_Toc30066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5.2 HTTP 接口契约</w:t>
          </w:r>
          <w:r>
            <w:tab/>
          </w:r>
          <w:r>
            <w:fldChar w:fldCharType="begin"/>
          </w:r>
          <w:r>
            <w:instrText xml:space="preserve"> PAGEREF _Toc30066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E13EA7F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_Toc24112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5.2.1 健康检查接口</w:t>
          </w:r>
          <w:r>
            <w:tab/>
          </w:r>
          <w:r>
            <w:fldChar w:fldCharType="begin"/>
          </w:r>
          <w:r>
            <w:instrText xml:space="preserve"> PAGEREF _Toc24112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539BD33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_Toc13322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5.2.2 核心流式问答接口</w:t>
          </w:r>
          <w:r>
            <w:tab/>
          </w:r>
          <w:r>
            <w:fldChar w:fldCharType="begin"/>
          </w:r>
          <w:r>
            <w:instrText xml:space="preserve"> PAGEREF _Toc13322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FB7856D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_Toc16367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5.3 SSE 内部契约（V1 联调基线）</w:t>
          </w:r>
          <w:r>
            <w:tab/>
          </w:r>
          <w:r>
            <w:fldChar w:fldCharType="begin"/>
          </w:r>
          <w:r>
            <w:instrText xml:space="preserve"> PAGEREF _Toc16367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FD7CF87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_Toc31440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5.3.1 帧格式与编码规则</w:t>
          </w:r>
          <w:r>
            <w:tab/>
          </w:r>
          <w:r>
            <w:fldChar w:fldCharType="begin"/>
          </w:r>
          <w:r>
            <w:instrText xml:space="preserve"> PAGEREF _Toc31440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34B8C49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_Toc22955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5.3.2 当前 V1 消息类型</w:t>
          </w:r>
          <w:r>
            <w:tab/>
          </w:r>
          <w:r>
            <w:fldChar w:fldCharType="begin"/>
          </w:r>
          <w:r>
            <w:instrText xml:space="preserve"> PAGEREF _Toc22955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A937237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_Toc19732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5.3.3 扩展字段建议</w:t>
          </w:r>
          <w:r>
            <w:tab/>
          </w:r>
          <w:r>
            <w:fldChar w:fldCharType="begin"/>
          </w:r>
          <w:r>
            <w:instrText xml:space="preserve"> PAGEREF _Toc19732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1010544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_Toc18334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5.3.4 正常与异常时序约定</w:t>
          </w:r>
          <w:r>
            <w:tab/>
          </w:r>
          <w:r>
            <w:fldChar w:fldCharType="begin"/>
          </w:r>
          <w:r>
            <w:instrText xml:space="preserve"> PAGEREF _Toc18334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052DB36">
          <w:pPr>
            <w:pStyle w:val="166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_Toc2980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5.3.5 前端消费方式约定</w:t>
          </w:r>
          <w:r>
            <w:tab/>
          </w:r>
          <w:r>
            <w:fldChar w:fldCharType="begin"/>
          </w:r>
          <w:r>
            <w:instrText xml:space="preserve"> PAGEREF _Toc2980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3C563C4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_Toc20179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5.4 数据字典</w:t>
          </w:r>
          <w:r>
            <w:tab/>
          </w:r>
          <w:r>
            <w:fldChar w:fldCharType="begin"/>
          </w:r>
          <w:r>
            <w:instrText xml:space="preserve"> PAGEREF _Toc20179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E10B6D5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_Toc6386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5.5 部署架构与运行约束（目标架构）</w:t>
          </w:r>
          <w:r>
            <w:tab/>
          </w:r>
          <w:r>
            <w:fldChar w:fldCharType="begin"/>
          </w:r>
          <w:r>
            <w:instrText xml:space="preserve"> PAGEREF _Toc6386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BF63695">
          <w:pPr>
            <w:pStyle w:val="165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_Toc31555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5.6 联调与版本约束</w:t>
          </w:r>
          <w:r>
            <w:tab/>
          </w:r>
          <w:r>
            <w:fldChar w:fldCharType="begin"/>
          </w:r>
          <w:r>
            <w:instrText xml:space="preserve"> PAGEREF _Toc31555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31450C2">
          <w:pPr>
            <w:pStyle w:val="16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_Toc24371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附录：插入图片位置汇总（共 9 张）</w:t>
          </w:r>
          <w:r>
            <w:tab/>
          </w:r>
          <w:r>
            <w:fldChar w:fldCharType="begin"/>
          </w:r>
          <w:r>
            <w:instrText xml:space="preserve"> PAGEREF _Toc24371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018CDF0">
          <w:pPr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017F2698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sectPr>
          <w:pgSz w:w="12240" w:h="15840"/>
          <w:pgMar w:top="1440" w:right="1803" w:bottom="1440" w:left="1803" w:header="720" w:footer="720" w:gutter="0"/>
          <w:cols w:space="720" w:num="1"/>
          <w:docGrid w:linePitch="360" w:charSpace="0"/>
        </w:sectPr>
      </w:pPr>
      <w:bookmarkStart w:id="46" w:name="_GoBack"/>
      <w:bookmarkEnd w:id="46"/>
    </w:p>
    <w:p w14:paraId="55D95AC8"/>
    <w:p w14:paraId="60264B78">
      <w:pPr>
        <w:spacing w:before="240" w:after="240" w:line="360" w:lineRule="auto"/>
        <w:jc w:val="center"/>
        <w:outlineLvl w:val="0"/>
      </w:pPr>
      <w:bookmarkStart w:id="2" w:name="_Toc8454"/>
      <w:r>
        <w:rPr>
          <w:rFonts w:ascii="Times New Roman" w:hAnsi="Times New Roman" w:eastAsia="黑体"/>
          <w:b/>
          <w:sz w:val="32"/>
        </w:rPr>
        <w:t>第1章 引言</w:t>
      </w:r>
      <w:bookmarkEnd w:id="2"/>
    </w:p>
    <w:p w14:paraId="6AB9E295">
      <w:pPr>
        <w:spacing w:before="160" w:after="120" w:line="360" w:lineRule="auto"/>
        <w:jc w:val="left"/>
        <w:outlineLvl w:val="1"/>
      </w:pPr>
      <w:bookmarkStart w:id="3" w:name="_Toc27304"/>
      <w:r>
        <w:rPr>
          <w:rFonts w:ascii="Times New Roman" w:hAnsi="Times New Roman" w:eastAsia="黑体"/>
          <w:b/>
          <w:sz w:val="28"/>
        </w:rPr>
        <w:t>1.1 编写目的</w:t>
      </w:r>
      <w:bookmarkEnd w:id="3"/>
    </w:p>
    <w:p w14:paraId="5851D48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本文档旨在明确"景区导览服务AI数字人"系统的功能边界、性能指标、交互逻辑与接口约束，作为后续系统设计、编码、测试与验收的唯一依据。</w:t>
      </w:r>
    </w:p>
    <w:p w14:paraId="56A230A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读者对象：项目指导老师、四名开发成员（A 交互引擎/B 智能问答/C 知识库/D 数据洞察）。</w:t>
      </w:r>
    </w:p>
    <w:p w14:paraId="7138D27C">
      <w:pPr>
        <w:spacing w:before="160" w:after="120" w:line="360" w:lineRule="auto"/>
        <w:jc w:val="left"/>
        <w:outlineLvl w:val="1"/>
      </w:pPr>
      <w:bookmarkStart w:id="4" w:name="_Toc1200"/>
      <w:r>
        <w:rPr>
          <w:rFonts w:ascii="Times New Roman" w:hAnsi="Times New Roman" w:eastAsia="黑体"/>
          <w:b/>
          <w:sz w:val="28"/>
        </w:rPr>
        <w:t>1.2 项目背景</w:t>
      </w:r>
      <w:bookmarkEnd w:id="4"/>
    </w:p>
    <w:p w14:paraId="026189E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随着"智慧旅游"的推进，传统景区导览存在三大痛点：导览器笨重且内容固定、人工导游成本高且无法覆盖全部游客、图文讲解互动性差。</w:t>
      </w:r>
    </w:p>
    <w:p w14:paraId="0262DCB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本项目提出一个基于Web的轻量级方案：游客扫码即用，通过语音或文字与AI数字人交互，数字人以语音+表情+口型同步的方式回答景区历史、文化、景点特色等问题，并根据游客兴趣推荐个性化游览路线。</w:t>
      </w:r>
    </w:p>
    <w:p w14:paraId="6177E38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系统后端采用Node.js+Express+SSE（Server-Sent Events）架构，核心AI能力由多模态大模型+本地景区知识库（RAG）支撑，确保回答准确率≥90%、语音问答端到端延迟&lt;5秒。</w:t>
      </w:r>
    </w:p>
    <w:p w14:paraId="37BE6579">
      <w:pPr>
        <w:spacing w:before="160" w:after="120" w:line="360" w:lineRule="auto"/>
        <w:jc w:val="left"/>
        <w:outlineLvl w:val="1"/>
      </w:pPr>
      <w:bookmarkStart w:id="5" w:name="_Toc16573"/>
      <w:r>
        <w:rPr>
          <w:rFonts w:ascii="Times New Roman" w:hAnsi="Times New Roman" w:eastAsia="黑体"/>
          <w:b/>
          <w:sz w:val="28"/>
        </w:rPr>
        <w:t>1.3 术语定义与缩写</w:t>
      </w:r>
      <w:bookmarkEnd w:id="5"/>
    </w:p>
    <w:p w14:paraId="0ABCDB78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1.1 术语定义与缩写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38E6AE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4472C4"/>
          </w:tcPr>
          <w:p w14:paraId="193DA8AF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术语</w:t>
            </w:r>
          </w:p>
        </w:tc>
        <w:tc>
          <w:tcPr>
            <w:tcW w:w="2878" w:type="dxa"/>
            <w:shd w:val="clear" w:color="auto" w:fill="4472C4"/>
          </w:tcPr>
          <w:p w14:paraId="731C642D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全称</w:t>
            </w:r>
          </w:p>
        </w:tc>
        <w:tc>
          <w:tcPr>
            <w:tcW w:w="2878" w:type="dxa"/>
            <w:shd w:val="clear" w:color="auto" w:fill="4472C4"/>
          </w:tcPr>
          <w:p w14:paraId="234DCF17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</w:tr>
      <w:tr w14:paraId="5E7F45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D1CE90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AI数字人</w:t>
            </w:r>
          </w:p>
        </w:tc>
        <w:tc>
          <w:tcPr>
            <w:tcW w:w="2878" w:type="dxa"/>
          </w:tcPr>
          <w:p w14:paraId="6D60A1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 Digital Human</w:t>
            </w:r>
          </w:p>
        </w:tc>
        <w:tc>
          <w:tcPr>
            <w:tcW w:w="2878" w:type="dxa"/>
          </w:tcPr>
          <w:p w14:paraId="360BC01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具备语音、表情、口型同步能力的虚拟形象；本项目游客端以 Web 方式呈现。</w:t>
            </w:r>
          </w:p>
        </w:tc>
      </w:tr>
      <w:tr w14:paraId="51216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987504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RAG</w:t>
            </w:r>
          </w:p>
        </w:tc>
        <w:tc>
          <w:tcPr>
            <w:tcW w:w="2878" w:type="dxa"/>
          </w:tcPr>
          <w:p w14:paraId="46AA0E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Retrieval-Augmented Generation</w:t>
            </w:r>
          </w:p>
        </w:tc>
        <w:tc>
          <w:tcPr>
            <w:tcW w:w="2878" w:type="dxa"/>
          </w:tcPr>
          <w:p w14:paraId="3A23080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检索增强生成：先从景区知识库检索相关内容，再交由大模型组织答案。</w:t>
            </w:r>
          </w:p>
        </w:tc>
      </w:tr>
      <w:tr w14:paraId="7B71A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E247D3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TTS</w:t>
            </w:r>
          </w:p>
        </w:tc>
        <w:tc>
          <w:tcPr>
            <w:tcW w:w="2878" w:type="dxa"/>
          </w:tcPr>
          <w:p w14:paraId="4E3599D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Text-to-Speech</w:t>
            </w:r>
          </w:p>
        </w:tc>
        <w:tc>
          <w:tcPr>
            <w:tcW w:w="2878" w:type="dxa"/>
          </w:tcPr>
          <w:p w14:paraId="7C23160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文本转语音，将模型输出文本转换为可播放语音。</w:t>
            </w:r>
          </w:p>
        </w:tc>
      </w:tr>
      <w:tr w14:paraId="469A9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639F1B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STT/ASR</w:t>
            </w:r>
          </w:p>
        </w:tc>
        <w:tc>
          <w:tcPr>
            <w:tcW w:w="2878" w:type="dxa"/>
          </w:tcPr>
          <w:p w14:paraId="3916E48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Speech-to-Text / Automatic Speech Recognition</w:t>
            </w:r>
          </w:p>
        </w:tc>
        <w:tc>
          <w:tcPr>
            <w:tcW w:w="2878" w:type="dxa"/>
          </w:tcPr>
          <w:p w14:paraId="496A884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语音转文本/自动语音识别，将游客语音转换成问题文本。</w:t>
            </w:r>
          </w:p>
        </w:tc>
      </w:tr>
      <w:tr w14:paraId="4F02E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50A5B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SSE</w:t>
            </w:r>
          </w:p>
        </w:tc>
        <w:tc>
          <w:tcPr>
            <w:tcW w:w="2878" w:type="dxa"/>
          </w:tcPr>
          <w:p w14:paraId="02305E6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Server-Sent Events</w:t>
            </w:r>
          </w:p>
        </w:tc>
        <w:tc>
          <w:tcPr>
            <w:tcW w:w="2878" w:type="dxa"/>
          </w:tcPr>
          <w:p w14:paraId="1AC3DAE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服务器向浏览器单向推送的事件流；当前后端通过 text/event-stream 返回流式数据。</w:t>
            </w:r>
          </w:p>
        </w:tc>
      </w:tr>
      <w:tr w14:paraId="21F064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748C50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TTFT</w:t>
            </w:r>
          </w:p>
        </w:tc>
        <w:tc>
          <w:tcPr>
            <w:tcW w:w="2878" w:type="dxa"/>
          </w:tcPr>
          <w:p w14:paraId="0C3EC5E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Time To First Token</w:t>
            </w:r>
          </w:p>
        </w:tc>
        <w:tc>
          <w:tcPr>
            <w:tcW w:w="2878" w:type="dxa"/>
          </w:tcPr>
          <w:p w14:paraId="066FDFE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首字响应时间，从请求发起到前端收到第一帧文本内容的时间指标。</w:t>
            </w:r>
          </w:p>
        </w:tc>
      </w:tr>
      <w:tr w14:paraId="0762E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44A7EF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Viseme</w:t>
            </w:r>
          </w:p>
        </w:tc>
        <w:tc>
          <w:tcPr>
            <w:tcW w:w="2878" w:type="dxa"/>
          </w:tcPr>
          <w:p w14:paraId="0B2FC5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Visual Phoneme</w:t>
            </w:r>
          </w:p>
        </w:tc>
        <w:tc>
          <w:tcPr>
            <w:tcW w:w="2878" w:type="dxa"/>
          </w:tcPr>
          <w:p w14:paraId="1FFDC5D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视觉音素/口型帧，用于根据语音驱动数字人的嘴型变化。</w:t>
            </w:r>
          </w:p>
        </w:tc>
      </w:tr>
      <w:tr w14:paraId="354F7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B27D8C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VAD</w:t>
            </w:r>
          </w:p>
        </w:tc>
        <w:tc>
          <w:tcPr>
            <w:tcW w:w="2878" w:type="dxa"/>
          </w:tcPr>
          <w:p w14:paraId="6AC160F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Voice Activity Detection</w:t>
            </w:r>
          </w:p>
        </w:tc>
        <w:tc>
          <w:tcPr>
            <w:tcW w:w="2878" w:type="dxa"/>
          </w:tcPr>
          <w:p w14:paraId="1EDFF19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语音活动检测，用于判断游客何时开始或结束说话。</w:t>
            </w:r>
          </w:p>
        </w:tc>
      </w:tr>
      <w:tr w14:paraId="584DF4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379265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POI</w:t>
            </w:r>
          </w:p>
        </w:tc>
        <w:tc>
          <w:tcPr>
            <w:tcW w:w="2878" w:type="dxa"/>
          </w:tcPr>
          <w:p w14:paraId="73B4CDF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Point of Interest</w:t>
            </w:r>
          </w:p>
        </w:tc>
        <w:tc>
          <w:tcPr>
            <w:tcW w:w="2878" w:type="dxa"/>
          </w:tcPr>
          <w:p w14:paraId="0858FAB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兴趣点，如景区中的景点、服务设施、地标等位置对象。</w:t>
            </w:r>
          </w:p>
        </w:tc>
      </w:tr>
      <w:tr w14:paraId="282E80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CA8AD8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sessionId</w:t>
            </w:r>
          </w:p>
        </w:tc>
        <w:tc>
          <w:tcPr>
            <w:tcW w:w="2878" w:type="dxa"/>
          </w:tcPr>
          <w:p w14:paraId="51C3E37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Session Identifier</w:t>
            </w:r>
          </w:p>
        </w:tc>
        <w:tc>
          <w:tcPr>
            <w:tcW w:w="2878" w:type="dxa"/>
          </w:tcPr>
          <w:p w14:paraId="76BAF1F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一次对话会话的唯一标识；属于后续会话恢复与数据追踪的规划字段，当前 chat 路由尚未接收或返回。</w:t>
            </w:r>
          </w:p>
        </w:tc>
      </w:tr>
      <w:tr w14:paraId="0621A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B5137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task_id</w:t>
            </w:r>
          </w:p>
        </w:tc>
        <w:tc>
          <w:tcPr>
            <w:tcW w:w="2878" w:type="dxa"/>
          </w:tcPr>
          <w:p w14:paraId="63CA804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Task Identifier</w:t>
            </w:r>
          </w:p>
        </w:tc>
        <w:tc>
          <w:tcPr>
            <w:tcW w:w="2878" w:type="dxa"/>
          </w:tcPr>
          <w:p w14:paraId="1A1C78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异步知识库处理任务的唯一标识；属于知识库进度接口规划字段，当前仓库尚未实现该接口。</w:t>
            </w:r>
          </w:p>
        </w:tc>
      </w:tr>
      <w:tr w14:paraId="62F67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B6D5E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RAGFlow</w:t>
            </w:r>
          </w:p>
        </w:tc>
        <w:tc>
          <w:tcPr>
            <w:tcW w:w="2878" w:type="dxa"/>
          </w:tcPr>
          <w:p w14:paraId="2AA3BCA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RAGFlow</w:t>
            </w:r>
          </w:p>
        </w:tc>
        <w:tc>
          <w:tcPr>
            <w:tcW w:w="2878" w:type="dxa"/>
          </w:tcPr>
          <w:p w14:paraId="58E5BA7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开源 RAG 引擎/知识库处理工具，本项目参考其文档与相关工程思路。</w:t>
            </w:r>
          </w:p>
        </w:tc>
      </w:tr>
    </w:tbl>
    <w:p w14:paraId="58D78376">
      <w:pPr>
        <w:spacing w:before="160" w:after="120" w:line="360" w:lineRule="auto"/>
        <w:jc w:val="left"/>
        <w:outlineLvl w:val="1"/>
      </w:pPr>
      <w:bookmarkStart w:id="6" w:name="_Toc24924"/>
      <w:r>
        <w:rPr>
          <w:rFonts w:ascii="Times New Roman" w:hAnsi="Times New Roman" w:eastAsia="黑体"/>
          <w:b/>
          <w:sz w:val="28"/>
        </w:rPr>
        <w:t>1.4 参考资料</w:t>
      </w:r>
      <w:bookmarkEnd w:id="6"/>
    </w:p>
    <w:p w14:paraId="062477C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《GB/T 8567-2006 计算机软件文档编制规范》</w:t>
      </w:r>
    </w:p>
    <w:p w14:paraId="5496A0F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WHATWG HTML Living Standard：Server-sent events（SSE）</w:t>
      </w:r>
    </w:p>
    <w:p w14:paraId="5DBCD23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Express 官方文档：https://expressjs.com</w:t>
      </w:r>
    </w:p>
    <w:p w14:paraId="36BB121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RAGFlow 开源项目文档</w:t>
      </w:r>
    </w:p>
    <w:p w14:paraId="3A57A7B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Qwen-14B / DashScope API 相关文档（用于后续大模型能力接入时参考）</w:t>
      </w:r>
    </w:p>
    <w:p w14:paraId="04B0267E">
      <w:pPr>
        <w:spacing w:before="240" w:after="240" w:line="360" w:lineRule="auto"/>
        <w:jc w:val="center"/>
        <w:outlineLvl w:val="0"/>
      </w:pPr>
      <w:bookmarkStart w:id="7" w:name="_Toc26523"/>
      <w:r>
        <w:rPr>
          <w:rFonts w:ascii="Times New Roman" w:hAnsi="Times New Roman" w:eastAsia="黑体"/>
          <w:b/>
          <w:sz w:val="32"/>
        </w:rPr>
        <w:t>第2章 总体描述</w:t>
      </w:r>
      <w:bookmarkEnd w:id="7"/>
    </w:p>
    <w:p w14:paraId="257B07FD">
      <w:pPr>
        <w:spacing w:before="160" w:after="120" w:line="360" w:lineRule="auto"/>
        <w:jc w:val="left"/>
        <w:outlineLvl w:val="1"/>
      </w:pPr>
      <w:bookmarkStart w:id="8" w:name="_Toc10554"/>
      <w:r>
        <w:rPr>
          <w:rFonts w:ascii="Times New Roman" w:hAnsi="Times New Roman" w:eastAsia="黑体"/>
          <w:b/>
          <w:sz w:val="28"/>
        </w:rPr>
        <w:t>2.1 产品前景</w:t>
      </w:r>
      <w:bookmarkEnd w:id="8"/>
    </w:p>
    <w:p w14:paraId="4E00DB2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用户无需下载App，通过微信扫码或浏览器即可访问。数字人提供亲切的交互体验，支持语音输入和文本输入两种方式，回答以语音、表情、口型同步的方式呈现。系统可根据游客兴趣（如"对历史感兴趣"或"喜欢自然风光"）推荐不同游览路线和讲解重点。</w:t>
      </w:r>
    </w:p>
    <w:p w14:paraId="7DA3806F">
      <w:pPr>
        <w:spacing w:before="160" w:after="120" w:line="360" w:lineRule="auto"/>
        <w:jc w:val="left"/>
        <w:outlineLvl w:val="1"/>
      </w:pPr>
      <w:bookmarkStart w:id="9" w:name="_Toc309"/>
      <w:r>
        <w:rPr>
          <w:rFonts w:ascii="Times New Roman" w:hAnsi="Times New Roman" w:eastAsia="黑体"/>
          <w:b/>
          <w:sz w:val="28"/>
        </w:rPr>
        <w:t>2.2 用户特征</w:t>
      </w:r>
      <w:bookmarkEnd w:id="9"/>
    </w:p>
    <w:p w14:paraId="074E03B5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2.1 用户特征表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31E7C6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4472C4"/>
          </w:tcPr>
          <w:p w14:paraId="48DE86FD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用户类型</w:t>
            </w:r>
          </w:p>
        </w:tc>
        <w:tc>
          <w:tcPr>
            <w:tcW w:w="2878" w:type="dxa"/>
            <w:shd w:val="clear" w:color="auto" w:fill="4472C4"/>
          </w:tcPr>
          <w:p w14:paraId="359ECE51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特征</w:t>
            </w:r>
          </w:p>
        </w:tc>
        <w:tc>
          <w:tcPr>
            <w:tcW w:w="2878" w:type="dxa"/>
            <w:shd w:val="clear" w:color="auto" w:fill="4472C4"/>
          </w:tcPr>
          <w:p w14:paraId="1BCD1AC4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核心需求</w:t>
            </w:r>
          </w:p>
        </w:tc>
      </w:tr>
      <w:tr w14:paraId="5691D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3E424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普通游客（核心）</w:t>
            </w:r>
          </w:p>
        </w:tc>
        <w:tc>
          <w:tcPr>
            <w:tcW w:w="2878" w:type="dxa"/>
          </w:tcPr>
          <w:p w14:paraId="2F45E66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年龄跨度大，可能不熟悉App操作</w:t>
            </w:r>
          </w:p>
        </w:tc>
        <w:tc>
          <w:tcPr>
            <w:tcW w:w="2878" w:type="dxa"/>
          </w:tcPr>
          <w:p w14:paraId="3A31881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扫码即用、语音问答、路线推荐、聆听讲解</w:t>
            </w:r>
          </w:p>
        </w:tc>
      </w:tr>
      <w:tr w14:paraId="2D53D8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937AC1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景区管理员（后台）</w:t>
            </w:r>
          </w:p>
        </w:tc>
        <w:tc>
          <w:tcPr>
            <w:tcW w:w="2878" w:type="dxa"/>
          </w:tcPr>
          <w:p w14:paraId="53F2514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具备基础计算机操作能力</w:t>
            </w:r>
          </w:p>
        </w:tc>
        <w:tc>
          <w:tcPr>
            <w:tcW w:w="2878" w:type="dxa"/>
          </w:tcPr>
          <w:p w14:paraId="25F2A3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上传/更新知识库文档、配置数字人形象、查看游客感受度报告、查看数据大屏</w:t>
            </w:r>
          </w:p>
        </w:tc>
      </w:tr>
    </w:tbl>
    <w:p w14:paraId="0054B109">
      <w:pPr>
        <w:spacing w:before="160" w:after="120" w:line="360" w:lineRule="auto"/>
        <w:jc w:val="left"/>
        <w:outlineLvl w:val="1"/>
      </w:pPr>
      <w:bookmarkStart w:id="10" w:name="_Toc5361"/>
      <w:r>
        <w:rPr>
          <w:rFonts w:ascii="Times New Roman" w:hAnsi="Times New Roman" w:eastAsia="黑体"/>
          <w:b/>
          <w:sz w:val="28"/>
        </w:rPr>
        <w:t>2.3 运行环境</w:t>
      </w:r>
      <w:bookmarkEnd w:id="10"/>
    </w:p>
    <w:p w14:paraId="3E534CC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前端：Chrome / Safari / Edge（移动端 + PC端浏览器）</w:t>
      </w:r>
    </w:p>
    <w:p w14:paraId="0994649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后端：Node.js + Express + TypeScript运行环境，Docker容器化部署</w:t>
      </w:r>
    </w:p>
    <w:p w14:paraId="22E2C2A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通信：HTTP + SSE（Server-Sent Events）</w:t>
      </w:r>
    </w:p>
    <w:p w14:paraId="23B20EC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AI服务：本地部署或云端API（大模型、TTS、ASR）</w:t>
      </w:r>
    </w:p>
    <w:p w14:paraId="0813AF85">
      <w:pPr>
        <w:spacing w:before="160" w:after="120" w:line="360" w:lineRule="auto"/>
        <w:jc w:val="left"/>
        <w:outlineLvl w:val="1"/>
      </w:pPr>
      <w:bookmarkStart w:id="11" w:name="_Toc28713"/>
      <w:r>
        <w:rPr>
          <w:rFonts w:ascii="Times New Roman" w:hAnsi="Times New Roman" w:eastAsia="黑体"/>
          <w:b/>
          <w:sz w:val="28"/>
        </w:rPr>
        <w:t>2.4 设计与实现约束</w:t>
      </w:r>
      <w:bookmarkEnd w:id="11"/>
    </w:p>
    <w:p w14:paraId="04C97E9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性能约束：语音问答端到端延迟&lt;5秒，文字首字延迟（TTFT）&lt;1.5秒</w:t>
      </w:r>
    </w:p>
    <w:p w14:paraId="64361A1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通信约束：内部通信必须采用SSE流式传输，禁止使用轮询</w:t>
      </w:r>
    </w:p>
    <w:p w14:paraId="29F0CB0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准确率约束：景区事实性问答准确率≥90%（由评审专家基于标准测试集评测）</w:t>
      </w:r>
    </w:p>
    <w:p w14:paraId="168AB9F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稳定性约束：系统不应出现崩溃或长时间无响应，SSE必须支持断线重连</w:t>
      </w:r>
    </w:p>
    <w:p w14:paraId="6F081C2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兼容性约束：必须兼容主流移动端浏览器</w:t>
      </w:r>
    </w:p>
    <w:p w14:paraId="1CC0A9E7">
      <w:pPr>
        <w:spacing w:before="240" w:after="240" w:line="360" w:lineRule="auto"/>
        <w:jc w:val="center"/>
        <w:outlineLvl w:val="0"/>
      </w:pPr>
      <w:bookmarkStart w:id="12" w:name="_Toc7914"/>
      <w:r>
        <w:rPr>
          <w:rFonts w:ascii="Times New Roman" w:hAnsi="Times New Roman" w:eastAsia="黑体"/>
          <w:b/>
          <w:sz w:val="32"/>
        </w:rPr>
        <w:t>第3章 功能需求</w:t>
      </w:r>
      <w:bookmarkEnd w:id="12"/>
    </w:p>
    <w:p w14:paraId="560889FD">
      <w:pPr>
        <w:spacing w:before="160" w:after="120" w:line="360" w:lineRule="auto"/>
        <w:jc w:val="left"/>
        <w:outlineLvl w:val="1"/>
      </w:pPr>
      <w:bookmarkStart w:id="13" w:name="_Toc1628"/>
      <w:r>
        <w:rPr>
          <w:rFonts w:ascii="Times New Roman" w:hAnsi="Times New Roman" w:eastAsia="黑体"/>
          <w:b/>
          <w:sz w:val="28"/>
        </w:rPr>
        <w:t>3.1 系统功能架构图</w:t>
      </w:r>
      <w:bookmarkEnd w:id="13"/>
    </w:p>
    <w:p w14:paraId="40F9471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系统采用四层架构，从上到下分别为：用户层、业务逻辑层、AI服务层、基础设施层。</w:t>
      </w:r>
    </w:p>
    <w:p w14:paraId="44CCC27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第一层：用户层 包括游客端Web和管理员后台Web。游客通过移动端或PC端浏览器扫码进入系统，管理员通过后台Web进行系统管理。</w:t>
      </w:r>
    </w:p>
    <w:p w14:paraId="4B58C39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第二层：业务功能层 系统包含四个核心业务子系统：</w:t>
      </w:r>
    </w:p>
    <w:p w14:paraId="217CEDA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（1）智能语音问答子系统 负责游客语音提问、语音识别、知识库检索、大模型回答、文字展示及语音播报。</w:t>
      </w:r>
    </w:p>
    <w:p w14:paraId="0C41ED0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（2）景区导览与路线推荐子系统 负责景区地图展示、景点POI信息查看、游客兴趣分析以及个性化路线生成。</w:t>
      </w:r>
    </w:p>
    <w:p w14:paraId="0E1EA70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（3）数字人形象与状态管理子系统 负责数字人的形象展示、待机、倾听、思考、播报等状态切换，以及语音、表情和口型的同步控制。</w:t>
      </w:r>
    </w:p>
    <w:p w14:paraId="12ED0D8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（4）后台管理子系统 负责管理员登录、知识库上传与更新、问答日志查看、数据统计以及数字人相关配置。</w:t>
      </w:r>
    </w:p>
    <w:p w14:paraId="39A3AF0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SSE连接管理属于系统通信支撑能力，不作为独立业务子系统。</w:t>
      </w:r>
    </w:p>
    <w:p w14:paraId="5847631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第三层：AI服务层 包括：</w:t>
      </w:r>
    </w:p>
    <w:p w14:paraId="398750A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（1）ASR/STT语音识别服务；</w:t>
      </w:r>
    </w:p>
    <w:p w14:paraId="3FFE8A5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（2）RAG知识库检索服务；</w:t>
      </w:r>
    </w:p>
    <w:p w14:paraId="4E66D29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（3）LLM大模型服务；</w:t>
      </w:r>
    </w:p>
    <w:p w14:paraId="2F50CA3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（4）TTS语音合成服务。</w:t>
      </w:r>
    </w:p>
    <w:p w14:paraId="537E19A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AI服务层负责为四个业务子系统提供智能化能力。</w:t>
      </w:r>
    </w:p>
    <w:p w14:paraId="7987AC7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第四层：基础设施层 包括：</w:t>
      </w:r>
    </w:p>
    <w:p w14:paraId="26B1986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（1）向量数据库；</w:t>
      </w:r>
    </w:p>
    <w:p w14:paraId="312FA09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（2）业务数据库；</w:t>
      </w:r>
    </w:p>
    <w:p w14:paraId="0DECE2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（3）日志系统；</w:t>
      </w:r>
    </w:p>
    <w:p w14:paraId="3BA128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（4）监控与告警；</w:t>
      </w:r>
    </w:p>
    <w:p w14:paraId="4566ADA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（5）Docker容器化部署；</w:t>
      </w:r>
    </w:p>
    <w:p w14:paraId="3FB86C3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（6）SSE通信基础能力。</w:t>
      </w:r>
    </w:p>
    <w:p w14:paraId="593B37E5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各层之间通过 HTTP、SSE 等协议进行数据通信。其中当前仓库已经落地的游客核心流式接口为 POST /api/v1/chat/stream，后端以 text/event-stream 持续推送 JSON 数据帧；当前实现实际只有文字流和结束帧，ASR、TTS、音频/口型帧属于后续接入范围。</w:t>
      </w:r>
    </w:p>
    <w:p w14:paraId="0B265D45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88865" cy="3195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2347" b="10349"/>
                    <a:stretch>
                      <a:fillRect/>
                    </a:stretch>
                  </pic:blipFill>
                  <pic:spPr>
                    <a:xfrm>
                      <a:off x="0" y="0"/>
                      <a:ext cx="488886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14F7">
      <w:pPr>
        <w:spacing w:before="0" w:after="0" w:line="360" w:lineRule="auto"/>
        <w:jc w:val="center"/>
        <w:rPr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  <w:szCs w:val="21"/>
        </w:rPr>
        <w:t>图 3.1 系统功能架构图</w:t>
      </w:r>
    </w:p>
    <w:p w14:paraId="36E0DEF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架构图说明：</w:t>
      </w:r>
    </w:p>
    <w:p w14:paraId="1A6EA76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用户层（蓝色）：游客端Web（移动/PC）和管理后台Web（PC），是用户与系统交互的入口</w:t>
      </w:r>
    </w:p>
    <w:p w14:paraId="1AD2F48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业务逻辑层（绿色）：包含智能语音问答、导览与路线推荐、数字人状态管理、后台管理、数据洞察、SSE连接管理等六个核心子系统</w:t>
      </w:r>
    </w:p>
    <w:p w14:paraId="44D4780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AI服务层（橙色）：提供大模型(LLM)、RAG检索、TTS合成、ASR识别四大AI核心能力</w:t>
      </w:r>
    </w:p>
    <w:p w14:paraId="206EF3A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基础设施层（灰色）：包含向量库(Milvus)、日志系统、监控告警、Docker部署等底层支撑</w:t>
      </w:r>
    </w:p>
    <w:p w14:paraId="0D7CEF9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层间箭头标注了通信协议：用户层到业务层使用HTTP/SSE，业务层调用AI服务层，AI服务层读写基础设施层</w:t>
      </w:r>
    </w:p>
    <w:p w14:paraId="26A8F828">
      <w:pPr>
        <w:spacing w:before="160" w:after="120" w:line="360" w:lineRule="auto"/>
        <w:jc w:val="left"/>
        <w:outlineLvl w:val="1"/>
      </w:pPr>
      <w:bookmarkStart w:id="14" w:name="_Toc5651"/>
      <w:r>
        <w:rPr>
          <w:rFonts w:ascii="Times New Roman" w:hAnsi="Times New Roman" w:eastAsia="黑体"/>
          <w:b/>
          <w:sz w:val="28"/>
        </w:rPr>
        <w:t>3.2 功能子图</w:t>
      </w:r>
      <w:bookmarkEnd w:id="14"/>
    </w:p>
    <w:p w14:paraId="6FB33FE2">
      <w:pPr>
        <w:spacing w:before="120" w:after="80" w:line="360" w:lineRule="auto"/>
        <w:jc w:val="left"/>
        <w:outlineLvl w:val="2"/>
      </w:pPr>
      <w:bookmarkStart w:id="15" w:name="_Toc28986"/>
      <w:r>
        <w:rPr>
          <w:rFonts w:ascii="Times New Roman" w:hAnsi="Times New Roman" w:eastAsia="黑体"/>
          <w:b/>
          <w:sz w:val="24"/>
        </w:rPr>
        <w:t>3.2.1 智能语音问答</w:t>
      </w:r>
      <w:bookmarkEnd w:id="15"/>
    </w:p>
    <w:p w14:paraId="256C01A3">
      <w:pPr>
        <w:spacing w:before="0" w:after="0"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017645" cy="4536440"/>
            <wp:effectExtent l="0" t="0" r="8255" b="10160"/>
            <wp:docPr id="8" name="图片 8" descr="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lantUML"/>
                    <pic:cNvPicPr>
                      <a:picLocks noChangeAspect="1"/>
                    </pic:cNvPicPr>
                  </pic:nvPicPr>
                  <pic:blipFill>
                    <a:blip r:embed="rId7"/>
                    <a:srcRect t="3981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50A3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3.2 智能语音问答子系统功能子图</w:t>
      </w:r>
    </w:p>
    <w:p w14:paraId="30EC062C">
      <w:pPr>
        <w:spacing w:before="120" w:after="80" w:line="360" w:lineRule="auto"/>
        <w:jc w:val="left"/>
        <w:outlineLvl w:val="2"/>
      </w:pPr>
      <w:bookmarkStart w:id="16" w:name="_Toc27538"/>
      <w:r>
        <w:rPr>
          <w:rFonts w:ascii="Times New Roman" w:hAnsi="Times New Roman" w:eastAsia="黑体"/>
          <w:b/>
          <w:sz w:val="24"/>
        </w:rPr>
        <w:t>3.2.2 景区导览与路线推荐子系统</w:t>
      </w:r>
      <w:bookmarkEnd w:id="16"/>
    </w:p>
    <w:p w14:paraId="461A1B89">
      <w:pPr>
        <w:spacing w:before="0" w:after="0"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996055" cy="4275455"/>
            <wp:effectExtent l="0" t="0" r="4445" b="4445"/>
            <wp:docPr id="6" name="图片 6" descr="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lantUML"/>
                    <pic:cNvPicPr>
                      <a:picLocks noChangeAspect="1"/>
                    </pic:cNvPicPr>
                  </pic:nvPicPr>
                  <pic:blipFill>
                    <a:blip r:embed="rId8"/>
                    <a:srcRect t="4790" r="-441"/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EF91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3.3 景区导览与路线推荐子系统功能子图</w:t>
      </w:r>
    </w:p>
    <w:p w14:paraId="3C1AFF5D">
      <w:pPr>
        <w:spacing w:before="120" w:after="80" w:line="360" w:lineRule="auto"/>
        <w:jc w:val="left"/>
        <w:outlineLvl w:val="2"/>
      </w:pPr>
      <w:bookmarkStart w:id="17" w:name="_Toc6413"/>
      <w:r>
        <w:rPr>
          <w:rFonts w:ascii="Times New Roman" w:hAnsi="Times New Roman" w:eastAsia="黑体"/>
          <w:b/>
          <w:sz w:val="24"/>
        </w:rPr>
        <w:t>3.2.3 数字人形象与状态管理子系统</w:t>
      </w:r>
      <w:bookmarkEnd w:id="17"/>
    </w:p>
    <w:p w14:paraId="760695D5">
      <w:pPr>
        <w:spacing w:before="0" w:after="0"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100830" cy="2699385"/>
            <wp:effectExtent l="0" t="0" r="1270" b="5715"/>
            <wp:docPr id="9" name="图片 9" descr="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lantUML"/>
                    <pic:cNvPicPr>
                      <a:picLocks noChangeAspect="1"/>
                    </pic:cNvPicPr>
                  </pic:nvPicPr>
                  <pic:blipFill>
                    <a:blip r:embed="rId9"/>
                    <a:srcRect t="4636"/>
                    <a:stretch>
                      <a:fillRect/>
                    </a:stretch>
                  </pic:blipFill>
                  <pic:spPr>
                    <a:xfrm>
                      <a:off x="0" y="0"/>
                      <a:ext cx="410083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56C4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3.4 数字人形象与状态管理子系统功能子图</w:t>
      </w:r>
    </w:p>
    <w:p w14:paraId="062655B9">
      <w:pPr>
        <w:spacing w:before="120" w:after="80" w:line="360" w:lineRule="auto"/>
        <w:jc w:val="left"/>
        <w:outlineLvl w:val="2"/>
      </w:pPr>
      <w:bookmarkStart w:id="18" w:name="_Toc15173"/>
      <w:r>
        <w:rPr>
          <w:rFonts w:ascii="Times New Roman" w:hAnsi="Times New Roman" w:eastAsia="黑体"/>
          <w:b/>
          <w:sz w:val="24"/>
        </w:rPr>
        <w:t>3.2.4 后台管理子系统</w:t>
      </w:r>
      <w:bookmarkEnd w:id="18"/>
    </w:p>
    <w:p w14:paraId="0998FCE3">
      <w:pPr>
        <w:spacing w:before="0" w:after="0" w:line="360" w:lineRule="auto"/>
        <w:jc w:val="center"/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01310" cy="2342515"/>
            <wp:effectExtent l="0" t="0" r="8890" b="6985"/>
            <wp:docPr id="10" name="图片 10" descr="Plant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lantUML"/>
                    <pic:cNvPicPr>
                      <a:picLocks noChangeAspect="1"/>
                    </pic:cNvPicPr>
                  </pic:nvPicPr>
                  <pic:blipFill>
                    <a:blip r:embed="rId10"/>
                    <a:srcRect t="4007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sz w:val="24"/>
        </w:rPr>
        <w:t>图 3.5 后台管理子系统功能子图</w:t>
      </w:r>
    </w:p>
    <w:p w14:paraId="0F5B3B14">
      <w:pPr>
        <w:spacing w:before="160" w:after="120" w:line="360" w:lineRule="auto"/>
        <w:jc w:val="left"/>
        <w:outlineLvl w:val="1"/>
      </w:pPr>
      <w:bookmarkStart w:id="19" w:name="_Toc5138"/>
      <w:r>
        <w:rPr>
          <w:rFonts w:ascii="Times New Roman" w:hAnsi="Times New Roman" w:eastAsia="黑体"/>
          <w:b/>
          <w:sz w:val="28"/>
        </w:rPr>
        <w:t>3.3 用例图</w:t>
      </w:r>
      <w:bookmarkEnd w:id="19"/>
    </w:p>
    <w:p w14:paraId="356E4DF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系统包含两个参与者：游客和管理员。各用例及其关系如下：</w:t>
      </w:r>
    </w:p>
    <w:p w14:paraId="32B79290">
      <w:pPr>
        <w:spacing w:before="0" w:after="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861435" cy="2472055"/>
            <wp:effectExtent l="0" t="0" r="1206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FC17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3.6 用例图</w:t>
      </w:r>
    </w:p>
    <w:p w14:paraId="5096492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用例关系说明：</w:t>
      </w:r>
    </w:p>
    <w:p w14:paraId="521A1595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3.1 用例关系表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6B133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4472C4"/>
          </w:tcPr>
          <w:p w14:paraId="4488CCD3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关系</w:t>
            </w:r>
          </w:p>
        </w:tc>
        <w:tc>
          <w:tcPr>
            <w:tcW w:w="4317" w:type="dxa"/>
            <w:shd w:val="clear" w:color="auto" w:fill="4472C4"/>
          </w:tcPr>
          <w:p w14:paraId="3D51A1EC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</w:tr>
      <w:tr w14:paraId="558E0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89BC60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Include（包含）</w:t>
            </w:r>
          </w:p>
        </w:tc>
        <w:tc>
          <w:tcPr>
            <w:tcW w:w="4317" w:type="dxa"/>
          </w:tcPr>
          <w:p w14:paraId="2777146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"语音提问" Include "语音识别(ASR)"——每次语音提问必然执行ASR</w:t>
            </w:r>
          </w:p>
        </w:tc>
      </w:tr>
      <w:tr w14:paraId="79B8B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CB8A5D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Extend（扩展）</w:t>
            </w:r>
          </w:p>
        </w:tc>
        <w:tc>
          <w:tcPr>
            <w:tcW w:w="4317" w:type="dxa"/>
          </w:tcPr>
          <w:p w14:paraId="6BE3054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"收听语音播报" Extend "断线重连"——正常情况不触发，网络异常时才扩展</w:t>
            </w:r>
          </w:p>
        </w:tc>
      </w:tr>
    </w:tbl>
    <w:p w14:paraId="23DBE04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用例详细说明：</w:t>
      </w:r>
    </w:p>
    <w:p w14:paraId="508CB7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游客用例：扫码进入、语音提问、查看文字回答、收听语音播报、查看推荐路线</w:t>
      </w:r>
    </w:p>
    <w:p w14:paraId="1BC1B3C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管理员用例：登录后台、上传知识库文档、查看问答日志、查看数据大屏</w:t>
      </w:r>
    </w:p>
    <w:p w14:paraId="0061508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扩展用例：断线重连（仅在语音播报过程中网络异常时触发）</w:t>
      </w:r>
    </w:p>
    <w:p w14:paraId="79BA22B3">
      <w:pPr>
        <w:spacing w:before="160" w:after="120" w:line="360" w:lineRule="auto"/>
        <w:jc w:val="left"/>
        <w:outlineLvl w:val="1"/>
      </w:pPr>
      <w:bookmarkStart w:id="20" w:name="_Toc19711"/>
      <w:r>
        <w:rPr>
          <w:rFonts w:ascii="Times New Roman" w:hAnsi="Times New Roman" w:eastAsia="黑体"/>
          <w:b/>
          <w:sz w:val="28"/>
        </w:rPr>
        <w:t>3.4 核心用例详细描述</w:t>
      </w:r>
      <w:bookmarkEnd w:id="20"/>
    </w:p>
    <w:p w14:paraId="7ECBB14D"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4"/>
        </w:rPr>
        <w:t>用例1：游客发起语音问答</w:t>
      </w:r>
    </w:p>
    <w:p w14:paraId="5AFDA32E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3.2 游客发起语音问答用例详情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0ACFA4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4472C4"/>
          </w:tcPr>
          <w:p w14:paraId="6E60E367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w="4317" w:type="dxa"/>
            <w:shd w:val="clear" w:color="auto" w:fill="4472C4"/>
          </w:tcPr>
          <w:p w14:paraId="4CC5274F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</w:tr>
      <w:tr w14:paraId="461D9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5DC7BD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4317" w:type="dxa"/>
          </w:tcPr>
          <w:p w14:paraId="7B489DE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游客发起语音问答</w:t>
            </w:r>
          </w:p>
        </w:tc>
      </w:tr>
      <w:tr w14:paraId="3EF1BA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766896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4317" w:type="dxa"/>
          </w:tcPr>
          <w:p w14:paraId="5465022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游客（主）、AI数字人系统</w:t>
            </w:r>
          </w:p>
        </w:tc>
      </w:tr>
      <w:tr w14:paraId="138F3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38318E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4317" w:type="dxa"/>
          </w:tcPr>
          <w:p w14:paraId="0E3F997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游客已扫码进入页面，麦克风权限已授权；发起问答后建立该次 POST 请求对应的 SSE 响应流。</w:t>
            </w:r>
          </w:p>
        </w:tc>
      </w:tr>
      <w:tr w14:paraId="0D0F3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5D45C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4317" w:type="dxa"/>
          </w:tcPr>
          <w:p w14:paraId="1E7088C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游客听到数字人语音回答，看到文字答案和引用来源</w:t>
            </w:r>
          </w:p>
        </w:tc>
      </w:tr>
    </w:tbl>
    <w:p w14:paraId="029B800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主流程：</w:t>
      </w:r>
    </w:p>
    <w:p w14:paraId="24A1409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游客点击"按住说话"按钮，开始录音</w:t>
      </w:r>
    </w:p>
    <w:p w14:paraId="527D970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系统通过VAD（静音检测）自动判断游客说完，结束录音</w:t>
      </w:r>
    </w:p>
    <w:p w14:paraId="37690EC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目标语音链路可先通过 POST /api/asr 上传音频并转写文本；该接口当前仓库尚未实现。</w:t>
      </w:r>
    </w:p>
    <w:p w14:paraId="34FE20F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当前已实现的文本提问入口为 POST /api/v1/chat/stream，请求体字段为 message；/api/qa/ask 当前仓库尚未实现。</w:t>
      </w:r>
    </w:p>
    <w:p w14:paraId="0B96D84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目标架构中后端 RAG 检索应控制在 500ms 内；当前仓库尚未接入 RAG 服务，该指标属于后续验收目标。</w:t>
      </w:r>
    </w:p>
    <w:p w14:paraId="3B6F565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6. 目标接入大模型后，答案可按增量方式经 SSE 推送；当前仓库用逐字模拟文本流验证该传输链路。</w:t>
      </w:r>
    </w:p>
    <w:p w14:paraId="522C551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7. 目标接入 TTS 后再扩展 audio/viseme 数据帧；当前仓库未实现 TTS、音频 Base64 与口型帧。</w:t>
      </w:r>
    </w:p>
    <w:p w14:paraId="79EC86D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8. 当前接口为 POST + SSE，因此前端应使用 fetch 读取 Response.body 中的 SSE 帧；原生 EventSource 仅支持 GET。音频播放与口型同步属于后续实现。</w:t>
      </w:r>
    </w:p>
    <w:p w14:paraId="7D47779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9. 当前实现完成后发送 data: {"type":"done"} 并结束响应，不发送命名 event 字段。</w:t>
      </w:r>
    </w:p>
    <w:p w14:paraId="759DB3A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异常流程：</w:t>
      </w:r>
    </w:p>
    <w:p w14:paraId="2DE8380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网络断开：当前后端可检测 req.close 并清理定时器，但尚未实现 sessionId 恢复、Last-Event-ID 续传和指数退避重连；这些属于可靠性目标。</w:t>
      </w:r>
    </w:p>
    <w:p w14:paraId="4A02349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ASR识别失败：提示"没听清，请再说一遍"，回到步骤1</w:t>
      </w:r>
    </w:p>
    <w:p w14:paraId="109151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RAG检索无结果：数字人礼貌拒答"我暂时没有相关信息"，不编造</w:t>
      </w:r>
    </w:p>
    <w:p w14:paraId="5CA57302">
      <w:pPr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24"/>
        </w:rPr>
        <w:t>用例2：管理员更新知识库</w:t>
      </w:r>
    </w:p>
    <w:p w14:paraId="75C9B02B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3.3 管理员更新知识库用例详情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A394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4472C4"/>
          </w:tcPr>
          <w:p w14:paraId="7E3CB7CE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w="4317" w:type="dxa"/>
            <w:shd w:val="clear" w:color="auto" w:fill="4472C4"/>
          </w:tcPr>
          <w:p w14:paraId="3F1ACB1D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</w:tr>
      <w:tr w14:paraId="6B3BA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50D153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w="4317" w:type="dxa"/>
          </w:tcPr>
          <w:p w14:paraId="175857C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管理员更新知识库</w:t>
            </w:r>
          </w:p>
        </w:tc>
      </w:tr>
      <w:tr w14:paraId="1FB3F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DB6AA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w="4317" w:type="dxa"/>
          </w:tcPr>
          <w:p w14:paraId="5DFAEE1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管理员（主）、知识库子系统</w:t>
            </w:r>
          </w:p>
        </w:tc>
      </w:tr>
      <w:tr w14:paraId="6EFBF4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72B42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w="4317" w:type="dxa"/>
          </w:tcPr>
          <w:p w14:paraId="1CD9019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管理员已登录后台，进入知识库管理页</w:t>
            </w:r>
          </w:p>
        </w:tc>
      </w:tr>
      <w:tr w14:paraId="5647D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1BDC21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w="4317" w:type="dxa"/>
          </w:tcPr>
          <w:p w14:paraId="4133110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新文档解析完成，向量化入库，数字人可立即回答新内容</w:t>
            </w:r>
          </w:p>
        </w:tc>
      </w:tr>
    </w:tbl>
    <w:p w14:paraId="4EBF68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主流程：</w:t>
      </w:r>
    </w:p>
    <w:p w14:paraId="0691C5E1">
      <w:pPr>
        <w:spacing w:before="0" w:after="0" w:line="360" w:lineRule="auto"/>
        <w:ind w:firstLine="480"/>
        <w:jc w:val="both"/>
        <w:outlineLvl w:val="2"/>
      </w:pPr>
      <w:bookmarkStart w:id="21" w:name="_Toc4914"/>
      <w:r>
        <w:rPr>
          <w:rFonts w:ascii="Times New Roman" w:hAnsi="Times New Roman" w:eastAsia="宋体"/>
          <w:b w:val="0"/>
          <w:sz w:val="24"/>
        </w:rPr>
        <w:t>1. 管理员拖拽上传PDF/Word/TXT文档</w:t>
      </w:r>
      <w:bookmarkEnd w:id="21"/>
    </w:p>
    <w:p w14:paraId="144906F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前端POST /api/kb/upload，后端立即返回task_id（不等待解析完成）</w:t>
      </w:r>
    </w:p>
    <w:p w14:paraId="1D38675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前端EventSource连接GET /api/kb/progress/:task_id</w:t>
      </w:r>
    </w:p>
    <w:p w14:paraId="67CD8213">
      <w:pPr>
        <w:spacing w:before="0" w:after="0" w:line="360" w:lineRule="auto"/>
        <w:ind w:firstLine="480"/>
        <w:jc w:val="both"/>
        <w:outlineLvl w:val="2"/>
      </w:pPr>
      <w:bookmarkStart w:id="22" w:name="_Toc31962"/>
      <w:r>
        <w:rPr>
          <w:rFonts w:ascii="Times New Roman" w:hAnsi="Times New Roman" w:eastAsia="宋体"/>
          <w:b w:val="0"/>
          <w:sz w:val="24"/>
        </w:rPr>
        <w:t>4. 后端SSE推送各阶段进度：</w:t>
      </w:r>
      <w:bookmarkEnd w:id="22"/>
    </w:p>
    <w:p w14:paraId="70FFD9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   - event: progress → {"stage": "uploading", "percent": 100}</w:t>
      </w:r>
    </w:p>
    <w:p w14:paraId="026E050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   - event: progress → {"stage": "parsing", "percent": 45}</w:t>
      </w:r>
    </w:p>
    <w:p w14:paraId="6CA67DC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   - event: progress → {"stage": "chunking", "percent": 70}</w:t>
      </w:r>
    </w:p>
    <w:p w14:paraId="3252892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   - event: progress → {"stage": "embedding", "percent": 95}</w:t>
      </w:r>
    </w:p>
    <w:p w14:paraId="53A22C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   - event: done → {"doc_id": "xxx", "chunks": 128}</w:t>
      </w:r>
    </w:p>
    <w:p w14:paraId="326B9D9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解析完成，向量库立即可检索</w:t>
      </w:r>
    </w:p>
    <w:p w14:paraId="75CE176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6. 管理员在"检索测试面板"输入问题，验证新文档可被召回</w:t>
      </w:r>
    </w:p>
    <w:p w14:paraId="3C0C8DF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异常流程：</w:t>
      </w:r>
    </w:p>
    <w:p w14:paraId="7CA6543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文件格式不支持：提示"仅支持PDF/Word/TXT"</w:t>
      </w:r>
    </w:p>
    <w:p w14:paraId="25D2A86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解析超时：SSE推送event: error，提示重试</w:t>
      </w:r>
    </w:p>
    <w:p w14:paraId="75D847D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• 向量化失败：回滚，知识库保持原状</w:t>
      </w:r>
    </w:p>
    <w:p w14:paraId="175BAD7C">
      <w:pPr>
        <w:spacing w:before="160" w:after="120" w:line="360" w:lineRule="auto"/>
        <w:jc w:val="left"/>
        <w:outlineLvl w:val="1"/>
      </w:pPr>
      <w:bookmarkStart w:id="23" w:name="_Toc7563"/>
      <w:r>
        <w:rPr>
          <w:rFonts w:ascii="Times New Roman" w:hAnsi="Times New Roman" w:eastAsia="黑体"/>
          <w:b/>
          <w:sz w:val="28"/>
        </w:rPr>
        <w:t>3.5 动态交互建模：时序图</w:t>
      </w:r>
      <w:bookmarkEnd w:id="23"/>
    </w:p>
    <w:p w14:paraId="06802E51">
      <w:pPr>
        <w:spacing w:before="120" w:after="80" w:line="360" w:lineRule="auto"/>
        <w:jc w:val="left"/>
        <w:outlineLvl w:val="2"/>
      </w:pPr>
      <w:bookmarkStart w:id="24" w:name="_Toc11050"/>
      <w:r>
        <w:rPr>
          <w:rFonts w:ascii="Times New Roman" w:hAnsi="Times New Roman" w:eastAsia="黑体"/>
          <w:b/>
          <w:sz w:val="24"/>
        </w:rPr>
        <w:t>3.5.1 核心业务时序图：「游客语音问答全链路」</w:t>
      </w:r>
      <w:bookmarkEnd w:id="24"/>
    </w:p>
    <w:p w14:paraId="18D835B2">
      <w:pPr>
        <w:spacing w:before="0" w:after="0" w:line="360" w:lineRule="auto"/>
        <w:ind w:firstLine="480"/>
        <w:jc w:val="center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609725" cy="2992120"/>
            <wp:effectExtent l="0" t="0" r="3175" b="5080"/>
            <wp:docPr id="3" name="图片 3" descr="软工第一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软工第一张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F598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3.7 核心业务全链路交互时序图</w:t>
      </w:r>
    </w:p>
    <w:p w14:paraId="074CC8C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配图说明：</w:t>
      </w:r>
    </w:p>
    <w:p w14:paraId="210D80F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输入阶段：系统支持语音与文本两种输入方式。语音输入通过 ASR 服务实时转化为文本，纯文本输入则直接跳过 ASR 阶段进入后续处理。</w:t>
      </w:r>
    </w:p>
    <w:p w14:paraId="4D91272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并行响应优化：后端 API 接收到请求后启动并行处理机制（par 块）。在进行 RAG 知识库向量检索与多轮上下文构建的同时，并行生成兜底开场白下发给前端，显著降低首字响应时间（TTFT &lt; 1.5s）。</w:t>
      </w:r>
    </w:p>
    <w:p w14:paraId="5AFC551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正式回答（SSE 流式推送）：大模型生成的文本切片（text_chunk）与 TTS 服务的音频切片（audio_chunk Base64）通过 SSE 通信实时推送到前端（loop 块），前端进行按序缓冲与拼接，实现边接收边播放。</w:t>
      </w:r>
    </w:p>
    <w:p w14:paraId="0295E78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异常与打断分支：任意环节出错（如检索超时、TTS 合成失败）时，下发 event: error 触发前端友情提示；当游客在播报过程中再次说话时，前端发起 POST /api/v1/chat/stop 打断请求，后端确认 event: cancelled 后立即停止推送并进入新一轮识别（barge-in 机制）。</w:t>
      </w:r>
    </w:p>
    <w:p w14:paraId="080055CA">
      <w:pPr>
        <w:spacing w:before="120" w:after="80" w:line="360" w:lineRule="auto"/>
        <w:jc w:val="left"/>
        <w:outlineLvl w:val="2"/>
      </w:pPr>
      <w:bookmarkStart w:id="25" w:name="_Toc22825"/>
      <w:r>
        <w:rPr>
          <w:rFonts w:ascii="Times New Roman" w:hAnsi="Times New Roman" w:eastAsia="黑体"/>
          <w:b/>
          <w:sz w:val="24"/>
        </w:rPr>
        <w:t>3.5.2 异常时序图：「网络异常与 SSE 断线重连」</w:t>
      </w:r>
      <w:bookmarkEnd w:id="25"/>
    </w:p>
    <w:p w14:paraId="407B5D95">
      <w:pPr>
        <w:spacing w:before="0" w:after="0" w:line="360" w:lineRule="auto"/>
        <w:jc w:val="center"/>
        <w:rPr>
          <w:rFonts w:ascii="Times New Roman" w:hAnsi="Times New Roman" w:eastAsia="宋体"/>
          <w:b/>
          <w:sz w:val="22"/>
        </w:rPr>
      </w:pPr>
      <w:r>
        <w:rPr>
          <w:rFonts w:ascii="Times New Roman" w:hAnsi="Times New Roman" w:eastAsia="宋体"/>
          <w:b/>
          <w:sz w:val="22"/>
        </w:rPr>
        <w:drawing>
          <wp:inline distT="0" distB="0" distL="114300" distR="114300">
            <wp:extent cx="1844040" cy="4203700"/>
            <wp:effectExtent l="0" t="0" r="10160" b="0"/>
            <wp:docPr id="4" name="图片 4" descr="软工第二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软工第二张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E383"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图 3.8 网络异常与 SSE 断线重连时序图</w:t>
      </w:r>
    </w:p>
    <w:p w14:paraId="3A955AF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配图说明：</w:t>
      </w:r>
    </w:p>
    <w:p w14:paraId="0A72CAF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建立连接与心跳保活：前端与后端建立 SSE 连接后，后端每隔约 15 秒下发心跳包以防止网络代理超时。前端在接收数据的同时记录已播报的文本与音频位置。</w:t>
      </w:r>
    </w:p>
    <w:p w14:paraId="76B6C4B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断线期间后端继续生成：前端断开后，后端不中断大模型生成与 TTS 合成，按 event id 将 text_chunk / audio_chunk 写入断线缓存 buffer，供重连后按 lastEventId 续传。</w:t>
      </w:r>
    </w:p>
    <w:p w14:paraId="37742A9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断线检测与退避重连：当前端超过设定时间 T 秒未收到任何事件时，判定为网络连接断开，并触发指数退避重连机制（重试间隔按 1s → 2s → 4s 递增，最多重试 N 次）。</w:t>
      </w:r>
    </w:p>
    <w:p w14:paraId="6751516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恢复与降级机制：重连时前端携带 lastEventId 重新发起请求；若重连成功，后端恢复会话上下文并从断点之后继续推送，前端自动跳过已播报的文本，实现断点续播；若达到最大重发次数仍未成功，系统降级为弹出"网络异常，请重试"的提示，引导用户重新发起交互。</w:t>
      </w:r>
    </w:p>
    <w:p w14:paraId="158B00CD">
      <w:pPr>
        <w:spacing w:before="240" w:after="240" w:line="360" w:lineRule="auto"/>
        <w:jc w:val="center"/>
        <w:outlineLvl w:val="0"/>
      </w:pPr>
      <w:bookmarkStart w:id="26" w:name="_Toc6339"/>
      <w:r>
        <w:rPr>
          <w:rFonts w:ascii="Times New Roman" w:hAnsi="Times New Roman" w:eastAsia="黑体"/>
          <w:b/>
          <w:sz w:val="32"/>
        </w:rPr>
        <w:t>第4章 非功能需求</w:t>
      </w:r>
      <w:bookmarkEnd w:id="26"/>
    </w:p>
    <w:p w14:paraId="3FF7A76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本章规定系统在性能、安全、可靠性以及可维护性方面的质量属性要求。指标既用于后续实现约束，也用于联调、测试和验收；"当前实现状态"用于区分仓库已经具备的能力与尚未落地的规划能力。</w:t>
      </w:r>
    </w:p>
    <w:p w14:paraId="4FB25DC3">
      <w:pPr>
        <w:spacing w:before="160" w:after="120" w:line="360" w:lineRule="auto"/>
        <w:jc w:val="left"/>
        <w:outlineLvl w:val="1"/>
      </w:pPr>
      <w:bookmarkStart w:id="27" w:name="_Toc21153"/>
      <w:r>
        <w:rPr>
          <w:rFonts w:ascii="Times New Roman" w:hAnsi="Times New Roman" w:eastAsia="黑体"/>
          <w:b/>
          <w:sz w:val="28"/>
        </w:rPr>
        <w:t>4.1 性能需求</w:t>
      </w:r>
      <w:bookmarkEnd w:id="27"/>
    </w:p>
    <w:p w14:paraId="0DBBC0BA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4.1 性能需求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4BA65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4472C4"/>
          </w:tcPr>
          <w:p w14:paraId="3AE0B94C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编号</w:t>
            </w:r>
          </w:p>
        </w:tc>
        <w:tc>
          <w:tcPr>
            <w:tcW w:w="2158" w:type="dxa"/>
            <w:shd w:val="clear" w:color="auto" w:fill="4472C4"/>
          </w:tcPr>
          <w:p w14:paraId="562D9093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w="2158" w:type="dxa"/>
            <w:shd w:val="clear" w:color="auto" w:fill="4472C4"/>
          </w:tcPr>
          <w:p w14:paraId="7A070D31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要求</w:t>
            </w:r>
          </w:p>
        </w:tc>
        <w:tc>
          <w:tcPr>
            <w:tcW w:w="2158" w:type="dxa"/>
            <w:shd w:val="clear" w:color="auto" w:fill="4472C4"/>
          </w:tcPr>
          <w:p w14:paraId="2A190513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当前代码对照/验证方式</w:t>
            </w:r>
          </w:p>
        </w:tc>
      </w:tr>
      <w:tr w14:paraId="457A6D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4DDF0F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NFR-P01</w:t>
            </w:r>
          </w:p>
        </w:tc>
        <w:tc>
          <w:tcPr>
            <w:tcW w:w="2158" w:type="dxa"/>
          </w:tcPr>
          <w:p w14:paraId="0ABB4A1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首字响应时间（TTFT）</w:t>
            </w:r>
          </w:p>
        </w:tc>
        <w:tc>
          <w:tcPr>
            <w:tcW w:w="2158" w:type="dxa"/>
          </w:tcPr>
          <w:p w14:paraId="2B5494C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正常网络环境下，从发起流式请求到前端收到首个 text 数据帧的时间应小于 1.5 秒。</w:t>
            </w:r>
          </w:p>
        </w:tc>
        <w:tc>
          <w:tcPr>
            <w:tcW w:w="2158" w:type="dxa"/>
          </w:tcPr>
          <w:p w14:paraId="0FF224D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当前路由为 50ms 间隔的模拟逐字流，正式 LLM 接入后需通过性能测试验证。</w:t>
            </w:r>
          </w:p>
        </w:tc>
      </w:tr>
      <w:tr w14:paraId="515E6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4ABC29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NFR-P02</w:t>
            </w:r>
          </w:p>
        </w:tc>
        <w:tc>
          <w:tcPr>
            <w:tcW w:w="2158" w:type="dxa"/>
          </w:tcPr>
          <w:p w14:paraId="450474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语音问答端到端延迟</w:t>
            </w:r>
          </w:p>
        </w:tc>
        <w:tc>
          <w:tcPr>
            <w:tcW w:w="2158" w:type="dxa"/>
          </w:tcPr>
          <w:p w14:paraId="7968A4D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正常网络环境下，从游客结束说话到收到第一句完整语音播报的端到端延迟应小于 5 秒。</w:t>
            </w:r>
          </w:p>
        </w:tc>
        <w:tc>
          <w:tcPr>
            <w:tcW w:w="2158" w:type="dxa"/>
          </w:tcPr>
          <w:p w14:paraId="7B9BBF2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ASR/TTS 尚未在当前仓库实现；该指标属于目标验收指标。</w:t>
            </w:r>
          </w:p>
        </w:tc>
      </w:tr>
      <w:tr w14:paraId="47072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8F177D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NFR-P03</w:t>
            </w:r>
          </w:p>
        </w:tc>
        <w:tc>
          <w:tcPr>
            <w:tcW w:w="2158" w:type="dxa"/>
          </w:tcPr>
          <w:p w14:paraId="2FC6CE6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增量流式传输</w:t>
            </w:r>
          </w:p>
        </w:tc>
        <w:tc>
          <w:tcPr>
            <w:tcW w:w="2158" w:type="dxa"/>
          </w:tcPr>
          <w:p w14:paraId="49FA706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文本回答应支持增量下发，禁止使用前端轮询获取生成进度。</w:t>
            </w:r>
          </w:p>
        </w:tc>
        <w:tc>
          <w:tcPr>
            <w:tcW w:w="2158" w:type="dxa"/>
          </w:tcPr>
          <w:p w14:paraId="79D29E3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 POST /api/v1/chat/stream 已采用 text/event-stream。</w:t>
            </w:r>
          </w:p>
        </w:tc>
      </w:tr>
      <w:tr w14:paraId="4F58A6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C5FF84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NFR-P04</w:t>
            </w:r>
          </w:p>
        </w:tc>
        <w:tc>
          <w:tcPr>
            <w:tcW w:w="2158" w:type="dxa"/>
          </w:tcPr>
          <w:p w14:paraId="2FC38B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并发处理能力</w:t>
            </w:r>
          </w:p>
        </w:tc>
        <w:tc>
          <w:tcPr>
            <w:tcW w:w="2158" w:type="dxa"/>
          </w:tcPr>
          <w:p w14:paraId="06B7C54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目标支持至少 50 名游客同时在线进行流式对话，且服务不崩溃、不出现持续性严重卡顿。</w:t>
            </w:r>
          </w:p>
        </w:tc>
        <w:tc>
          <w:tcPr>
            <w:tcW w:w="2158" w:type="dxa"/>
          </w:tcPr>
          <w:p w14:paraId="5BEAD7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当前仓库未提供并发压测结论；需通过压测确定 CPU、内存和下游模型服务裕量。</w:t>
            </w:r>
          </w:p>
        </w:tc>
      </w:tr>
      <w:tr w14:paraId="6CA02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C6DD0F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NFR-P05</w:t>
            </w:r>
          </w:p>
        </w:tc>
        <w:tc>
          <w:tcPr>
            <w:tcW w:w="2158" w:type="dxa"/>
          </w:tcPr>
          <w:p w14:paraId="5B7CD85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资源释放</w:t>
            </w:r>
          </w:p>
        </w:tc>
        <w:tc>
          <w:tcPr>
            <w:tcW w:w="2158" w:type="dxa"/>
          </w:tcPr>
          <w:p w14:paraId="1A64DD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客户端主动断开后，应释放与该请求相关的定时器、连接和缓存资源。</w:t>
            </w:r>
          </w:p>
        </w:tc>
        <w:tc>
          <w:tcPr>
            <w:tcW w:w="2158" w:type="dxa"/>
          </w:tcPr>
          <w:p w14:paraId="7E16EC7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 chat.ts 已在 req.close 时 clearInterval 并结束响应。</w:t>
            </w:r>
          </w:p>
        </w:tc>
      </w:tr>
    </w:tbl>
    <w:p w14:paraId="3333908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性能口径说明：除 TTFT 与端到端语音指标外，其余性能指标应在固定测试数据集、明确网络条件和固定服务配置下进行测量，避免以单次本地运行结果作为验收依据。</w:t>
      </w:r>
    </w:p>
    <w:p w14:paraId="08E866D6">
      <w:pPr>
        <w:spacing w:before="160" w:after="120" w:line="360" w:lineRule="auto"/>
        <w:jc w:val="left"/>
        <w:outlineLvl w:val="1"/>
      </w:pPr>
      <w:bookmarkStart w:id="28" w:name="_Toc31410"/>
      <w:r>
        <w:rPr>
          <w:rFonts w:ascii="Times New Roman" w:hAnsi="Times New Roman" w:eastAsia="黑体"/>
          <w:b/>
          <w:sz w:val="28"/>
        </w:rPr>
        <w:t>4.2 安全需求</w:t>
      </w:r>
      <w:bookmarkEnd w:id="28"/>
    </w:p>
    <w:p w14:paraId="4457F6E4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4.2 安全需求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298542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4472C4"/>
          </w:tcPr>
          <w:p w14:paraId="3824A1B5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编号</w:t>
            </w:r>
          </w:p>
        </w:tc>
        <w:tc>
          <w:tcPr>
            <w:tcW w:w="2158" w:type="dxa"/>
            <w:shd w:val="clear" w:color="auto" w:fill="4472C4"/>
          </w:tcPr>
          <w:p w14:paraId="0813557C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安全要求</w:t>
            </w:r>
          </w:p>
        </w:tc>
        <w:tc>
          <w:tcPr>
            <w:tcW w:w="2158" w:type="dxa"/>
            <w:shd w:val="clear" w:color="auto" w:fill="4472C4"/>
          </w:tcPr>
          <w:p w14:paraId="050352E5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实施/验收要求</w:t>
            </w:r>
          </w:p>
        </w:tc>
        <w:tc>
          <w:tcPr>
            <w:tcW w:w="2158" w:type="dxa"/>
            <w:shd w:val="clear" w:color="auto" w:fill="4472C4"/>
          </w:tcPr>
          <w:p w14:paraId="673C1BFE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当前代码对照</w:t>
            </w:r>
          </w:p>
        </w:tc>
      </w:tr>
      <w:tr w14:paraId="6FE98E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26B2C8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NFR-S01</w:t>
            </w:r>
          </w:p>
        </w:tc>
        <w:tc>
          <w:tcPr>
            <w:tcW w:w="2158" w:type="dxa"/>
          </w:tcPr>
          <w:p w14:paraId="6E2F68F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跨域访问控制</w:t>
            </w:r>
          </w:p>
        </w:tc>
        <w:tc>
          <w:tcPr>
            <w:tcW w:w="2158" w:type="dxa"/>
          </w:tcPr>
          <w:p w14:paraId="3F94CC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生产环境仅允许受信任前端源访问 API；不得使用通配符 * 放开跨域。</w:t>
            </w:r>
          </w:p>
        </w:tc>
        <w:tc>
          <w:tcPr>
            <w:tcW w:w="2158" w:type="dxa"/>
          </w:tcPr>
          <w:p w14:paraId="6B78BA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 CORS 使用 config.frontendUrl，并开启 credentials。</w:t>
            </w:r>
          </w:p>
        </w:tc>
      </w:tr>
      <w:tr w14:paraId="04931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7C1A9B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NFR-S02</w:t>
            </w:r>
          </w:p>
        </w:tc>
        <w:tc>
          <w:tcPr>
            <w:tcW w:w="2158" w:type="dxa"/>
          </w:tcPr>
          <w:p w14:paraId="5006296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输入校验</w:t>
            </w:r>
          </w:p>
        </w:tc>
        <w:tc>
          <w:tcPr>
            <w:tcW w:w="2158" w:type="dxa"/>
          </w:tcPr>
          <w:p w14:paraId="1743E7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对请求体类型、message 长度、字符集和异常输入进行服务端校验；拒绝超大请求，避免资源耗尽。</w:t>
            </w:r>
          </w:p>
        </w:tc>
        <w:tc>
          <w:tcPr>
            <w:tcW w:w="2158" w:type="dxa"/>
          </w:tcPr>
          <w:p w14:paraId="3733B3F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 chat.ts 尚未做长度/类型校验，应在正式接入前补齐。</w:t>
            </w:r>
          </w:p>
        </w:tc>
      </w:tr>
      <w:tr w14:paraId="63EDE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A739D6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NFR-S03</w:t>
            </w:r>
          </w:p>
        </w:tc>
        <w:tc>
          <w:tcPr>
            <w:tcW w:w="2158" w:type="dxa"/>
          </w:tcPr>
          <w:p w14:paraId="7270821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敏感信息保护</w:t>
            </w:r>
          </w:p>
        </w:tc>
        <w:tc>
          <w:tcPr>
            <w:tcW w:w="2158" w:type="dxa"/>
          </w:tcPr>
          <w:p w14:paraId="25A2E46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模型密钥、第三方 API Key 等凭据仅通过环境变量或安全配置注入，不写入源码和普通日志。</w:t>
            </w:r>
          </w:p>
        </w:tc>
        <w:tc>
          <w:tcPr>
            <w:tcW w:w="2158" w:type="dxa"/>
          </w:tcPr>
          <w:p w14:paraId="74E30CD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 config.ts 通过 dotenv 读取环境变量；仓库现有 chat 路由未硬编码密钥。</w:t>
            </w:r>
          </w:p>
        </w:tc>
      </w:tr>
      <w:tr w14:paraId="3712B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3ABC24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NFR-S04</w:t>
            </w:r>
          </w:p>
        </w:tc>
        <w:tc>
          <w:tcPr>
            <w:tcW w:w="2158" w:type="dxa"/>
          </w:tcPr>
          <w:p w14:paraId="7607B7A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SSE 数据安全</w:t>
            </w:r>
          </w:p>
        </w:tc>
        <w:tc>
          <w:tcPr>
            <w:tcW w:w="2158" w:type="dxa"/>
          </w:tcPr>
          <w:p w14:paraId="08A91B7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SSE 数据必须通过 JSON 序列化输出；错误信息不得暴露内部堆栈、环境变量、密钥或内部地址。</w:t>
            </w:r>
          </w:p>
        </w:tc>
        <w:tc>
          <w:tcPr>
            <w:tcW w:w="2158" w:type="dxa"/>
          </w:tcPr>
          <w:p w14:paraId="151C7F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当前代码使用 JSON.stringify 生成 data 帧；统一错误帧仍需实现。</w:t>
            </w:r>
          </w:p>
        </w:tc>
      </w:tr>
      <w:tr w14:paraId="69C28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E9E113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NFR-S05</w:t>
            </w:r>
          </w:p>
        </w:tc>
        <w:tc>
          <w:tcPr>
            <w:tcW w:w="2158" w:type="dxa"/>
          </w:tcPr>
          <w:p w14:paraId="2236E0C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后台接口鉴权</w:t>
            </w:r>
          </w:p>
        </w:tc>
        <w:tc>
          <w:tcPr>
            <w:tcW w:w="2158" w:type="dxa"/>
          </w:tcPr>
          <w:p w14:paraId="2A8B91F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知识库上传、问答日志、数据统计等管理员接口必须进行身份认证与权限校验。</w:t>
            </w:r>
          </w:p>
        </w:tc>
        <w:tc>
          <w:tcPr>
            <w:tcW w:w="2158" w:type="dxa"/>
          </w:tcPr>
          <w:p w14:paraId="554A74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当前仓库暂未实现后台鉴权接口，该要求属于后续管理员模块。</w:t>
            </w:r>
          </w:p>
        </w:tc>
      </w:tr>
      <w:tr w14:paraId="132F2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E77ED0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NFR-S06</w:t>
            </w:r>
          </w:p>
        </w:tc>
        <w:tc>
          <w:tcPr>
            <w:tcW w:w="2158" w:type="dxa"/>
          </w:tcPr>
          <w:p w14:paraId="6A4704C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传输安全</w:t>
            </w:r>
          </w:p>
        </w:tc>
        <w:tc>
          <w:tcPr>
            <w:tcW w:w="2158" w:type="dxa"/>
          </w:tcPr>
          <w:p w14:paraId="11FEE89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生产部署使用 HTTPS；SSE 长连接不得通过明文 HTTP 暴露给公网用户。</w:t>
            </w:r>
          </w:p>
        </w:tc>
        <w:tc>
          <w:tcPr>
            <w:tcW w:w="2158" w:type="dxa"/>
          </w:tcPr>
          <w:p w14:paraId="42C4C4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当前本地开发使用 http://localhost；生产 HTTPS 属于部署要求。</w:t>
            </w:r>
          </w:p>
        </w:tc>
      </w:tr>
    </w:tbl>
    <w:p w14:paraId="0EF04643">
      <w:pPr>
        <w:spacing w:before="160" w:after="120" w:line="360" w:lineRule="auto"/>
        <w:jc w:val="left"/>
        <w:outlineLvl w:val="1"/>
      </w:pPr>
      <w:bookmarkStart w:id="29" w:name="_Toc621"/>
      <w:r>
        <w:rPr>
          <w:rFonts w:ascii="Times New Roman" w:hAnsi="Times New Roman" w:eastAsia="黑体"/>
          <w:b/>
          <w:sz w:val="28"/>
        </w:rPr>
        <w:t>4.3 可靠性需求</w:t>
      </w:r>
      <w:bookmarkEnd w:id="29"/>
    </w:p>
    <w:p w14:paraId="356AC128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4.3 可靠性需求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496B4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4472C4"/>
          </w:tcPr>
          <w:p w14:paraId="65718680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编号</w:t>
            </w:r>
          </w:p>
        </w:tc>
        <w:tc>
          <w:tcPr>
            <w:tcW w:w="2158" w:type="dxa"/>
            <w:shd w:val="clear" w:color="auto" w:fill="4472C4"/>
          </w:tcPr>
          <w:p w14:paraId="5FF6E119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可靠性要求</w:t>
            </w:r>
          </w:p>
        </w:tc>
        <w:tc>
          <w:tcPr>
            <w:tcW w:w="2158" w:type="dxa"/>
            <w:shd w:val="clear" w:color="auto" w:fill="4472C4"/>
          </w:tcPr>
          <w:p w14:paraId="742B9C1F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要求</w:t>
            </w:r>
          </w:p>
        </w:tc>
        <w:tc>
          <w:tcPr>
            <w:tcW w:w="2158" w:type="dxa"/>
            <w:shd w:val="clear" w:color="auto" w:fill="4472C4"/>
          </w:tcPr>
          <w:p w14:paraId="5D840270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当前代码对照</w:t>
            </w:r>
          </w:p>
        </w:tc>
      </w:tr>
      <w:tr w14:paraId="7CA5A1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AAE624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NFR-R01</w:t>
            </w:r>
          </w:p>
        </w:tc>
        <w:tc>
          <w:tcPr>
            <w:tcW w:w="2158" w:type="dxa"/>
          </w:tcPr>
          <w:p w14:paraId="267581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断线重连</w:t>
            </w:r>
          </w:p>
        </w:tc>
        <w:tc>
          <w:tcPr>
            <w:tcW w:w="2158" w:type="dxa"/>
          </w:tcPr>
          <w:p w14:paraId="76C20A5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网络短暂中断时客户端自动重连，建议采用 1s → 2s → 4s 退避，最多重试 N=3 次。</w:t>
            </w:r>
          </w:p>
        </w:tc>
        <w:tc>
          <w:tcPr>
            <w:tcW w:w="2158" w:type="dxa"/>
          </w:tcPr>
          <w:p w14:paraId="2B49F1A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当前仓库未实现客户端重连；现有文档中的 Last-Event-ID 续传属于目标机制。</w:t>
            </w:r>
          </w:p>
        </w:tc>
      </w:tr>
      <w:tr w14:paraId="1CDEFB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8A1888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NFR-R02</w:t>
            </w:r>
          </w:p>
        </w:tc>
        <w:tc>
          <w:tcPr>
            <w:tcW w:w="2158" w:type="dxa"/>
          </w:tcPr>
          <w:p w14:paraId="7E91514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断点续传</w:t>
            </w:r>
          </w:p>
        </w:tc>
        <w:tc>
          <w:tcPr>
            <w:tcW w:w="2158" w:type="dxa"/>
          </w:tcPr>
          <w:p w14:paraId="1EE7283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需要续传时，应依据 sessionId + seq（或标准 Last-Event-ID）避免重复播放。</w:t>
            </w:r>
          </w:p>
        </w:tc>
        <w:tc>
          <w:tcPr>
            <w:tcW w:w="2158" w:type="dxa"/>
          </w:tcPr>
          <w:p w14:paraId="5CE0E4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 SSE 帧未提供 id、sessionId、seq，暂不具备断点续传能力。</w:t>
            </w:r>
          </w:p>
        </w:tc>
      </w:tr>
      <w:tr w14:paraId="01981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48E13F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NFR-R03</w:t>
            </w:r>
          </w:p>
        </w:tc>
        <w:tc>
          <w:tcPr>
            <w:tcW w:w="2158" w:type="dxa"/>
          </w:tcPr>
          <w:p w14:paraId="330C7C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连接断开清理</w:t>
            </w:r>
          </w:p>
        </w:tc>
        <w:tc>
          <w:tcPr>
            <w:tcW w:w="2158" w:type="dxa"/>
          </w:tcPr>
          <w:p w14:paraId="7E26F4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客户端断开后及时取消定时器、终止推送并释放资源。</w:t>
            </w:r>
          </w:p>
        </w:tc>
        <w:tc>
          <w:tcPr>
            <w:tcW w:w="2158" w:type="dxa"/>
          </w:tcPr>
          <w:p w14:paraId="227BC86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 req.close 会 clearInterval 并 res.end。</w:t>
            </w:r>
          </w:p>
        </w:tc>
      </w:tr>
      <w:tr w14:paraId="53ABF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0FE383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NFR-R04</w:t>
            </w:r>
          </w:p>
        </w:tc>
        <w:tc>
          <w:tcPr>
            <w:tcW w:w="2158" w:type="dxa"/>
          </w:tcPr>
          <w:p w14:paraId="397D934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异常隔离</w:t>
            </w:r>
          </w:p>
        </w:tc>
        <w:tc>
          <w:tcPr>
            <w:tcW w:w="2158" w:type="dxa"/>
          </w:tcPr>
          <w:p w14:paraId="2770EA0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单次请求或下游服务故障不得导致 Node.js 进程退出；应返回结构化错误或降级为可用的纯文本结果。</w:t>
            </w:r>
          </w:p>
        </w:tc>
        <w:tc>
          <w:tcPr>
            <w:tcW w:w="2158" w:type="dxa"/>
          </w:tcPr>
          <w:p w14:paraId="419D36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当前路由缺少统一错误中间件；需在正式 AI 服务接入后补齐。</w:t>
            </w:r>
          </w:p>
        </w:tc>
      </w:tr>
      <w:tr w14:paraId="1772F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417EF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NFR-R05</w:t>
            </w:r>
          </w:p>
        </w:tc>
        <w:tc>
          <w:tcPr>
            <w:tcW w:w="2158" w:type="dxa"/>
          </w:tcPr>
          <w:p w14:paraId="1B948EA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服务降级</w:t>
            </w:r>
          </w:p>
        </w:tc>
        <w:tc>
          <w:tcPr>
            <w:tcW w:w="2158" w:type="dxa"/>
          </w:tcPr>
          <w:p w14:paraId="71FA44C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TTS 不可用时保留文字回答能力；RAG/LLM 暂时不可用时给出友好提示，不返回编造的景区事实。</w:t>
            </w:r>
          </w:p>
        </w:tc>
        <w:tc>
          <w:tcPr>
            <w:tcW w:w="2158" w:type="dxa"/>
          </w:tcPr>
          <w:p w14:paraId="7E1CAD1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当前仓库尚未接入 TTS/RAG/LLM；属于后续业务层降级设计。</w:t>
            </w:r>
          </w:p>
        </w:tc>
      </w:tr>
      <w:tr w14:paraId="104BF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E32931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NFR-R06</w:t>
            </w:r>
          </w:p>
        </w:tc>
        <w:tc>
          <w:tcPr>
            <w:tcW w:w="2158" w:type="dxa"/>
          </w:tcPr>
          <w:p w14:paraId="15E8128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健康检查</w:t>
            </w:r>
          </w:p>
        </w:tc>
        <w:tc>
          <w:tcPr>
            <w:tcW w:w="2158" w:type="dxa"/>
          </w:tcPr>
          <w:p w14:paraId="0AE5B9F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提供轻量级健康检查接口用于容器/反向代理探活。</w:t>
            </w:r>
          </w:p>
        </w:tc>
        <w:tc>
          <w:tcPr>
            <w:tcW w:w="2158" w:type="dxa"/>
          </w:tcPr>
          <w:p w14:paraId="19C67E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当前已实现 GET /health，返回 status=ok 的 JSON。</w:t>
            </w:r>
          </w:p>
        </w:tc>
      </w:tr>
    </w:tbl>
    <w:p w14:paraId="77080661">
      <w:pPr>
        <w:spacing w:before="160" w:after="120" w:line="360" w:lineRule="auto"/>
        <w:jc w:val="left"/>
        <w:outlineLvl w:val="1"/>
      </w:pPr>
      <w:bookmarkStart w:id="30" w:name="_Toc10406"/>
      <w:r>
        <w:rPr>
          <w:rFonts w:ascii="Times New Roman" w:hAnsi="Times New Roman" w:eastAsia="黑体"/>
          <w:b/>
          <w:sz w:val="28"/>
        </w:rPr>
        <w:t>4.4 可维护性与可测试性</w:t>
      </w:r>
      <w:bookmarkEnd w:id="30"/>
    </w:p>
    <w:p w14:paraId="5820D916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4.4 可维护性与可测试性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11339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4472C4"/>
          </w:tcPr>
          <w:p w14:paraId="32166B7D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编号</w:t>
            </w:r>
          </w:p>
        </w:tc>
        <w:tc>
          <w:tcPr>
            <w:tcW w:w="2878" w:type="dxa"/>
            <w:shd w:val="clear" w:color="auto" w:fill="4472C4"/>
          </w:tcPr>
          <w:p w14:paraId="53C6EACD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要求</w:t>
            </w:r>
          </w:p>
        </w:tc>
        <w:tc>
          <w:tcPr>
            <w:tcW w:w="2878" w:type="dxa"/>
            <w:shd w:val="clear" w:color="auto" w:fill="4472C4"/>
          </w:tcPr>
          <w:p w14:paraId="3F0AB53F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验收方式</w:t>
            </w:r>
          </w:p>
        </w:tc>
      </w:tr>
      <w:tr w14:paraId="6F7928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D91E8D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NFR-M01</w:t>
            </w:r>
          </w:p>
        </w:tc>
        <w:tc>
          <w:tcPr>
            <w:tcW w:w="2878" w:type="dxa"/>
          </w:tcPr>
          <w:p w14:paraId="1C6EBA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SSE 契约集中定义，字段名称和事件语义保持稳定；新增能力采用向后兼容的可选字段或新 type。</w:t>
            </w:r>
          </w:p>
        </w:tc>
        <w:tc>
          <w:tcPr>
            <w:tcW w:w="2878" w:type="dxa"/>
          </w:tcPr>
          <w:p w14:paraId="1D00294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前后端联调使用同一份 5.3 契约，变更需同步更新文档与测试用例。</w:t>
            </w:r>
          </w:p>
        </w:tc>
      </w:tr>
      <w:tr w14:paraId="672204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44941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NFR-M02</w:t>
            </w:r>
          </w:p>
        </w:tc>
        <w:tc>
          <w:tcPr>
            <w:tcW w:w="2878" w:type="dxa"/>
          </w:tcPr>
          <w:p w14:paraId="5BAFD50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后端继续使用 TypeScript，并保持路由职责清晰。</w:t>
            </w:r>
          </w:p>
        </w:tc>
        <w:tc>
          <w:tcPr>
            <w:tcW w:w="2878" w:type="dxa"/>
          </w:tcPr>
          <w:p w14:paraId="45912F3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npm run build 可通过；新增模块具有明确输入输出类型。</w:t>
            </w:r>
          </w:p>
        </w:tc>
      </w:tr>
      <w:tr w14:paraId="49905B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319532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NFR-M03</w:t>
            </w:r>
          </w:p>
        </w:tc>
        <w:tc>
          <w:tcPr>
            <w:tcW w:w="2878" w:type="dxa"/>
          </w:tcPr>
          <w:p w14:paraId="5E806D7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覆盖正常流、空消息、长消息、客户端中断、服务异常和 done 结束帧测试。</w:t>
            </w:r>
          </w:p>
        </w:tc>
        <w:tc>
          <w:tcPr>
            <w:tcW w:w="2878" w:type="dxa"/>
          </w:tcPr>
          <w:p w14:paraId="553BE30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接口自动化/集成测试中至少覆盖上述场景。</w:t>
            </w:r>
          </w:p>
        </w:tc>
      </w:tr>
      <w:tr w14:paraId="32CAEB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13341D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NFR-M04</w:t>
            </w:r>
          </w:p>
        </w:tc>
        <w:tc>
          <w:tcPr>
            <w:tcW w:w="2878" w:type="dxa"/>
          </w:tcPr>
          <w:p w14:paraId="643679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日志不记录 API Key、完整敏感请求体或用户私密信息。</w:t>
            </w:r>
          </w:p>
        </w:tc>
        <w:tc>
          <w:tcPr>
            <w:tcW w:w="2878" w:type="dxa"/>
          </w:tcPr>
          <w:p w14:paraId="7FF04C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生产配置检查和日志抽样审计。</w:t>
            </w:r>
          </w:p>
        </w:tc>
      </w:tr>
    </w:tbl>
    <w:p w14:paraId="55F8B1BC">
      <w:pPr>
        <w:spacing w:before="240" w:after="240" w:line="360" w:lineRule="auto"/>
        <w:jc w:val="center"/>
        <w:outlineLvl w:val="0"/>
      </w:pPr>
      <w:bookmarkStart w:id="31" w:name="_Toc1588"/>
      <w:r>
        <w:rPr>
          <w:rFonts w:ascii="Times New Roman" w:hAnsi="Times New Roman" w:eastAsia="黑体"/>
          <w:b/>
          <w:sz w:val="32"/>
        </w:rPr>
        <w:t>第5章 接口与数据需求</w:t>
      </w:r>
      <w:bookmarkEnd w:id="31"/>
    </w:p>
    <w:p w14:paraId="218E5337">
      <w:pPr>
        <w:spacing w:before="160" w:after="120" w:line="360" w:lineRule="auto"/>
        <w:jc w:val="left"/>
        <w:outlineLvl w:val="1"/>
      </w:pPr>
      <w:bookmarkStart w:id="32" w:name="_Toc9098"/>
      <w:r>
        <w:rPr>
          <w:rFonts w:ascii="Times New Roman" w:hAnsi="Times New Roman" w:eastAsia="黑体"/>
          <w:b/>
          <w:sz w:val="28"/>
        </w:rPr>
        <w:t>5.1 接口总览</w:t>
      </w:r>
      <w:bookmarkEnd w:id="32"/>
    </w:p>
    <w:p w14:paraId="3AA0839B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5.1 接口总览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3"/>
        <w:gridCol w:w="2158"/>
        <w:gridCol w:w="2158"/>
      </w:tblGrid>
      <w:tr w14:paraId="305B66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3" w:type="dxa"/>
            <w:shd w:val="clear" w:color="auto" w:fill="4472C4"/>
          </w:tcPr>
          <w:p w14:paraId="17AA1059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接口</w:t>
            </w:r>
          </w:p>
        </w:tc>
        <w:tc>
          <w:tcPr>
            <w:tcW w:w="2158" w:type="dxa"/>
            <w:shd w:val="clear" w:color="auto" w:fill="4472C4"/>
          </w:tcPr>
          <w:p w14:paraId="00748BC6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方法</w:t>
            </w:r>
          </w:p>
        </w:tc>
        <w:tc>
          <w:tcPr>
            <w:tcW w:w="2158" w:type="dxa"/>
            <w:shd w:val="clear" w:color="auto" w:fill="4472C4"/>
          </w:tcPr>
          <w:p w14:paraId="1FF48BD4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用途</w:t>
            </w:r>
          </w:p>
        </w:tc>
      </w:tr>
      <w:tr w14:paraId="7ACB6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3" w:type="dxa"/>
          </w:tcPr>
          <w:p w14:paraId="03DEF62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/health</w:t>
            </w:r>
          </w:p>
        </w:tc>
        <w:tc>
          <w:tcPr>
            <w:tcW w:w="2158" w:type="dxa"/>
          </w:tcPr>
          <w:p w14:paraId="7D2B8A4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w="2158" w:type="dxa"/>
          </w:tcPr>
          <w:p w14:paraId="4603533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服务健康检查</w:t>
            </w:r>
          </w:p>
        </w:tc>
      </w:tr>
      <w:tr w14:paraId="38780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3" w:type="dxa"/>
          </w:tcPr>
          <w:p w14:paraId="16E4880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/api/v1/chat/stream</w:t>
            </w:r>
          </w:p>
        </w:tc>
        <w:tc>
          <w:tcPr>
            <w:tcW w:w="2158" w:type="dxa"/>
          </w:tcPr>
          <w:p w14:paraId="525692A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2158" w:type="dxa"/>
          </w:tcPr>
          <w:p w14:paraId="13B6B40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核心文本流式问答，返回 SSE 数据帧</w:t>
            </w:r>
          </w:p>
        </w:tc>
      </w:tr>
      <w:tr w14:paraId="210F01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3" w:type="dxa"/>
          </w:tcPr>
          <w:p w14:paraId="39A4C08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/api/v1/chat/stop</w:t>
            </w:r>
          </w:p>
        </w:tc>
        <w:tc>
          <w:tcPr>
            <w:tcW w:w="2158" w:type="dxa"/>
          </w:tcPr>
          <w:p w14:paraId="50E7A52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2158" w:type="dxa"/>
          </w:tcPr>
          <w:p w14:paraId="544F229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用户打断当前播报</w:t>
            </w:r>
          </w:p>
        </w:tc>
      </w:tr>
      <w:tr w14:paraId="5E7370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3" w:type="dxa"/>
          </w:tcPr>
          <w:p w14:paraId="2BD7951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/api/asr</w:t>
            </w:r>
          </w:p>
        </w:tc>
        <w:tc>
          <w:tcPr>
            <w:tcW w:w="2158" w:type="dxa"/>
          </w:tcPr>
          <w:p w14:paraId="1226D7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2158" w:type="dxa"/>
          </w:tcPr>
          <w:p w14:paraId="39E9040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上传音频并进行 ASR 转写</w:t>
            </w:r>
          </w:p>
        </w:tc>
      </w:tr>
      <w:tr w14:paraId="44F14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3" w:type="dxa"/>
          </w:tcPr>
          <w:p w14:paraId="47BCACA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/api/qa/ask</w:t>
            </w:r>
          </w:p>
        </w:tc>
        <w:tc>
          <w:tcPr>
            <w:tcW w:w="2158" w:type="dxa"/>
          </w:tcPr>
          <w:p w14:paraId="219883F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2158" w:type="dxa"/>
          </w:tcPr>
          <w:p w14:paraId="35C967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业务层问题提交接口</w:t>
            </w:r>
          </w:p>
        </w:tc>
      </w:tr>
      <w:tr w14:paraId="1552E8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3" w:type="dxa"/>
          </w:tcPr>
          <w:p w14:paraId="04E0BA3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/api/kb/upload</w:t>
            </w:r>
          </w:p>
        </w:tc>
        <w:tc>
          <w:tcPr>
            <w:tcW w:w="2158" w:type="dxa"/>
          </w:tcPr>
          <w:p w14:paraId="3C6FC2F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2158" w:type="dxa"/>
          </w:tcPr>
          <w:p w14:paraId="517EA33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上传知识库文档并返回 task_id</w:t>
            </w:r>
          </w:p>
        </w:tc>
      </w:tr>
      <w:tr w14:paraId="69A7D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3" w:type="dxa"/>
          </w:tcPr>
          <w:p w14:paraId="1F2B781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/api/kb/progress/:task_id</w:t>
            </w:r>
          </w:p>
        </w:tc>
        <w:tc>
          <w:tcPr>
            <w:tcW w:w="2158" w:type="dxa"/>
          </w:tcPr>
          <w:p w14:paraId="1294933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w="2158" w:type="dxa"/>
          </w:tcPr>
          <w:p w14:paraId="5764F79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 SSE 推送知识库处理进度</w:t>
            </w:r>
          </w:p>
        </w:tc>
      </w:tr>
    </w:tbl>
    <w:p w14:paraId="107CBE1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路由事实：backend/src/app.ts 将 chatRouter 挂载在 /api/v1/chat，因此 chat.ts 中的 router.post('/stream') 对外实际路径为 POST /api/v1/chat/stream；健康检查则直接挂载在 GET /health，不属于 /api/v1/chat 前缀。</w:t>
      </w:r>
    </w:p>
    <w:p w14:paraId="479C7452">
      <w:pPr>
        <w:spacing w:before="160" w:after="120" w:line="360" w:lineRule="auto"/>
        <w:jc w:val="left"/>
        <w:outlineLvl w:val="1"/>
      </w:pPr>
      <w:bookmarkStart w:id="33" w:name="_Toc30066"/>
      <w:r>
        <w:rPr>
          <w:rFonts w:ascii="Times New Roman" w:hAnsi="Times New Roman" w:eastAsia="黑体"/>
          <w:b/>
          <w:sz w:val="28"/>
        </w:rPr>
        <w:t>5.2 HTTP 接口契约</w:t>
      </w:r>
      <w:bookmarkEnd w:id="33"/>
    </w:p>
    <w:p w14:paraId="79CAFCBD">
      <w:pPr>
        <w:spacing w:before="120" w:after="80" w:line="360" w:lineRule="auto"/>
        <w:jc w:val="left"/>
        <w:outlineLvl w:val="2"/>
      </w:pPr>
      <w:bookmarkStart w:id="34" w:name="_Toc24112"/>
      <w:r>
        <w:rPr>
          <w:rFonts w:ascii="Times New Roman" w:hAnsi="Times New Roman" w:eastAsia="黑体"/>
          <w:b/>
          <w:sz w:val="24"/>
        </w:rPr>
        <w:t>5.2.1 健康检查接口</w:t>
      </w:r>
      <w:bookmarkEnd w:id="34"/>
    </w:p>
    <w:p w14:paraId="22759F0A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5.2 健康检查接口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6661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4472C4"/>
          </w:tcPr>
          <w:p w14:paraId="4C99F561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w="4317" w:type="dxa"/>
            <w:shd w:val="clear" w:color="auto" w:fill="4472C4"/>
          </w:tcPr>
          <w:p w14:paraId="2EE6341D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定义</w:t>
            </w:r>
          </w:p>
        </w:tc>
      </w:tr>
      <w:tr w14:paraId="30524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32CA6A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请求</w:t>
            </w:r>
          </w:p>
        </w:tc>
        <w:tc>
          <w:tcPr>
            <w:tcW w:w="4317" w:type="dxa"/>
          </w:tcPr>
          <w:p w14:paraId="67C329E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GET /health</w:t>
            </w:r>
          </w:p>
        </w:tc>
      </w:tr>
      <w:tr w14:paraId="7C0C87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21B8E1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响应类型</w:t>
            </w:r>
          </w:p>
        </w:tc>
        <w:tc>
          <w:tcPr>
            <w:tcW w:w="4317" w:type="dxa"/>
          </w:tcPr>
          <w:p w14:paraId="73E2C5E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application/json</w:t>
            </w:r>
          </w:p>
        </w:tc>
      </w:tr>
      <w:tr w14:paraId="65A75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D9EE22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正常响应示例</w:t>
            </w:r>
          </w:p>
        </w:tc>
        <w:tc>
          <w:tcPr>
            <w:tcW w:w="4317" w:type="dxa"/>
          </w:tcPr>
          <w:p w14:paraId="4279552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{"status":"ok","message":"景区导览 AI 后端 (Node.js) 运行中"}</w:t>
            </w:r>
          </w:p>
        </w:tc>
      </w:tr>
      <w:tr w14:paraId="513DD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D65D3C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用途</w:t>
            </w:r>
          </w:p>
        </w:tc>
        <w:tc>
          <w:tcPr>
            <w:tcW w:w="4317" w:type="dxa"/>
          </w:tcPr>
          <w:p w14:paraId="31B63E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用于开发联调、容器探活和反向代理健康检查。</w:t>
            </w:r>
          </w:p>
        </w:tc>
      </w:tr>
    </w:tbl>
    <w:p w14:paraId="4EB82F43">
      <w:pPr>
        <w:spacing w:before="120" w:after="80" w:line="360" w:lineRule="auto"/>
        <w:jc w:val="left"/>
        <w:outlineLvl w:val="2"/>
      </w:pPr>
      <w:bookmarkStart w:id="35" w:name="_Toc13322"/>
      <w:r>
        <w:rPr>
          <w:rFonts w:ascii="Times New Roman" w:hAnsi="Times New Roman" w:eastAsia="黑体"/>
          <w:b/>
          <w:sz w:val="24"/>
        </w:rPr>
        <w:t>5.2.2 核心流式问答接口</w:t>
      </w:r>
      <w:bookmarkEnd w:id="35"/>
    </w:p>
    <w:p w14:paraId="104D04B2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5.3 核心流式问答接口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3002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4472C4"/>
          </w:tcPr>
          <w:p w14:paraId="16FA178F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w="4317" w:type="dxa"/>
            <w:shd w:val="clear" w:color="auto" w:fill="4472C4"/>
          </w:tcPr>
          <w:p w14:paraId="57CC5FF1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定义</w:t>
            </w:r>
          </w:p>
        </w:tc>
      </w:tr>
      <w:tr w14:paraId="4B2E40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AF73EA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请求路径</w:t>
            </w:r>
          </w:p>
        </w:tc>
        <w:tc>
          <w:tcPr>
            <w:tcW w:w="4317" w:type="dxa"/>
          </w:tcPr>
          <w:p w14:paraId="4989E1B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POST /api/v1/chat/stream</w:t>
            </w:r>
          </w:p>
        </w:tc>
      </w:tr>
      <w:tr w14:paraId="64B88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AA707B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请求头</w:t>
            </w:r>
          </w:p>
        </w:tc>
        <w:tc>
          <w:tcPr>
            <w:tcW w:w="4317" w:type="dxa"/>
          </w:tcPr>
          <w:p w14:paraId="48FFC99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Content-Type: application/json</w:t>
            </w:r>
          </w:p>
        </w:tc>
      </w:tr>
      <w:tr w14:paraId="23766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F0F02F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响应 Content-Type</w:t>
            </w:r>
          </w:p>
        </w:tc>
        <w:tc>
          <w:tcPr>
            <w:tcW w:w="4317" w:type="dxa"/>
          </w:tcPr>
          <w:p w14:paraId="7ABBC50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text/event-stream</w:t>
            </w:r>
          </w:p>
        </w:tc>
      </w:tr>
      <w:tr w14:paraId="6ED0A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564032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响应控制头</w:t>
            </w:r>
          </w:p>
        </w:tc>
        <w:tc>
          <w:tcPr>
            <w:tcW w:w="4317" w:type="dxa"/>
          </w:tcPr>
          <w:p w14:paraId="1A4456A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Cache-Control: no-cache；Connection: keep-alive</w:t>
            </w:r>
          </w:p>
        </w:tc>
      </w:tr>
      <w:tr w14:paraId="7730BA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341AF3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CORS</w:t>
            </w:r>
          </w:p>
        </w:tc>
        <w:tc>
          <w:tcPr>
            <w:tcW w:w="4317" w:type="dxa"/>
          </w:tcPr>
          <w:p w14:paraId="128468C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服务端按 FRONTEND_URL / config.frontendUrl 限制允许来源。</w:t>
            </w:r>
          </w:p>
        </w:tc>
      </w:tr>
      <w:tr w14:paraId="26775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6B86FF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请求体（当前代码）</w:t>
            </w:r>
          </w:p>
        </w:tc>
        <w:tc>
          <w:tcPr>
            <w:tcW w:w="4317" w:type="dxa"/>
          </w:tcPr>
          <w:p w14:paraId="658118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{"message":"请问景区有什么推荐的导览路线？"}</w:t>
            </w:r>
          </w:p>
        </w:tc>
      </w:tr>
      <w:tr w14:paraId="536D2F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7A0106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当前实现</w:t>
            </w:r>
          </w:p>
        </w:tc>
        <w:tc>
          <w:tcPr>
            <w:tcW w:w="4317" w:type="dxa"/>
          </w:tcPr>
          <w:p w14:paraId="253F12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 50ms 最多发送一个字符，使用 JSON.stringify 序列化后写入 data 帧；结束时发送 done 帧。</w:t>
            </w:r>
          </w:p>
        </w:tc>
      </w:tr>
    </w:tbl>
    <w:p w14:paraId="6643017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字段约束：正式契约建议将 message 定义为必填字符串并设置最大长度；当前 chat.ts 对空值/长度尚未做服务端强校验，因此该项属于补强要求，而不是当前代码已经提供的校验能力。</w:t>
      </w:r>
    </w:p>
    <w:p w14:paraId="556C5782">
      <w:pPr>
        <w:spacing w:before="160" w:after="120" w:line="360" w:lineRule="auto"/>
        <w:jc w:val="left"/>
        <w:outlineLvl w:val="1"/>
      </w:pPr>
      <w:bookmarkStart w:id="36" w:name="_Toc16367"/>
      <w:r>
        <w:rPr>
          <w:rFonts w:ascii="Times New Roman" w:hAnsi="Times New Roman" w:eastAsia="黑体"/>
          <w:b/>
          <w:sz w:val="28"/>
        </w:rPr>
        <w:t>5.3 SSE 内部契约（V1 联调基线）</w:t>
      </w:r>
      <w:bookmarkEnd w:id="36"/>
    </w:p>
    <w:p w14:paraId="1FAB2C3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重要：本节应由成员 D 与负责前后端联调的成员共同确认后冻结。由于当前仓库可见代码只实现了 text/done 两类数据帧，本文不把未实现的 audio、viseme、sessionId、seq、Last-Event-ID 续传写成"现状"，而将其明确标记为扩展项。</w:t>
      </w:r>
    </w:p>
    <w:p w14:paraId="1E326773">
      <w:pPr>
        <w:spacing w:before="120" w:after="80" w:line="360" w:lineRule="auto"/>
        <w:jc w:val="left"/>
        <w:outlineLvl w:val="2"/>
      </w:pPr>
      <w:bookmarkStart w:id="37" w:name="_Toc31440"/>
      <w:r>
        <w:rPr>
          <w:rFonts w:ascii="Times New Roman" w:hAnsi="Times New Roman" w:eastAsia="黑体"/>
          <w:b/>
          <w:sz w:val="24"/>
        </w:rPr>
        <w:t>5.3.1 帧格式与编码规则</w:t>
      </w:r>
      <w:bookmarkEnd w:id="37"/>
    </w:p>
    <w:p w14:paraId="3CDC87B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当前实现采用标准 SSE 的 data 字段，每个消息帧以两个换行符结束：</w:t>
      </w:r>
    </w:p>
    <w:p w14:paraId="1854964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data: {JSON对象}\n\n</w:t>
      </w:r>
    </w:p>
    <w:p w14:paraId="016BB0C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当前代码不发送 event: 命名事件字段，也不发送 id: 事件编号字段。客户端应读取 data 内容并根据 JSON 中的 type 字段分派处理逻辑。</w:t>
      </w:r>
    </w:p>
    <w:p w14:paraId="1C8FE7E7">
      <w:pPr>
        <w:spacing w:before="120" w:after="80" w:line="360" w:lineRule="auto"/>
        <w:jc w:val="left"/>
        <w:outlineLvl w:val="2"/>
      </w:pPr>
      <w:bookmarkStart w:id="38" w:name="_Toc22955"/>
      <w:r>
        <w:rPr>
          <w:rFonts w:ascii="Times New Roman" w:hAnsi="Times New Roman" w:eastAsia="黑体"/>
          <w:b/>
          <w:sz w:val="24"/>
        </w:rPr>
        <w:t>5.3.2 当前 V1 消息类型</w:t>
      </w:r>
      <w:bookmarkEnd w:id="38"/>
    </w:p>
    <w:p w14:paraId="1C9FAEE0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5.4 当前 V1 消息类型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1676"/>
        <w:gridCol w:w="1615"/>
        <w:gridCol w:w="2381"/>
      </w:tblGrid>
      <w:tr w14:paraId="4BF4DB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29" w:type="dxa"/>
            <w:shd w:val="clear" w:color="auto" w:fill="4472C4"/>
          </w:tcPr>
          <w:p w14:paraId="5927EEF2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type</w:t>
            </w:r>
          </w:p>
        </w:tc>
        <w:tc>
          <w:tcPr>
            <w:tcW w:w="1676" w:type="dxa"/>
            <w:shd w:val="clear" w:color="auto" w:fill="4472C4"/>
          </w:tcPr>
          <w:p w14:paraId="057DB3FF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w="1615" w:type="dxa"/>
            <w:shd w:val="clear" w:color="auto" w:fill="4472C4"/>
          </w:tcPr>
          <w:p w14:paraId="31AAC4A7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类型</w:t>
            </w:r>
          </w:p>
        </w:tc>
        <w:tc>
          <w:tcPr>
            <w:tcW w:w="2381" w:type="dxa"/>
            <w:shd w:val="clear" w:color="auto" w:fill="4472C4"/>
          </w:tcPr>
          <w:p w14:paraId="1C827FB8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语义/示例</w:t>
            </w:r>
          </w:p>
        </w:tc>
      </w:tr>
      <w:tr w14:paraId="5FC8B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9" w:type="dxa"/>
          </w:tcPr>
          <w:p w14:paraId="5F55513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w="1676" w:type="dxa"/>
          </w:tcPr>
          <w:p w14:paraId="06CF594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w="1615" w:type="dxa"/>
          </w:tcPr>
          <w:p w14:paraId="7D76415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</w:t>
            </w:r>
          </w:p>
        </w:tc>
        <w:tc>
          <w:tcPr>
            <w:tcW w:w="2381" w:type="dxa"/>
          </w:tcPr>
          <w:p w14:paraId="5523D32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文本增量。例：data: {"type":"text","content":"你"}</w:t>
            </w:r>
          </w:p>
        </w:tc>
      </w:tr>
      <w:tr w14:paraId="235D1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9" w:type="dxa"/>
          </w:tcPr>
          <w:p w14:paraId="221373D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done</w:t>
            </w:r>
          </w:p>
        </w:tc>
        <w:tc>
          <w:tcPr>
            <w:tcW w:w="1676" w:type="dxa"/>
          </w:tcPr>
          <w:p w14:paraId="46488B3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无固定业务字段</w:t>
            </w:r>
          </w:p>
        </w:tc>
        <w:tc>
          <w:tcPr>
            <w:tcW w:w="1615" w:type="dxa"/>
          </w:tcPr>
          <w:p w14:paraId="3A07771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w="2381" w:type="dxa"/>
          </w:tcPr>
          <w:p w14:paraId="14582A5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本次响应正常结束。例：data: {"type":"done"}</w:t>
            </w:r>
          </w:p>
        </w:tc>
      </w:tr>
      <w:tr w14:paraId="314A6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9" w:type="dxa"/>
          </w:tcPr>
          <w:p w14:paraId="14B5AC6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audio</w:t>
            </w:r>
          </w:p>
        </w:tc>
        <w:tc>
          <w:tcPr>
            <w:tcW w:w="1676" w:type="dxa"/>
          </w:tcPr>
          <w:p w14:paraId="42318A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audioBase64, mimeType, seq</w:t>
            </w:r>
          </w:p>
        </w:tc>
        <w:tc>
          <w:tcPr>
            <w:tcW w:w="1615" w:type="dxa"/>
          </w:tcPr>
          <w:p w14:paraId="321C330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string, string, number</w:t>
            </w:r>
          </w:p>
        </w:tc>
        <w:tc>
          <w:tcPr>
            <w:tcW w:w="2381" w:type="dxa"/>
          </w:tcPr>
          <w:p w14:paraId="0D8974C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TTS 音频分片；需在 TTS 接入前由 D/前端/后端共同冻结。</w:t>
            </w:r>
          </w:p>
        </w:tc>
      </w:tr>
      <w:tr w14:paraId="7BBDDE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9" w:type="dxa"/>
          </w:tcPr>
          <w:p w14:paraId="3EF1059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viseme</w:t>
            </w:r>
          </w:p>
        </w:tc>
        <w:tc>
          <w:tcPr>
            <w:tcW w:w="1676" w:type="dxa"/>
          </w:tcPr>
          <w:p w14:paraId="57954EA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seq, viseme, startMs, endMs</w:t>
            </w:r>
          </w:p>
        </w:tc>
        <w:tc>
          <w:tcPr>
            <w:tcW w:w="1615" w:type="dxa"/>
          </w:tcPr>
          <w:p w14:paraId="567EA42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number, string, number, number</w:t>
            </w:r>
          </w:p>
        </w:tc>
        <w:tc>
          <w:tcPr>
            <w:tcW w:w="2381" w:type="dxa"/>
          </w:tcPr>
          <w:p w14:paraId="3CFD5A6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口型/视觉音素帧，与音频播放时间轴对齐。</w:t>
            </w:r>
          </w:p>
        </w:tc>
      </w:tr>
      <w:tr w14:paraId="101BC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9" w:type="dxa"/>
          </w:tcPr>
          <w:p w14:paraId="4A20095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error</w:t>
            </w:r>
          </w:p>
        </w:tc>
        <w:tc>
          <w:tcPr>
            <w:tcW w:w="1676" w:type="dxa"/>
          </w:tcPr>
          <w:p w14:paraId="483A839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code, message, retryable</w:t>
            </w:r>
          </w:p>
        </w:tc>
        <w:tc>
          <w:tcPr>
            <w:tcW w:w="1615" w:type="dxa"/>
          </w:tcPr>
          <w:p w14:paraId="434CE0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string, string, boolean</w:t>
            </w:r>
          </w:p>
        </w:tc>
        <w:tc>
          <w:tcPr>
            <w:tcW w:w="2381" w:type="dxa"/>
          </w:tcPr>
          <w:p w14:paraId="3AE9E05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结构化错误；message 面向用户时不得暴露内部堆栈。</w:t>
            </w:r>
          </w:p>
        </w:tc>
      </w:tr>
      <w:tr w14:paraId="0FFC0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9" w:type="dxa"/>
          </w:tcPr>
          <w:p w14:paraId="60A7F5D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progress</w:t>
            </w:r>
          </w:p>
        </w:tc>
        <w:tc>
          <w:tcPr>
            <w:tcW w:w="1676" w:type="dxa"/>
          </w:tcPr>
          <w:p w14:paraId="45AFD00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stage, percent</w:t>
            </w:r>
          </w:p>
        </w:tc>
        <w:tc>
          <w:tcPr>
            <w:tcW w:w="1615" w:type="dxa"/>
          </w:tcPr>
          <w:p w14:paraId="5EBD172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string, number</w:t>
            </w:r>
          </w:p>
        </w:tc>
        <w:tc>
          <w:tcPr>
            <w:tcW w:w="2381" w:type="dxa"/>
          </w:tcPr>
          <w:p w14:paraId="333F7BB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适用于知识库异步处理或其他可观测进度。</w:t>
            </w:r>
          </w:p>
        </w:tc>
      </w:tr>
      <w:tr w14:paraId="2ACDB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9" w:type="dxa"/>
          </w:tcPr>
          <w:p w14:paraId="58C1615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cancelled</w:t>
            </w:r>
          </w:p>
        </w:tc>
        <w:tc>
          <w:tcPr>
            <w:tcW w:w="1676" w:type="dxa"/>
          </w:tcPr>
          <w:p w14:paraId="2B59DB2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reason?</w:t>
            </w:r>
          </w:p>
        </w:tc>
        <w:tc>
          <w:tcPr>
            <w:tcW w:w="1615" w:type="dxa"/>
          </w:tcPr>
          <w:p w14:paraId="638B83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 可选</w:t>
            </w:r>
          </w:p>
        </w:tc>
        <w:tc>
          <w:tcPr>
            <w:tcW w:w="2381" w:type="dxa"/>
          </w:tcPr>
          <w:p w14:paraId="4D78B09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用户打断后结束当前会话响应。</w:t>
            </w:r>
          </w:p>
        </w:tc>
      </w:tr>
    </w:tbl>
    <w:p w14:paraId="486C6234">
      <w:pPr>
        <w:spacing w:before="120" w:after="80" w:line="360" w:lineRule="auto"/>
        <w:jc w:val="left"/>
        <w:outlineLvl w:val="2"/>
      </w:pPr>
      <w:bookmarkStart w:id="39" w:name="_Toc19732"/>
      <w:r>
        <w:rPr>
          <w:rFonts w:ascii="Times New Roman" w:hAnsi="Times New Roman" w:eastAsia="黑体"/>
          <w:b/>
          <w:sz w:val="24"/>
        </w:rPr>
        <w:t>5.3.3 扩展字段建议</w:t>
      </w:r>
      <w:bookmarkEnd w:id="39"/>
    </w:p>
    <w:p w14:paraId="759DDD67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5.5 扩展字段建议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1BB05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4472C4"/>
          </w:tcPr>
          <w:p w14:paraId="45D05EBA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w="1727" w:type="dxa"/>
            <w:shd w:val="clear" w:color="auto" w:fill="4472C4"/>
          </w:tcPr>
          <w:p w14:paraId="6BB404E8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类型</w:t>
            </w:r>
          </w:p>
        </w:tc>
        <w:tc>
          <w:tcPr>
            <w:tcW w:w="1727" w:type="dxa"/>
            <w:shd w:val="clear" w:color="auto" w:fill="4472C4"/>
          </w:tcPr>
          <w:p w14:paraId="5328E73D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必需性</w:t>
            </w:r>
          </w:p>
        </w:tc>
        <w:tc>
          <w:tcPr>
            <w:tcW w:w="1727" w:type="dxa"/>
            <w:shd w:val="clear" w:color="auto" w:fill="4472C4"/>
          </w:tcPr>
          <w:p w14:paraId="62FA2F77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用途</w:t>
            </w:r>
          </w:p>
        </w:tc>
        <w:tc>
          <w:tcPr>
            <w:tcW w:w="1727" w:type="dxa"/>
            <w:shd w:val="clear" w:color="auto" w:fill="4472C4"/>
          </w:tcPr>
          <w:p w14:paraId="706CE7A4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当前是否发送</w:t>
            </w:r>
          </w:p>
        </w:tc>
      </w:tr>
      <w:tr w14:paraId="6CDD71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09A932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sessionId</w:t>
            </w:r>
          </w:p>
        </w:tc>
        <w:tc>
          <w:tcPr>
            <w:tcW w:w="1727" w:type="dxa"/>
          </w:tcPr>
          <w:p w14:paraId="31C0EF4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</w:t>
            </w:r>
          </w:p>
        </w:tc>
        <w:tc>
          <w:tcPr>
            <w:tcW w:w="1727" w:type="dxa"/>
          </w:tcPr>
          <w:p w14:paraId="79E69AF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扩展阶段建议必填</w:t>
            </w:r>
          </w:p>
        </w:tc>
        <w:tc>
          <w:tcPr>
            <w:tcW w:w="1727" w:type="dxa"/>
          </w:tcPr>
          <w:p w14:paraId="0B01378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关联同一轮/多轮会话，支持日志和断线恢复。</w:t>
            </w:r>
          </w:p>
        </w:tc>
        <w:tc>
          <w:tcPr>
            <w:tcW w:w="1727" w:type="dxa"/>
          </w:tcPr>
          <w:p w14:paraId="4CF1E2C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 w14:paraId="640475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91A95D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seq</w:t>
            </w:r>
          </w:p>
        </w:tc>
        <w:tc>
          <w:tcPr>
            <w:tcW w:w="1727" w:type="dxa"/>
          </w:tcPr>
          <w:p w14:paraId="1DCAE9E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number</w:t>
            </w:r>
          </w:p>
        </w:tc>
        <w:tc>
          <w:tcPr>
            <w:tcW w:w="1727" w:type="dxa"/>
          </w:tcPr>
          <w:p w14:paraId="208E3F8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有序流式消息建议必填</w:t>
            </w:r>
          </w:p>
        </w:tc>
        <w:tc>
          <w:tcPr>
            <w:tcW w:w="1727" w:type="dxa"/>
          </w:tcPr>
          <w:p w14:paraId="74631D9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标识同一响应内的单调递增顺序，供前端去重和断点续传。</w:t>
            </w:r>
          </w:p>
        </w:tc>
        <w:tc>
          <w:tcPr>
            <w:tcW w:w="1727" w:type="dxa"/>
          </w:tcPr>
          <w:p w14:paraId="0EED47C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 w14:paraId="4781D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A22714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w="1727" w:type="dxa"/>
          </w:tcPr>
          <w:p w14:paraId="49321A1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string/number</w:t>
            </w:r>
          </w:p>
        </w:tc>
        <w:tc>
          <w:tcPr>
            <w:tcW w:w="1727" w:type="dxa"/>
          </w:tcPr>
          <w:p w14:paraId="4D82660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可选</w:t>
            </w:r>
          </w:p>
        </w:tc>
        <w:tc>
          <w:tcPr>
            <w:tcW w:w="1727" w:type="dxa"/>
          </w:tcPr>
          <w:p w14:paraId="45F87EA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记录服务端发送时间，便于性能分析。</w:t>
            </w:r>
          </w:p>
        </w:tc>
        <w:tc>
          <w:tcPr>
            <w:tcW w:w="1727" w:type="dxa"/>
          </w:tcPr>
          <w:p w14:paraId="7BB7AEC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 w14:paraId="76894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D66A7D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code</w:t>
            </w:r>
          </w:p>
        </w:tc>
        <w:tc>
          <w:tcPr>
            <w:tcW w:w="1727" w:type="dxa"/>
          </w:tcPr>
          <w:p w14:paraId="4DF878E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string</w:t>
            </w:r>
          </w:p>
        </w:tc>
        <w:tc>
          <w:tcPr>
            <w:tcW w:w="1727" w:type="dxa"/>
          </w:tcPr>
          <w:p w14:paraId="03585CE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仅 error 时建议必填</w:t>
            </w:r>
          </w:p>
        </w:tc>
        <w:tc>
          <w:tcPr>
            <w:tcW w:w="1727" w:type="dxa"/>
          </w:tcPr>
          <w:p w14:paraId="5B0A642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机器可识别的错误类别。</w:t>
            </w:r>
          </w:p>
        </w:tc>
        <w:tc>
          <w:tcPr>
            <w:tcW w:w="1727" w:type="dxa"/>
          </w:tcPr>
          <w:p w14:paraId="25813C0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</w:tbl>
    <w:p w14:paraId="6920EAA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冻结建议：不得把现有 type=text/content/done 改名为 text_chunk/audio_chunk/event: done 后再要求前端适配。新增音频、口型、错误等能力时，优先通过新增 type 和可选字段扩展，以保持已实现文本链路向后兼容。</w:t>
      </w:r>
    </w:p>
    <w:p w14:paraId="447B1BF3">
      <w:pPr>
        <w:spacing w:before="120" w:after="80" w:line="360" w:lineRule="auto"/>
        <w:jc w:val="left"/>
        <w:outlineLvl w:val="2"/>
      </w:pPr>
      <w:bookmarkStart w:id="40" w:name="_Toc18334"/>
      <w:r>
        <w:rPr>
          <w:rFonts w:ascii="Times New Roman" w:hAnsi="Times New Roman" w:eastAsia="黑体"/>
          <w:b/>
          <w:sz w:val="24"/>
        </w:rPr>
        <w:t>5.3.4 正常与异常时序约定</w:t>
      </w:r>
      <w:bookmarkEnd w:id="40"/>
    </w:p>
    <w:p w14:paraId="309FF80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正常结束：text* → done → HTTP/SSE 响应结束。当前实现可能产生多条 text 帧，最后一帧为 done。</w:t>
      </w:r>
    </w:p>
    <w:p w14:paraId="5E698DB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异常结束：后续扩展可采用 text* → error → 响应结束；error 与 done 的语义必须互斥。</w:t>
      </w:r>
    </w:p>
    <w:p w14:paraId="017F1AD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用户打断：后续实现可采用已发送 text/audio/viseme → cancelled → 响应结束；同一响应不得同时发送 done 和 cancelled。</w:t>
      </w:r>
    </w:p>
    <w:p w14:paraId="4CBBCCE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断线续传：若后续启用 seq/id，则客户端保存最后已消费编号，服务端按该位置恢复；当前代码未实现该能力。</w:t>
      </w:r>
    </w:p>
    <w:p w14:paraId="0E034053">
      <w:pPr>
        <w:spacing w:before="120" w:after="80" w:line="360" w:lineRule="auto"/>
        <w:jc w:val="left"/>
        <w:outlineLvl w:val="2"/>
      </w:pPr>
      <w:bookmarkStart w:id="41" w:name="_Toc2980"/>
      <w:r>
        <w:rPr>
          <w:rFonts w:ascii="Times New Roman" w:hAnsi="Times New Roman" w:eastAsia="黑体"/>
          <w:b/>
          <w:sz w:val="24"/>
        </w:rPr>
        <w:t>5.3.5 前端消费方式约定</w:t>
      </w:r>
      <w:bookmarkEnd w:id="41"/>
    </w:p>
    <w:p w14:paraId="7525EE6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由于当前核心接口是 POST /api/v1/chat/stream，而原生浏览器 EventSource 只能发起 GET SSE 请求，因此前端联调应使用 fetch 发起 POST，再通过 Response.body 的 ReadableStream 解析 SSE 帧。若后续改为原生 EventSource，必须新增 GET SSE 接口并重新冻结 5.3 契约。</w:t>
      </w:r>
    </w:p>
    <w:p w14:paraId="6DF0121E">
      <w:pPr>
        <w:spacing w:before="160" w:after="120" w:line="360" w:lineRule="auto"/>
        <w:jc w:val="left"/>
        <w:outlineLvl w:val="1"/>
      </w:pPr>
      <w:bookmarkStart w:id="42" w:name="_Toc20179"/>
      <w:r>
        <w:rPr>
          <w:rFonts w:ascii="Times New Roman" w:hAnsi="Times New Roman" w:eastAsia="黑体"/>
          <w:b/>
          <w:sz w:val="28"/>
        </w:rPr>
        <w:t>5.4 数据字典</w:t>
      </w:r>
      <w:bookmarkEnd w:id="42"/>
    </w:p>
    <w:p w14:paraId="7B33AE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以下数据结构属于需求层数据字典。当前仓库已验证的是 HTTP/SSE 路由和配置，尚未看到 chat_session、chat_message、knowledge_chunk 的数据库访问实现，因此这些表应视为后续持久化设计，而非当前运行时已存在的数据表。</w:t>
      </w:r>
    </w:p>
    <w:p w14:paraId="253696A9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5.6 会话记录表（chat_session）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593"/>
        <w:gridCol w:w="1039"/>
        <w:gridCol w:w="1039"/>
        <w:gridCol w:w="2515"/>
        <w:gridCol w:w="1362"/>
      </w:tblGrid>
      <w:tr w14:paraId="2FB0E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  <w:shd w:val="clear" w:color="auto" w:fill="4472C4"/>
          </w:tcPr>
          <w:p w14:paraId="6E8C36AA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字段名</w:t>
            </w:r>
          </w:p>
        </w:tc>
        <w:tc>
          <w:tcPr>
            <w:tcW w:w="1439" w:type="dxa"/>
            <w:shd w:val="clear" w:color="auto" w:fill="4472C4"/>
          </w:tcPr>
          <w:p w14:paraId="0E23AD40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数据类型</w:t>
            </w:r>
          </w:p>
        </w:tc>
        <w:tc>
          <w:tcPr>
            <w:tcW w:w="1439" w:type="dxa"/>
            <w:shd w:val="clear" w:color="auto" w:fill="4472C4"/>
          </w:tcPr>
          <w:p w14:paraId="275BC90F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允许为空</w:t>
            </w:r>
          </w:p>
        </w:tc>
        <w:tc>
          <w:tcPr>
            <w:tcW w:w="1439" w:type="dxa"/>
            <w:shd w:val="clear" w:color="auto" w:fill="4472C4"/>
          </w:tcPr>
          <w:p w14:paraId="00303579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主键</w:t>
            </w:r>
          </w:p>
        </w:tc>
        <w:tc>
          <w:tcPr>
            <w:tcW w:w="1439" w:type="dxa"/>
            <w:shd w:val="clear" w:color="auto" w:fill="4472C4"/>
          </w:tcPr>
          <w:p w14:paraId="7BE03714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默认值</w:t>
            </w:r>
          </w:p>
        </w:tc>
        <w:tc>
          <w:tcPr>
            <w:tcW w:w="1439" w:type="dxa"/>
            <w:shd w:val="clear" w:color="auto" w:fill="4472C4"/>
          </w:tcPr>
          <w:p w14:paraId="2328E407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字段说明</w:t>
            </w:r>
          </w:p>
        </w:tc>
      </w:tr>
      <w:tr w14:paraId="4A5FD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63946D1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session_id</w:t>
            </w:r>
          </w:p>
        </w:tc>
        <w:tc>
          <w:tcPr>
            <w:tcW w:w="1439" w:type="dxa"/>
          </w:tcPr>
          <w:p w14:paraId="50BDC78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w="1439" w:type="dxa"/>
          </w:tcPr>
          <w:p w14:paraId="04EB0FE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0E71B5A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439" w:type="dxa"/>
          </w:tcPr>
          <w:p w14:paraId="41CB30D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1439" w:type="dxa"/>
          </w:tcPr>
          <w:p w14:paraId="38CEC67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会话唯一标识符。</w:t>
            </w:r>
          </w:p>
        </w:tc>
      </w:tr>
      <w:tr w14:paraId="5C68A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5B4832D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w="1439" w:type="dxa"/>
          </w:tcPr>
          <w:p w14:paraId="29DBD2D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w="1439" w:type="dxa"/>
          </w:tcPr>
          <w:p w14:paraId="428C439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439" w:type="dxa"/>
          </w:tcPr>
          <w:p w14:paraId="41CF865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1E737D8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w="1439" w:type="dxa"/>
          </w:tcPr>
          <w:p w14:paraId="42B99B4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游客标识（匿名/已登录）。</w:t>
            </w:r>
          </w:p>
        </w:tc>
      </w:tr>
      <w:tr w14:paraId="7C8C3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0450FF4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w="1439" w:type="dxa"/>
          </w:tcPr>
          <w:p w14:paraId="07E394E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w="1439" w:type="dxa"/>
          </w:tcPr>
          <w:p w14:paraId="1B44142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158053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686CE3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ACTIVE</w:t>
            </w:r>
          </w:p>
        </w:tc>
        <w:tc>
          <w:tcPr>
            <w:tcW w:w="1439" w:type="dxa"/>
          </w:tcPr>
          <w:p w14:paraId="616D08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会话状态，如 ACTIVE / CLOSED。</w:t>
            </w:r>
          </w:p>
        </w:tc>
      </w:tr>
      <w:tr w14:paraId="1F9AD8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41E7504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w="1439" w:type="dxa"/>
          </w:tcPr>
          <w:p w14:paraId="4F1C3E2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w="1439" w:type="dxa"/>
          </w:tcPr>
          <w:p w14:paraId="51D0340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5EE3658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387D836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w="1439" w:type="dxa"/>
          </w:tcPr>
          <w:p w14:paraId="5F7BC12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会话创建时间。</w:t>
            </w:r>
          </w:p>
        </w:tc>
      </w:tr>
    </w:tbl>
    <w:p w14:paraId="58FCCAFE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5.7 消息明细表（chat_message）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1593"/>
        <w:gridCol w:w="925"/>
        <w:gridCol w:w="925"/>
        <w:gridCol w:w="2515"/>
        <w:gridCol w:w="1559"/>
      </w:tblGrid>
      <w:tr w14:paraId="42D80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  <w:shd w:val="clear" w:color="auto" w:fill="4472C4"/>
          </w:tcPr>
          <w:p w14:paraId="66210018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字段名</w:t>
            </w:r>
          </w:p>
        </w:tc>
        <w:tc>
          <w:tcPr>
            <w:tcW w:w="1439" w:type="dxa"/>
            <w:shd w:val="clear" w:color="auto" w:fill="4472C4"/>
          </w:tcPr>
          <w:p w14:paraId="07547E1C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数据类型</w:t>
            </w:r>
          </w:p>
        </w:tc>
        <w:tc>
          <w:tcPr>
            <w:tcW w:w="1439" w:type="dxa"/>
            <w:shd w:val="clear" w:color="auto" w:fill="4472C4"/>
          </w:tcPr>
          <w:p w14:paraId="523189C8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允许为空</w:t>
            </w:r>
          </w:p>
        </w:tc>
        <w:tc>
          <w:tcPr>
            <w:tcW w:w="1439" w:type="dxa"/>
            <w:shd w:val="clear" w:color="auto" w:fill="4472C4"/>
          </w:tcPr>
          <w:p w14:paraId="374959F9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主键</w:t>
            </w:r>
          </w:p>
        </w:tc>
        <w:tc>
          <w:tcPr>
            <w:tcW w:w="1439" w:type="dxa"/>
            <w:shd w:val="clear" w:color="auto" w:fill="4472C4"/>
          </w:tcPr>
          <w:p w14:paraId="7551EE48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默认值</w:t>
            </w:r>
          </w:p>
        </w:tc>
        <w:tc>
          <w:tcPr>
            <w:tcW w:w="1439" w:type="dxa"/>
            <w:shd w:val="clear" w:color="auto" w:fill="4472C4"/>
          </w:tcPr>
          <w:p w14:paraId="360E677D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字段说明</w:t>
            </w:r>
          </w:p>
        </w:tc>
      </w:tr>
      <w:tr w14:paraId="35C36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7CE3B53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message_id</w:t>
            </w:r>
          </w:p>
        </w:tc>
        <w:tc>
          <w:tcPr>
            <w:tcW w:w="1439" w:type="dxa"/>
          </w:tcPr>
          <w:p w14:paraId="785C2BE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w="1439" w:type="dxa"/>
          </w:tcPr>
          <w:p w14:paraId="580E424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289ED2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439" w:type="dxa"/>
          </w:tcPr>
          <w:p w14:paraId="0D8E5DF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自增</w:t>
            </w:r>
          </w:p>
        </w:tc>
        <w:tc>
          <w:tcPr>
            <w:tcW w:w="1439" w:type="dxa"/>
          </w:tcPr>
          <w:p w14:paraId="12D6184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消息递增 ID。</w:t>
            </w:r>
          </w:p>
        </w:tc>
      </w:tr>
      <w:tr w14:paraId="2DF460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5A06505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session_id</w:t>
            </w:r>
          </w:p>
        </w:tc>
        <w:tc>
          <w:tcPr>
            <w:tcW w:w="1439" w:type="dxa"/>
          </w:tcPr>
          <w:p w14:paraId="6E37979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w="1439" w:type="dxa"/>
          </w:tcPr>
          <w:p w14:paraId="428DA8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6CE6BD4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62D5220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1439" w:type="dxa"/>
          </w:tcPr>
          <w:p w14:paraId="3A4DB31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关联的会话 ID。</w:t>
            </w:r>
          </w:p>
        </w:tc>
      </w:tr>
      <w:tr w14:paraId="0C82B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0916F7D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sender_type</w:t>
            </w:r>
          </w:p>
        </w:tc>
        <w:tc>
          <w:tcPr>
            <w:tcW w:w="1439" w:type="dxa"/>
          </w:tcPr>
          <w:p w14:paraId="360682F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w="1439" w:type="dxa"/>
          </w:tcPr>
          <w:p w14:paraId="5D9E9BF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27ABA2D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0ECC824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1439" w:type="dxa"/>
          </w:tcPr>
          <w:p w14:paraId="0746353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发送方类型，如 USER / ASSISTANT。</w:t>
            </w:r>
          </w:p>
        </w:tc>
      </w:tr>
      <w:tr w14:paraId="4D78A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58EFED6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w="1439" w:type="dxa"/>
          </w:tcPr>
          <w:p w14:paraId="3D658C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w="1439" w:type="dxa"/>
          </w:tcPr>
          <w:p w14:paraId="03338F6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7DB2143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6FABF9F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1439" w:type="dxa"/>
          </w:tcPr>
          <w:p w14:paraId="46EF35A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消息文本内容。</w:t>
            </w:r>
          </w:p>
        </w:tc>
      </w:tr>
      <w:tr w14:paraId="12AF50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7783EDD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w="1439" w:type="dxa"/>
          </w:tcPr>
          <w:p w14:paraId="38F4829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w="1439" w:type="dxa"/>
          </w:tcPr>
          <w:p w14:paraId="65779BA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3DF0899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35DD433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w="1439" w:type="dxa"/>
          </w:tcPr>
          <w:p w14:paraId="4A9524A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消息发送时间。</w:t>
            </w:r>
          </w:p>
        </w:tc>
      </w:tr>
    </w:tbl>
    <w:p w14:paraId="0A8651CF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5.8 知识库切片表（knowledge_chunk）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1698"/>
        <w:gridCol w:w="1429"/>
        <w:gridCol w:w="1429"/>
        <w:gridCol w:w="1429"/>
        <w:gridCol w:w="1431"/>
      </w:tblGrid>
      <w:tr w14:paraId="132CA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  <w:shd w:val="clear" w:color="auto" w:fill="4472C4"/>
          </w:tcPr>
          <w:p w14:paraId="39288E50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字段名</w:t>
            </w:r>
          </w:p>
        </w:tc>
        <w:tc>
          <w:tcPr>
            <w:tcW w:w="1439" w:type="dxa"/>
            <w:shd w:val="clear" w:color="auto" w:fill="4472C4"/>
          </w:tcPr>
          <w:p w14:paraId="4FCA90EC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数据类型</w:t>
            </w:r>
          </w:p>
        </w:tc>
        <w:tc>
          <w:tcPr>
            <w:tcW w:w="1439" w:type="dxa"/>
            <w:shd w:val="clear" w:color="auto" w:fill="4472C4"/>
          </w:tcPr>
          <w:p w14:paraId="746691A1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允许为空</w:t>
            </w:r>
          </w:p>
        </w:tc>
        <w:tc>
          <w:tcPr>
            <w:tcW w:w="1439" w:type="dxa"/>
            <w:shd w:val="clear" w:color="auto" w:fill="4472C4"/>
          </w:tcPr>
          <w:p w14:paraId="087ACCFB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主键</w:t>
            </w:r>
          </w:p>
        </w:tc>
        <w:tc>
          <w:tcPr>
            <w:tcW w:w="1439" w:type="dxa"/>
            <w:shd w:val="clear" w:color="auto" w:fill="4472C4"/>
          </w:tcPr>
          <w:p w14:paraId="23247261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默认值</w:t>
            </w:r>
          </w:p>
        </w:tc>
        <w:tc>
          <w:tcPr>
            <w:tcW w:w="1439" w:type="dxa"/>
            <w:shd w:val="clear" w:color="auto" w:fill="4472C4"/>
          </w:tcPr>
          <w:p w14:paraId="1FC81FBB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字段说明</w:t>
            </w:r>
          </w:p>
        </w:tc>
      </w:tr>
      <w:tr w14:paraId="5A4F5F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06EDC9B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chunk_id</w:t>
            </w:r>
          </w:p>
        </w:tc>
        <w:tc>
          <w:tcPr>
            <w:tcW w:w="1439" w:type="dxa"/>
          </w:tcPr>
          <w:p w14:paraId="15EBCB7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w="1439" w:type="dxa"/>
          </w:tcPr>
          <w:p w14:paraId="3114AEB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7FCC26F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439" w:type="dxa"/>
          </w:tcPr>
          <w:p w14:paraId="3B732E5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1439" w:type="dxa"/>
          </w:tcPr>
          <w:p w14:paraId="4CBC0293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知识库切片唯一 ID。</w:t>
            </w:r>
          </w:p>
        </w:tc>
      </w:tr>
      <w:tr w14:paraId="14A46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012E365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doc_name</w:t>
            </w:r>
          </w:p>
        </w:tc>
        <w:tc>
          <w:tcPr>
            <w:tcW w:w="1439" w:type="dxa"/>
          </w:tcPr>
          <w:p w14:paraId="26E636C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w="1439" w:type="dxa"/>
          </w:tcPr>
          <w:p w14:paraId="25441EB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752A243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422094C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1439" w:type="dxa"/>
          </w:tcPr>
          <w:p w14:paraId="0552668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来源文档名称。</w:t>
            </w:r>
          </w:p>
        </w:tc>
      </w:tr>
      <w:tr w14:paraId="7E8CC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330CB6D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w="1439" w:type="dxa"/>
          </w:tcPr>
          <w:p w14:paraId="66584FE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w="1439" w:type="dxa"/>
          </w:tcPr>
          <w:p w14:paraId="54A3853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67EE5CF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1AC4C95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1439" w:type="dxa"/>
          </w:tcPr>
          <w:p w14:paraId="3ED1647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切片文本原文。</w:t>
            </w:r>
          </w:p>
        </w:tc>
      </w:tr>
      <w:tr w14:paraId="7F514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5FE68B0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vector_id</w:t>
            </w:r>
          </w:p>
        </w:tc>
        <w:tc>
          <w:tcPr>
            <w:tcW w:w="1439" w:type="dxa"/>
          </w:tcPr>
          <w:p w14:paraId="3771E1C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w="1439" w:type="dxa"/>
          </w:tcPr>
          <w:p w14:paraId="19F19FB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46FBBB1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39" w:type="dxa"/>
          </w:tcPr>
          <w:p w14:paraId="1B65732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w="1439" w:type="dxa"/>
          </w:tcPr>
          <w:p w14:paraId="45EF834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向量数据库索引 ID。</w:t>
            </w:r>
          </w:p>
        </w:tc>
      </w:tr>
    </w:tbl>
    <w:p w14:paraId="2FE68ED5">
      <w:pPr>
        <w:spacing w:before="160" w:after="120" w:line="360" w:lineRule="auto"/>
        <w:jc w:val="left"/>
        <w:outlineLvl w:val="1"/>
      </w:pPr>
      <w:bookmarkStart w:id="43" w:name="_Toc6386"/>
      <w:r>
        <w:rPr>
          <w:rFonts w:ascii="Times New Roman" w:hAnsi="Times New Roman" w:eastAsia="黑体"/>
          <w:b/>
          <w:sz w:val="28"/>
        </w:rPr>
        <w:t>5.5 部署架构与运行约束（目标架构）</w:t>
      </w:r>
      <w:bookmarkEnd w:id="43"/>
    </w:p>
    <w:p w14:paraId="3C516B6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目标部署采用 Docker + Nginx + Node.js/Express/TypeScript。Nginx 负责 HTTPS、静态资源和 SSE 长连接透传，并应关闭 SSE 缓冲、适当延长读取超时；Node.js 后端承载 API 与 SSE。RAG 服务、向量数据库、TTS、ASR 等作为独立服务部署。</w:t>
      </w:r>
    </w:p>
    <w:p w14:paraId="708510D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【Docker + Nginx + Node.js 部署架构图】</w:t>
      </w:r>
    </w:p>
    <w:p w14:paraId="382A8CE3"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图 5.1 系统部署架构图</w:t>
      </w:r>
    </w:p>
    <w:p w14:paraId="373E1CE9">
      <w:pPr>
        <w:spacing w:before="160" w:after="120" w:line="360" w:lineRule="auto"/>
        <w:jc w:val="left"/>
        <w:outlineLvl w:val="1"/>
      </w:pPr>
      <w:bookmarkStart w:id="44" w:name="_Toc31555"/>
      <w:r>
        <w:rPr>
          <w:rFonts w:ascii="Times New Roman" w:hAnsi="Times New Roman" w:eastAsia="黑体"/>
          <w:b/>
          <w:sz w:val="28"/>
        </w:rPr>
        <w:t>5.6 联调与版本约束</w:t>
      </w:r>
      <w:bookmarkEnd w:id="44"/>
    </w:p>
    <w:p w14:paraId="3260DFB2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表 5.9 联调与版本约束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4C479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4472C4"/>
          </w:tcPr>
          <w:p w14:paraId="57886DE5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约束</w:t>
            </w:r>
          </w:p>
        </w:tc>
        <w:tc>
          <w:tcPr>
            <w:tcW w:w="4317" w:type="dxa"/>
            <w:shd w:val="clear" w:color="auto" w:fill="4472C4"/>
          </w:tcPr>
          <w:p w14:paraId="5A75BA40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要求</w:t>
            </w:r>
          </w:p>
        </w:tc>
      </w:tr>
      <w:tr w14:paraId="04AD8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D66DE7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接口路径</w:t>
            </w:r>
          </w:p>
        </w:tc>
        <w:tc>
          <w:tcPr>
            <w:tcW w:w="4317" w:type="dxa"/>
          </w:tcPr>
          <w:p w14:paraId="71C3EAC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前端联调使用 POST /api/v1/chat/stream；不要继续调用文档旧写法 /api/v1/chat 作为实际接口。</w:t>
            </w:r>
          </w:p>
        </w:tc>
      </w:tr>
      <w:tr w14:paraId="5B26D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9285B7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SSE 字段</w:t>
            </w:r>
          </w:p>
        </w:tc>
        <w:tc>
          <w:tcPr>
            <w:tcW w:w="4317" w:type="dxa"/>
          </w:tcPr>
          <w:p w14:paraId="2AC39D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现阶段冻结 type=text + content、type=done；不得在未同步文档的情况下改字段名。</w:t>
            </w:r>
          </w:p>
        </w:tc>
      </w:tr>
      <w:tr w14:paraId="6004F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DA2709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扩展方式</w:t>
            </w:r>
          </w:p>
        </w:tc>
        <w:tc>
          <w:tcPr>
            <w:tcW w:w="4317" w:type="dxa"/>
          </w:tcPr>
          <w:p w14:paraId="2CB7089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新增字段优先保持向后兼容；新增业务事件使用新 type。</w:t>
            </w:r>
          </w:p>
        </w:tc>
      </w:tr>
      <w:tr w14:paraId="625A5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3EEF73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消费方式</w:t>
            </w:r>
          </w:p>
        </w:tc>
        <w:tc>
          <w:tcPr>
            <w:tcW w:w="4317" w:type="dxa"/>
          </w:tcPr>
          <w:p w14:paraId="01E3250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 POST SSE 使用 fetch + ReadableStream；切换 EventSource 前必须重新设计 GET SSE 接口。</w:t>
            </w:r>
          </w:p>
        </w:tc>
      </w:tr>
      <w:tr w14:paraId="13EA8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2A3FF0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 侧数据分析</w:t>
            </w:r>
          </w:p>
        </w:tc>
        <w:tc>
          <w:tcPr>
            <w:tcW w:w="4317" w:type="dxa"/>
          </w:tcPr>
          <w:p w14:paraId="09E6887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数据洞察模块只依赖冻结后的字段；若新增 sessionId/seq 等字段，应同时更新数据字典和落库映射。</w:t>
            </w:r>
          </w:p>
        </w:tc>
      </w:tr>
      <w:tr w14:paraId="1401E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9BA0EF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契约变更</w:t>
            </w:r>
          </w:p>
        </w:tc>
        <w:tc>
          <w:tcPr>
            <w:tcW w:w="4317" w:type="dxa"/>
          </w:tcPr>
          <w:p w14:paraId="44219FA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任何接口路径、type、字段含义、结束条件变化，都必须同时更新需求文档、前后端代码和联调测试。</w:t>
            </w:r>
          </w:p>
        </w:tc>
      </w:tr>
    </w:tbl>
    <w:p w14:paraId="4C876A31">
      <w:pPr>
        <w:spacing w:before="240" w:after="240" w:line="360" w:lineRule="auto"/>
        <w:jc w:val="center"/>
        <w:outlineLvl w:val="0"/>
      </w:pPr>
      <w:bookmarkStart w:id="45" w:name="_Toc24371"/>
      <w:r>
        <w:rPr>
          <w:rFonts w:ascii="Times New Roman" w:hAnsi="Times New Roman" w:eastAsia="黑体"/>
          <w:b/>
          <w:sz w:val="32"/>
        </w:rPr>
        <w:t>附录：插入图片位置汇总（共 9 张）</w:t>
      </w:r>
      <w:bookmarkEnd w:id="45"/>
    </w:p>
    <w:p w14:paraId="0F5012CE">
      <w:pPr>
        <w:spacing w:before="120" w:after="60" w:line="360" w:lineRule="auto"/>
        <w:jc w:val="center"/>
      </w:pPr>
      <w:r>
        <w:rPr>
          <w:rFonts w:ascii="Times New Roman" w:hAnsi="Times New Roman" w:eastAsia="黑体"/>
          <w:b w:val="0"/>
          <w:sz w:val="21"/>
        </w:rPr>
        <w:t>附录表 插入图片位置汇总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0F30A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4472C4"/>
          </w:tcPr>
          <w:p w14:paraId="30A1F1B2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位置</w:t>
            </w:r>
          </w:p>
        </w:tc>
        <w:tc>
          <w:tcPr>
            <w:tcW w:w="4317" w:type="dxa"/>
            <w:shd w:val="clear" w:color="auto" w:fill="4472C4"/>
          </w:tcPr>
          <w:p w14:paraId="17FFFE31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图片</w:t>
            </w:r>
          </w:p>
        </w:tc>
      </w:tr>
      <w:tr w14:paraId="06218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0BFBCC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3.1节（系统功能架构图）</w:t>
            </w:r>
          </w:p>
        </w:tc>
        <w:tc>
          <w:tcPr>
            <w:tcW w:w="4317" w:type="dxa"/>
          </w:tcPr>
          <w:p w14:paraId="6705F19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系统功能架构图</w:t>
            </w:r>
          </w:p>
        </w:tc>
      </w:tr>
      <w:tr w14:paraId="14D57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2BFAA81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3.2.1节（智能语音问答）</w:t>
            </w:r>
          </w:p>
        </w:tc>
        <w:tc>
          <w:tcPr>
            <w:tcW w:w="4317" w:type="dxa"/>
          </w:tcPr>
          <w:p w14:paraId="32082F6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智能语音问答子系统功能子图</w:t>
            </w:r>
          </w:p>
        </w:tc>
      </w:tr>
      <w:tr w14:paraId="078A79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6B1DF3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3.2.2节（景区导览与路线推荐）</w:t>
            </w:r>
          </w:p>
        </w:tc>
        <w:tc>
          <w:tcPr>
            <w:tcW w:w="4317" w:type="dxa"/>
          </w:tcPr>
          <w:p w14:paraId="3FF2A317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景区导览与路线推荐子系统功能子图</w:t>
            </w:r>
          </w:p>
        </w:tc>
      </w:tr>
      <w:tr w14:paraId="01768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41FBBC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3.2.3节（数字人形象与状态管理）</w:t>
            </w:r>
          </w:p>
        </w:tc>
        <w:tc>
          <w:tcPr>
            <w:tcW w:w="4317" w:type="dxa"/>
          </w:tcPr>
          <w:p w14:paraId="194ED72F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数字人形象与状态管理子系统功能子图</w:t>
            </w:r>
          </w:p>
        </w:tc>
      </w:tr>
      <w:tr w14:paraId="460FB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AE4B7AD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3.2.4节（后台管理子系统）</w:t>
            </w:r>
          </w:p>
        </w:tc>
        <w:tc>
          <w:tcPr>
            <w:tcW w:w="4317" w:type="dxa"/>
          </w:tcPr>
          <w:p w14:paraId="670A9D9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后台管理子系统功能子图</w:t>
            </w:r>
          </w:p>
        </w:tc>
      </w:tr>
      <w:tr w14:paraId="0FE4F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C188F7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3.3节（用例图）</w:t>
            </w:r>
          </w:p>
        </w:tc>
        <w:tc>
          <w:tcPr>
            <w:tcW w:w="4317" w:type="dxa"/>
          </w:tcPr>
          <w:p w14:paraId="5E502B7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用例图</w:t>
            </w:r>
          </w:p>
        </w:tc>
      </w:tr>
      <w:tr w14:paraId="58538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02B24CC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3.5.1节（核心业务时序图）</w:t>
            </w:r>
          </w:p>
        </w:tc>
        <w:tc>
          <w:tcPr>
            <w:tcW w:w="4317" w:type="dxa"/>
          </w:tcPr>
          <w:p w14:paraId="0DC500A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4段式全链路时序图</w:t>
            </w:r>
          </w:p>
        </w:tc>
      </w:tr>
      <w:tr w14:paraId="5FF0A7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C083129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3.5.2节（异常时序图）</w:t>
            </w:r>
          </w:p>
        </w:tc>
        <w:tc>
          <w:tcPr>
            <w:tcW w:w="4317" w:type="dxa"/>
          </w:tcPr>
          <w:p w14:paraId="67C8DCFB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LastEventId断点续传时序图</w:t>
            </w:r>
          </w:p>
        </w:tc>
      </w:tr>
      <w:tr w14:paraId="569559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7AE8904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5.5节（部署架构图）</w:t>
            </w:r>
          </w:p>
        </w:tc>
        <w:tc>
          <w:tcPr>
            <w:tcW w:w="4317" w:type="dxa"/>
          </w:tcPr>
          <w:p w14:paraId="4362FA1A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Docker+Nginx+Node.js部署架构图</w:t>
            </w:r>
          </w:p>
        </w:tc>
      </w:tr>
    </w:tbl>
    <w:p w14:paraId="24A72916"/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82A28"/>
    <w:rsid w:val="673B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5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66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3174</Words>
  <Characters>4063</Characters>
  <Lines>0</Lines>
  <Paragraphs>0</Paragraphs>
  <TotalTime>2</TotalTime>
  <ScaleCrop>false</ScaleCrop>
  <LinksUpToDate>false</LinksUpToDate>
  <CharactersWithSpaces>4262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田爱源</cp:lastModifiedBy>
  <dcterms:modified xsi:type="dcterms:W3CDTF">2026-09-19T06:34:18Z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eyJoZGlkIjoiZGY4NTQyZTBlOTk4ODFjMTM5NDRjOWNlOGFhODhiZmMiLCJ1c2VySWQiOiIxODc5MzA1MDkyIn0=</vt:lpwstr>
  </property>
  <property fmtid="{D5CDD505-2E9C-101B-9397-08002B2CF9AE}" pid="3" name="KSOProductBuildVer">
    <vt:lpwstr>2052-12.1.0.28043</vt:lpwstr>
  </property>
  <property fmtid="{D5CDD505-2E9C-101B-9397-08002B2CF9AE}" pid="4" name="ICV">
    <vt:lpwstr>C41F462C8CB44678A0E707ABAFF60759_12</vt:lpwstr>
  </property>
</Properties>
</file>