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left"/>
      </w:pPr>
      <w:r>
        <w:t>Noosphere 全栈架构与优化说明</w:t>
      </w:r>
    </w:p>
    <w:p>
      <w:pPr>
        <w:spacing w:after="360"/>
      </w:pPr>
      <w:r>
        <w:rPr>
          <w:rFonts w:ascii="Aptos" w:hAnsi="Aptos" w:eastAsia="Microsoft YaHei"/>
          <w:color w:val="5C6370"/>
          <w:sz w:val="21"/>
        </w:rPr>
        <w:t>版本 0.5.0    维护者架构评审版    2026 年 9 月</w:t>
      </w:r>
    </w:p>
    <w:p>
      <w:pPr>
        <w:spacing w:after="240"/>
      </w:pPr>
      <w:r>
        <w:rPr>
          <w:rFonts w:ascii="Aptos" w:hAnsi="Aptos" w:eastAsia="Microsoft YaHei"/>
          <w:sz w:val="23"/>
        </w:rPr>
        <w:t>本说明以当前本地代码为准。Noosphere 已形成清晰的四层结构：React 交互层、Tauri 桌面边界、Go 统一业务服务和 Python CodeLens worker。本轮优化保留原有顶层目录，同时收敛前端共享状态、路由加载、安全策略与技术文档，使桌面体验和维护边界更加一致。</w:t>
      </w:r>
    </w:p>
    <w:p>
      <w:pPr>
        <w:pStyle w:val="Heading1"/>
      </w:pPr>
      <w:r>
        <w:t>架构结论</w:t>
      </w:r>
    </w:p>
    <w:p>
      <w:pPr>
        <w:pStyle w:val="ListBullet"/>
        <w:spacing w:after="80"/>
      </w:pPr>
      <w:r>
        <w:rPr>
          <w:rFonts w:ascii="Aptos" w:hAnsi="Aptos" w:eastAsia="Microsoft YaHei"/>
          <w:sz w:val="22"/>
        </w:rPr>
        <w:t>保留 frontend、backend、desktop 现有边界，不再复制业务能力或移动发布产物。</w:t>
      </w:r>
    </w:p>
    <w:p>
      <w:pPr>
        <w:pStyle w:val="ListBullet"/>
        <w:spacing w:after="80"/>
      </w:pPr>
      <w:r>
        <w:rPr>
          <w:rFonts w:ascii="Aptos" w:hAnsi="Aptos" w:eastAsia="Microsoft YaHei"/>
          <w:sz w:val="22"/>
        </w:rPr>
        <w:t>BackendProvider 成为前端唯一后端状态源，十秒健康轮询不再随页面实例重复创建。</w:t>
      </w:r>
    </w:p>
    <w:p>
      <w:pPr>
        <w:pStyle w:val="ListBullet"/>
        <w:spacing w:after="80"/>
      </w:pPr>
      <w:r>
        <w:rPr>
          <w:rFonts w:ascii="Aptos" w:hAnsi="Aptos" w:eastAsia="Microsoft YaHei"/>
          <w:sz w:val="22"/>
        </w:rPr>
        <w:t>工作区页面按路由拆包，应用启动只加载外壳和当前功能。</w:t>
      </w:r>
    </w:p>
    <w:p>
      <w:pPr>
        <w:pStyle w:val="ListBullet"/>
        <w:spacing w:after="80"/>
      </w:pPr>
      <w:r>
        <w:rPr>
          <w:rFonts w:ascii="Aptos" w:hAnsi="Aptos" w:eastAsia="Microsoft YaHei"/>
          <w:sz w:val="22"/>
        </w:rPr>
        <w:t>Go sidecar 限制浏览器来源，Tauri WebView 启用内容安全策略。</w:t>
      </w:r>
    </w:p>
    <w:p>
      <w:pPr>
        <w:pStyle w:val="ListBullet"/>
        <w:spacing w:after="80"/>
      </w:pPr>
      <w:r>
        <w:rPr>
          <w:rFonts w:ascii="Aptos" w:hAnsi="Aptos" w:eastAsia="Microsoft YaHei"/>
          <w:sz w:val="22"/>
        </w:rPr>
        <w:t>聊天界面采用可折叠全局导航、上下文会话栏和宽主画布，窄屏改为抽屉模式。</w:t>
      </w:r>
    </w:p>
    <w:p>
      <w:pPr>
        <w:pStyle w:val="Heading1"/>
      </w:pPr>
      <w:r>
        <w:t>系统边界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vAlign w:val="center"/>
            <w:shd w:fill="27324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1"/>
              </w:rPr>
              <w:t>层</w:t>
            </w:r>
          </w:p>
        </w:tc>
        <w:tc>
          <w:tcPr>
            <w:tcW w:type="dxa" w:w="2736"/>
            <w:vAlign w:val="center"/>
            <w:shd w:fill="27324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1"/>
              </w:rPr>
              <w:t>技术</w:t>
            </w:r>
          </w:p>
        </w:tc>
        <w:tc>
          <w:tcPr>
            <w:tcW w:type="dxa" w:w="5472"/>
            <w:vAlign w:val="center"/>
            <w:shd w:fill="27324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1"/>
              </w:rPr>
              <w:t>主要职责</w:t>
            </w:r>
          </w:p>
        </w:tc>
      </w:tr>
      <w:tr>
        <w:tc>
          <w:tcPr>
            <w:tcW w:type="dxa" w:w="14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交互层</w:t>
            </w:r>
          </w:p>
        </w:tc>
        <w:tc>
          <w:tcPr>
            <w:tcW w:type="dxa" w:w="27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React 18  Vite  TypeScript</w:t>
            </w:r>
          </w:p>
        </w:tc>
        <w:tc>
          <w:tcPr>
            <w:tcW w:type="dxa" w:w="54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工作区路由、组件、聊天状态、主题与响应式布局</w:t>
            </w:r>
          </w:p>
        </w:tc>
      </w:tr>
      <w:tr>
        <w:tc>
          <w:tcPr>
            <w:tcW w:type="dxa" w:w="14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6FA"/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桌面层</w:t>
            </w:r>
          </w:p>
        </w:tc>
        <w:tc>
          <w:tcPr>
            <w:tcW w:type="dxa" w:w="27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6FA"/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Tauri 2  Rust</w:t>
            </w:r>
          </w:p>
        </w:tc>
        <w:tc>
          <w:tcPr>
            <w:tcW w:type="dxa" w:w="54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6FA"/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窗口生命周期、能力权限、IPC 命令与 Go sidecar 管理</w:t>
            </w:r>
          </w:p>
        </w:tc>
      </w:tr>
      <w:tr>
        <w:tc>
          <w:tcPr>
            <w:tcW w:type="dxa" w:w="14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业务层</w:t>
            </w:r>
          </w:p>
        </w:tc>
        <w:tc>
          <w:tcPr>
            <w:tcW w:type="dxa" w:w="27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Go 标准库 HTTP</w:t>
            </w:r>
          </w:p>
        </w:tc>
        <w:tc>
          <w:tcPr>
            <w:tcW w:type="dxa" w:w="54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Gateway、Nebula、DevOps、统一路由与运行状态</w:t>
            </w:r>
          </w:p>
        </w:tc>
      </w:tr>
      <w:tr>
        <w:tc>
          <w:tcPr>
            <w:tcW w:type="dxa" w:w="14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6FA"/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分析层</w:t>
            </w:r>
          </w:p>
        </w:tc>
        <w:tc>
          <w:tcPr>
            <w:tcW w:type="dxa" w:w="27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6FA"/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Python  FastAPI  Tree sitter</w:t>
            </w:r>
          </w:p>
        </w:tc>
        <w:tc>
          <w:tcPr>
            <w:tcW w:type="dxa" w:w="54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6FA"/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代码解析、索引与分析，由 Go adapter 管理子进程</w:t>
            </w:r>
          </w:p>
        </w:tc>
      </w:tr>
      <w:tr>
        <w:tc>
          <w:tcPr>
            <w:tcW w:type="dxa" w:w="14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存储层</w:t>
            </w:r>
          </w:p>
        </w:tc>
        <w:tc>
          <w:tcPr>
            <w:tcW w:type="dxa" w:w="27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WAL  SST  HNSW</w:t>
            </w:r>
          </w:p>
        </w:tc>
        <w:tc>
          <w:tcPr>
            <w:tcW w:type="dxa" w:w="54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本地记忆、向量索引和持久化状态</w:t>
            </w:r>
          </w:p>
        </w:tc>
      </w:tr>
    </w:tbl>
    <w:p>
      <w:pPr>
        <w:spacing w:after="20"/>
      </w:pPr>
    </w:p>
    <w:p>
      <w:pPr>
        <w:pStyle w:val="Heading2"/>
      </w:pPr>
      <w:r>
        <w:t>运行拓扑</w:t>
      </w:r>
    </w:p>
    <w:p>
      <w:pPr>
        <w:spacing w:after="160"/>
        <w:ind w:left="259"/>
      </w:pPr>
      <w:r>
        <w:rPr>
          <w:rFonts w:ascii="Cascadia Mono" w:hAnsi="Cascadia Mono" w:eastAsia="Microsoft YaHei"/>
          <w:sz w:val="21"/>
        </w:rPr>
        <w:t>React WebView</w:t>
        <w:br/>
        <w:t xml:space="preserve">  -&gt; Tauri command bridge</w:t>
        <w:br/>
        <w:t xml:space="preserve">    -&gt; Go sidecar 127.0.0.1:8080</w:t>
        <w:br/>
        <w:t xml:space="preserve">      -&gt; Gateway / Nebula / DevOps</w:t>
        <w:br/>
        <w:t xml:space="preserve">      -&gt; CodeLens adapter -&gt; Python worker</w:t>
        <w:br/>
        <w:t xml:space="preserve">      -&gt; local WAL / SST / vector index</w:t>
      </w:r>
    </w:p>
    <w:p>
      <w:pPr>
        <w:pStyle w:val="Heading1"/>
      </w:pPr>
      <w:r>
        <w:t>本轮优化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vAlign w:val="center"/>
            <w:shd w:fill="27324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1"/>
              </w:rPr>
              <w:t>发现</w:t>
            </w:r>
          </w:p>
        </w:tc>
        <w:tc>
          <w:tcPr>
            <w:tcW w:type="dxa" w:w="3672"/>
            <w:vAlign w:val="center"/>
            <w:shd w:fill="27324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1"/>
              </w:rPr>
              <w:t>处理</w:t>
            </w:r>
          </w:p>
        </w:tc>
        <w:tc>
          <w:tcPr>
            <w:tcW w:type="dxa" w:w="3888"/>
            <w:vAlign w:val="center"/>
            <w:shd w:fill="27324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1"/>
              </w:rPr>
              <w:t>预期效果</w:t>
            </w:r>
          </w:p>
        </w:tc>
      </w:tr>
      <w:t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页面各自创建后端 hook</w:t>
            </w:r>
          </w:p>
        </w:tc>
        <w:tc>
          <w:tcPr>
            <w:tcW w:type="dxa" w:w="36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新增全局 BackendProvider 并并行预热资源</w:t>
            </w:r>
          </w:p>
        </w:tc>
        <w:tc>
          <w:tcPr>
            <w:tcW w:type="dxa" w:w="38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只保留一套轮询和共享缓存</w:t>
            </w:r>
          </w:p>
        </w:tc>
      </w:tr>
      <w:t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6FA"/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所有页面进入同一主包</w:t>
            </w:r>
          </w:p>
        </w:tc>
        <w:tc>
          <w:tcPr>
            <w:tcW w:type="dxa" w:w="36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6FA"/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React lazy 和 Suspense 按工作区拆分</w:t>
            </w:r>
          </w:p>
        </w:tc>
        <w:tc>
          <w:tcPr>
            <w:tcW w:type="dxa" w:w="38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6FA"/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降低首次 JavaScript 解析成本</w:t>
            </w:r>
          </w:p>
        </w:tc>
      </w:tr>
      <w:t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固定双侧栏挤压主区</w:t>
            </w:r>
          </w:p>
        </w:tc>
        <w:tc>
          <w:tcPr>
            <w:tcW w:type="dxa" w:w="36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桌面三栏  窄屏双抽屉</w:t>
            </w:r>
          </w:p>
        </w:tc>
        <w:tc>
          <w:tcPr>
            <w:tcW w:type="dxa" w:w="38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适配小窗口并改善对话可读宽度</w:t>
            </w:r>
          </w:p>
        </w:tc>
      </w:tr>
      <w:t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6FA"/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附件和 Agent 控件无状态</w:t>
            </w:r>
          </w:p>
        </w:tc>
        <w:tc>
          <w:tcPr>
            <w:tcW w:type="dxa" w:w="36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6FA"/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加入本地文本附件上下文和 Agent 模式</w:t>
            </w:r>
          </w:p>
        </w:tc>
        <w:tc>
          <w:tcPr>
            <w:tcW w:type="dxa" w:w="38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6FA"/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控件产生可验证的真实状态变化</w:t>
            </w:r>
          </w:p>
        </w:tc>
      </w:tr>
      <w:t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源码固化开发机路径</w:t>
            </w:r>
          </w:p>
        </w:tc>
        <w:tc>
          <w:tcPr>
            <w:tcW w:type="dxa" w:w="36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项目路径默认留空并由用户选择</w:t>
            </w:r>
          </w:p>
        </w:tc>
        <w:tc>
          <w:tcPr>
            <w:tcW w:type="dxa" w:w="38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发布包不泄露或依赖本机目录</w:t>
            </w:r>
          </w:p>
        </w:tc>
      </w:tr>
      <w:t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6FA"/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CORS 通配符  CSP 为空</w:t>
            </w:r>
          </w:p>
        </w:tc>
        <w:tc>
          <w:tcPr>
            <w:tcW w:type="dxa" w:w="36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6FA"/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来源白名单和 Tauri CSP</w:t>
            </w:r>
          </w:p>
        </w:tc>
        <w:tc>
          <w:tcPr>
            <w:tcW w:type="dxa" w:w="38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6FA"/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降低恶意网页访问本地服务的风险</w:t>
            </w:r>
          </w:p>
        </w:tc>
      </w:tr>
    </w:tbl>
    <w:p>
      <w:pPr>
        <w:spacing w:after="20"/>
      </w:pPr>
    </w:p>
    <w:p>
      <w:pPr>
        <w:pStyle w:val="Heading1"/>
      </w:pPr>
      <w:r>
        <w:t>前端工作台设计</w:t>
      </w:r>
    </w:p>
    <w:p>
      <w:r>
        <w:t>界面参考主流 AI 开发工具的空间组织方式，但保留 Noosphere 的工作区语义。全局导航保持安静，当前会话独立成栏，主对话画布以输入和上下文为中心。控件采用细边框、低饱和紫色强调和一致的 8 至 12 像素圆角。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60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osphere-chat-desk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60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 w:eastAsia="Microsoft YaHei"/>
          <w:color w:val="5C6370"/>
          <w:sz w:val="19"/>
        </w:rPr>
        <w:t>图 1  Noosphere AI 对话桌面布局基准</w:t>
      </w:r>
    </w:p>
    <w:p>
      <w:pPr>
        <w:pStyle w:val="Heading2"/>
      </w:pPr>
      <w:r>
        <w:t>前端状态与数据流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vAlign w:val="center"/>
            <w:shd w:fill="27324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1"/>
              </w:rPr>
              <w:t>状态源</w:t>
            </w:r>
          </w:p>
        </w:tc>
        <w:tc>
          <w:tcPr>
            <w:tcW w:type="dxa" w:w="4896"/>
            <w:vAlign w:val="center"/>
            <w:shd w:fill="27324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1"/>
              </w:rPr>
              <w:t>所有权</w:t>
            </w:r>
          </w:p>
        </w:tc>
        <w:tc>
          <w:tcPr>
            <w:tcW w:type="dxa" w:w="2664"/>
            <w:vAlign w:val="center"/>
            <w:shd w:fill="27324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1"/>
              </w:rPr>
              <w:t>生命周期</w:t>
            </w:r>
          </w:p>
        </w:tc>
      </w:tr>
      <w:t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BackendProvider</w:t>
            </w:r>
          </w:p>
        </w:tc>
        <w:tc>
          <w:tcPr>
            <w:tcW w:type="dxa" w:w="48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健康、模块、模型、记忆会话、指标和异步操作</w:t>
            </w:r>
          </w:p>
        </w:tc>
        <w:tc>
          <w:tcPr>
            <w:tcW w:type="dxa" w:w="26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应用级</w:t>
            </w:r>
          </w:p>
        </w:tc>
      </w:tr>
      <w:t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6FA"/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useChatStore</w:t>
            </w:r>
          </w:p>
        </w:tc>
        <w:tc>
          <w:tcPr>
            <w:tcW w:type="dxa" w:w="48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6FA"/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本地聊天会话、流式消息和活动模型</w:t>
            </w:r>
          </w:p>
        </w:tc>
        <w:tc>
          <w:tcPr>
            <w:tcW w:type="dxa" w:w="26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6FA"/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持久化</w:t>
            </w:r>
          </w:p>
        </w:tc>
      </w:tr>
      <w:t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useUiStore</w:t>
            </w:r>
          </w:p>
        </w:tc>
        <w:tc>
          <w:tcPr>
            <w:tcW w:type="dxa" w:w="48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当前路由和用户选择的项目路径</w:t>
            </w:r>
          </w:p>
        </w:tc>
        <w:tc>
          <w:tcPr>
            <w:tcW w:type="dxa" w:w="26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应用级</w:t>
            </w:r>
          </w:p>
        </w:tc>
      </w:tr>
      <w:t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6FA"/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useThemeStore</w:t>
            </w:r>
          </w:p>
        </w:tc>
        <w:tc>
          <w:tcPr>
            <w:tcW w:type="dxa" w:w="48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6FA"/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暗色或浅色主题</w:t>
            </w:r>
          </w:p>
        </w:tc>
        <w:tc>
          <w:tcPr>
            <w:tcW w:type="dxa" w:w="26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6FA"/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持久化</w:t>
            </w:r>
          </w:p>
        </w:tc>
      </w:tr>
      <w:t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组件 state</w:t>
            </w:r>
          </w:p>
        </w:tc>
        <w:tc>
          <w:tcPr>
            <w:tcW w:type="dxa" w:w="48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抽屉、输入、附件、加载和结果</w:t>
            </w:r>
          </w:p>
        </w:tc>
        <w:tc>
          <w:tcPr>
            <w:tcW w:type="dxa" w:w="26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页面或控件级</w:t>
            </w:r>
          </w:p>
        </w:tc>
      </w:tr>
    </w:tbl>
    <w:p>
      <w:pPr>
        <w:spacing w:after="20"/>
      </w:pPr>
    </w:p>
    <w:p>
      <w:pPr>
        <w:pStyle w:val="Heading1"/>
      </w:pPr>
      <w:r>
        <w:t>后端与安全</w:t>
      </w:r>
    </w:p>
    <w:p>
      <w:r>
        <w:t>Go 服务器继续使用标准库 HTTP。ReadHeaderTimeout 限制慢请求头，ReadTimeout 限制请求体读取；WriteTimeout 保持为零，避免长时间 SSE 对话在固定时间后被服务器截断。每个请求经过 Request ID、日志、崩溃恢复和来源校验。</w:t>
      </w:r>
    </w:p>
    <w:p>
      <w:pPr>
        <w:pStyle w:val="ListBullet"/>
        <w:spacing w:after="80"/>
      </w:pPr>
      <w:r>
        <w:rPr>
          <w:rFonts w:ascii="Aptos" w:hAnsi="Aptos" w:eastAsia="Microsoft YaHei"/>
          <w:sz w:val="22"/>
        </w:rPr>
        <w:t>允许来源由 server.allowed_origins 配置，默认覆盖本地 Vite 和 Tauri WebView。</w:t>
      </w:r>
    </w:p>
    <w:p>
      <w:pPr>
        <w:pStyle w:val="ListBullet"/>
        <w:spacing w:after="80"/>
      </w:pPr>
      <w:r>
        <w:rPr>
          <w:rFonts w:ascii="Aptos" w:hAnsi="Aptos" w:eastAsia="Microsoft YaHei"/>
          <w:sz w:val="22"/>
        </w:rPr>
        <w:t>无 Origin 的本地 sidecar、命令行和进程间请求保持可用。</w:t>
      </w:r>
    </w:p>
    <w:p>
      <w:pPr>
        <w:pStyle w:val="ListBullet"/>
        <w:spacing w:after="80"/>
      </w:pPr>
      <w:r>
        <w:rPr>
          <w:rFonts w:ascii="Aptos" w:hAnsi="Aptos" w:eastAsia="Microsoft YaHei"/>
          <w:sz w:val="22"/>
        </w:rPr>
        <w:t>Tauri CSP 只允许本地资源、IPC、开发服务器和 127.0.0.1:8080。</w:t>
      </w:r>
    </w:p>
    <w:p>
      <w:pPr>
        <w:pStyle w:val="ListBullet"/>
        <w:spacing w:after="80"/>
      </w:pPr>
      <w:r>
        <w:rPr>
          <w:rFonts w:ascii="Aptos" w:hAnsi="Aptos" w:eastAsia="Microsoft YaHei"/>
          <w:sz w:val="22"/>
        </w:rPr>
        <w:t>模型密钥、日志、运行数据和构建目录由 .gitignore 排除。</w:t>
      </w:r>
    </w:p>
    <w:p>
      <w:pPr>
        <w:pStyle w:val="Heading1"/>
      </w:pPr>
      <w:r>
        <w:t>验证与后续工作</w:t>
      </w:r>
    </w:p>
    <w:p>
      <w:r>
        <w:t>前端交付门槛包括 TypeScript 检查、Vite 生产构建、浏览器桌面与窄屏截图、控制台检查和核心交互验证。Go 与 Rust 工具链应在具备相应运行时的开发机或 CI 中执行完整测试和打包。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08"/>
            <w:vAlign w:val="center"/>
            <w:shd w:fill="27324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4536"/>
            <w:vAlign w:val="center"/>
            <w:shd w:fill="27324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1"/>
              </w:rPr>
              <w:t>后续事项</w:t>
            </w:r>
          </w:p>
        </w:tc>
        <w:tc>
          <w:tcPr>
            <w:tcW w:type="dxa" w:w="4104"/>
            <w:vAlign w:val="center"/>
            <w:shd w:fill="27324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1"/>
              </w:rPr>
              <w:t>完成标准</w:t>
            </w:r>
          </w:p>
        </w:tc>
      </w:tr>
      <w:tr>
        <w:tc>
          <w:tcPr>
            <w:tcW w:type="dxa" w:w="10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P0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在 CI 安装 Go Rust Node Python 并执行全链路测试</w:t>
            </w:r>
          </w:p>
        </w:tc>
        <w:tc>
          <w:tcPr>
            <w:tcW w:type="dxa" w:w="41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每次提交可复现构建和安装包</w:t>
            </w:r>
          </w:p>
        </w:tc>
      </w:tr>
      <w:tr>
        <w:tc>
          <w:tcPr>
            <w:tcW w:type="dxa" w:w="10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6FA"/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P1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6FA"/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为流式聊天增加可取消请求协议</w:t>
            </w:r>
          </w:p>
        </w:tc>
        <w:tc>
          <w:tcPr>
            <w:tcW w:type="dxa" w:w="41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6FA"/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停止操作同时终止后端模型请求</w:t>
            </w:r>
          </w:p>
        </w:tc>
      </w:tr>
      <w:tr>
        <w:tc>
          <w:tcPr>
            <w:tcW w:type="dxa" w:w="10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P1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为 CodeLens 路径选择接入原生文件夹对话框</w:t>
            </w:r>
          </w:p>
        </w:tc>
        <w:tc>
          <w:tcPr>
            <w:tcW w:type="dxa" w:w="41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不要求用户手工输入绝对路径</w:t>
            </w:r>
          </w:p>
        </w:tc>
      </w:tr>
      <w:tr>
        <w:tc>
          <w:tcPr>
            <w:tcW w:type="dxa" w:w="10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6FA"/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P2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6FA"/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细化 Gateway 和 DevOps 的权限与操作审计</w:t>
            </w:r>
          </w:p>
        </w:tc>
        <w:tc>
          <w:tcPr>
            <w:tcW w:type="dxa" w:w="41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6FA"/>
          </w:tcPr>
          <w:p>
            <w:pPr>
              <w:spacing w:after="0"/>
            </w:pPr>
            <w:r>
              <w:rPr>
                <w:rFonts w:ascii="Aptos" w:hAnsi="Aptos" w:eastAsia="Microsoft YaHei"/>
                <w:sz w:val="21"/>
              </w:rPr>
              <w:t>每个高影响工具有范围校验和记录</w:t>
            </w:r>
          </w:p>
        </w:tc>
      </w:tr>
    </w:tbl>
    <w:p>
      <w:pPr>
        <w:spacing w:after="20"/>
      </w:pPr>
    </w:p>
    <w:p/>
    <w:p>
      <w:pPr>
        <w:spacing w:before="160"/>
      </w:pPr>
      <w:r>
        <w:rPr>
          <w:rFonts w:ascii="Aptos" w:hAnsi="Aptos" w:eastAsia="Microsoft YaHei"/>
          <w:color w:val="6B7280"/>
          <w:sz w:val="19"/>
        </w:rPr>
        <w:t>文档来源  当前本地代码与 2026 年 9 月架构优化结果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8" w:lineRule="auto"/>
    </w:pPr>
    <w:rPr>
      <w:rFonts w:ascii="Aptos" w:hAnsi="Aptos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