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</w:t>
      </w:r>
      <w:r>
        <w:rPr>
          <w:b w:val="1"/>
          <w:bCs w:val="1"/>
          <w:sz w:val="36"/>
          <w:szCs w:val="36"/>
          <w:rtl w:val="0"/>
        </w:rPr>
        <w:t xml:space="preserve">awnaai </w:t>
      </w:r>
      <w:r>
        <w:rPr>
          <w:b w:val="1"/>
          <w:bCs w:val="1"/>
          <w:sz w:val="36"/>
          <w:szCs w:val="36"/>
          <w:rtl w:val="0"/>
          <w:lang w:val="en-US"/>
        </w:rPr>
        <w:t xml:space="preserve"> Diagnostic Center</w: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-274544</wp:posOffset>
                </wp:positionH>
                <wp:positionV relativeFrom="line">
                  <wp:posOffset>528735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1.6pt;margin-top:41.6pt;width:527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790989</wp:posOffset>
                </wp:positionV>
                <wp:extent cx="6694545" cy="880041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Sudhansh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20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ef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undefined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21/09/2021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3.1pt;margin-top:62.3pt;width:527.1pt;height:69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Sudhansh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20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ef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undefined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21/09/2021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8094871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20.2pt;margin-top:637.4pt;width:525.7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-275633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Impression: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significant diagnostic abnormality noted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Dr.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Deepak Kumbhar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DMRE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Consulting Radiologist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1.7pt;margin-top:225.6pt;width:527.1pt;height:368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Impression: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No significant diagnostic abnormality noted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Dr.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Deepak Kumbhar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DMRE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Consulting Radiologist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2201944</wp:posOffset>
                </wp:positionV>
                <wp:extent cx="6694545" cy="302322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SONOGRAPHY OF ABDOMEN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23.1pt;margin-top:173.4pt;width:527.1pt;height:2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>SONOGRAPHY OF ABDOMEN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1831365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20.2pt;margin-top:144.2pt;width:527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