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rFonts w:ascii="仿宋" w:hAnsi="仿宋" w:eastAsia="仿宋" w:cs="仿宋"/>
          <w:sz w:val="52"/>
          <w:szCs w:val="52"/>
        </w:rPr>
      </w:pPr>
      <w:bookmarkStart w:id="0" w:name="_Toc27393_WPSOffice_Level1"/>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b/>
          <w:bCs/>
          <w:sz w:val="52"/>
          <w:szCs w:val="52"/>
        </w:rPr>
      </w:pPr>
      <w:r>
        <w:rPr>
          <w:rFonts w:hint="eastAsia" w:ascii="仿宋" w:hAnsi="仿宋" w:eastAsia="仿宋" w:cs="仿宋"/>
          <w:b/>
          <w:bCs/>
          <w:sz w:val="52"/>
          <w:szCs w:val="52"/>
        </w:rPr>
        <w:t>宿迁市政务信息采集平台</w:t>
      </w:r>
    </w:p>
    <w:p>
      <w:pPr>
        <w:spacing w:line="288" w:lineRule="auto"/>
        <w:jc w:val="center"/>
        <w:rPr>
          <w:rFonts w:ascii="仿宋" w:hAnsi="仿宋" w:eastAsia="仿宋" w:cs="仿宋"/>
          <w:b/>
          <w:bCs/>
          <w:sz w:val="52"/>
          <w:szCs w:val="52"/>
        </w:rPr>
      </w:pPr>
      <w:r>
        <w:rPr>
          <w:rFonts w:hint="eastAsia" w:ascii="仿宋" w:hAnsi="仿宋" w:eastAsia="仿宋" w:cs="仿宋"/>
          <w:b/>
          <w:bCs/>
          <w:sz w:val="52"/>
          <w:szCs w:val="52"/>
        </w:rPr>
        <w:t>技术对接规范</w:t>
      </w:r>
      <w:bookmarkEnd w:id="0"/>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sz w:val="52"/>
          <w:szCs w:val="52"/>
        </w:rPr>
      </w:pPr>
    </w:p>
    <w:p>
      <w:pPr>
        <w:spacing w:line="288" w:lineRule="auto"/>
        <w:jc w:val="center"/>
        <w:rPr>
          <w:rFonts w:ascii="仿宋" w:hAnsi="仿宋" w:eastAsia="仿宋" w:cs="仿宋"/>
          <w:sz w:val="52"/>
          <w:szCs w:val="52"/>
        </w:rPr>
      </w:pPr>
    </w:p>
    <w:p>
      <w:pPr>
        <w:rPr>
          <w:rFonts w:ascii="仿宋" w:hAnsi="仿宋" w:eastAsia="仿宋" w:cs="仿宋"/>
        </w:rPr>
      </w:pPr>
      <w:bookmarkStart w:id="1" w:name="_Toc32385_WPSOffice_Level1"/>
      <w:bookmarkStart w:id="2" w:name="_Toc531015137"/>
      <w:bookmarkStart w:id="3" w:name="_Toc22576"/>
      <w:bookmarkStart w:id="4" w:name="_Toc19680_WPSOffice_Level1"/>
    </w:p>
    <w:p>
      <w:pPr>
        <w:rPr>
          <w:rFonts w:ascii="仿宋" w:hAnsi="仿宋" w:eastAsia="仿宋" w:cs="仿宋"/>
        </w:rPr>
      </w:pPr>
    </w:p>
    <w:p>
      <w:pPr>
        <w:rPr>
          <w:rFonts w:ascii="仿宋" w:hAnsi="仿宋" w:eastAsia="仿宋" w:cs="仿宋"/>
        </w:rPr>
      </w:pPr>
    </w:p>
    <w:p>
      <w:pPr>
        <w:rPr>
          <w:rFonts w:ascii="仿宋" w:hAnsi="仿宋" w:eastAsia="仿宋" w:cs="仿宋"/>
        </w:rPr>
      </w:pPr>
    </w:p>
    <w:p>
      <w:pPr>
        <w:rPr>
          <w:rFonts w:ascii="仿宋" w:hAnsi="仿宋" w:eastAsia="仿宋" w:cs="仿宋"/>
        </w:rPr>
      </w:pPr>
    </w:p>
    <w:p>
      <w:pPr>
        <w:rPr>
          <w:rFonts w:ascii="仿宋" w:hAnsi="仿宋" w:eastAsia="仿宋" w:cs="仿宋"/>
        </w:rPr>
      </w:pPr>
    </w:p>
    <w:p>
      <w:pPr>
        <w:rPr>
          <w:rFonts w:ascii="仿宋" w:hAnsi="仿宋" w:eastAsia="仿宋" w:cs="仿宋"/>
        </w:rPr>
      </w:pPr>
    </w:p>
    <w:p>
      <w:pPr>
        <w:rPr>
          <w:rFonts w:hint="eastAsia" w:ascii="仿宋" w:hAnsi="仿宋" w:eastAsia="仿宋" w:cs="仿宋"/>
        </w:rPr>
      </w:pPr>
    </w:p>
    <w:p>
      <w:pPr>
        <w:pStyle w:val="2"/>
        <w:rPr>
          <w:rFonts w:ascii="仿宋" w:hAnsi="仿宋" w:eastAsia="仿宋" w:cs="仿宋"/>
          <w:b w:val="0"/>
          <w:bCs w:val="0"/>
          <w:color w:val="000000"/>
          <w:sz w:val="32"/>
          <w:szCs w:val="32"/>
          <w:lang w:val="zh-CN"/>
        </w:rPr>
      </w:pPr>
      <w:bookmarkStart w:id="5" w:name="_Toc20870"/>
      <w:r>
        <w:rPr>
          <w:rFonts w:hint="eastAsia" w:ascii="仿宋" w:hAnsi="仿宋" w:eastAsia="仿宋" w:cs="仿宋"/>
          <w:b w:val="0"/>
          <w:bCs w:val="0"/>
          <w:color w:val="000000"/>
          <w:sz w:val="32"/>
          <w:szCs w:val="32"/>
        </w:rPr>
        <w:t>一、</w:t>
      </w:r>
      <w:r>
        <w:rPr>
          <w:rFonts w:hint="eastAsia" w:ascii="仿宋" w:hAnsi="仿宋" w:eastAsia="仿宋" w:cs="仿宋"/>
          <w:b w:val="0"/>
          <w:bCs w:val="0"/>
          <w:color w:val="000000"/>
          <w:sz w:val="32"/>
          <w:szCs w:val="32"/>
          <w:lang w:val="zh-CN"/>
        </w:rPr>
        <w:t>编制说明</w:t>
      </w:r>
      <w:bookmarkEnd w:id="1"/>
      <w:bookmarkEnd w:id="2"/>
      <w:bookmarkEnd w:id="3"/>
      <w:bookmarkEnd w:id="4"/>
      <w:bookmarkEnd w:id="5"/>
    </w:p>
    <w:p>
      <w:pPr>
        <w:spacing w:line="360" w:lineRule="auto"/>
        <w:ind w:firstLine="480" w:firstLineChars="200"/>
        <w:outlineLvl w:val="1"/>
        <w:rPr>
          <w:rFonts w:ascii="仿宋" w:hAnsi="仿宋" w:eastAsia="仿宋" w:cs="仿宋"/>
        </w:rPr>
      </w:pPr>
      <w:bookmarkStart w:id="6" w:name="_Toc9554"/>
      <w:bookmarkStart w:id="7" w:name="_Toc531015138"/>
      <w:bookmarkStart w:id="8" w:name="_Toc27457_WPSOffice_Level2"/>
      <w:bookmarkStart w:id="9" w:name="_Toc9043_WPSOffice_Level2"/>
      <w:bookmarkStart w:id="10" w:name="_Toc22953"/>
      <w:bookmarkStart w:id="11" w:name="_Toc1256_WPSOffice_Level2"/>
      <w:r>
        <w:rPr>
          <w:rFonts w:hint="eastAsia" w:ascii="仿宋" w:hAnsi="仿宋" w:eastAsia="仿宋" w:cs="仿宋"/>
        </w:rPr>
        <w:t>（一）编制目的</w:t>
      </w:r>
      <w:bookmarkEnd w:id="6"/>
      <w:bookmarkEnd w:id="7"/>
      <w:bookmarkEnd w:id="8"/>
      <w:bookmarkEnd w:id="9"/>
      <w:bookmarkEnd w:id="10"/>
      <w:bookmarkEnd w:id="11"/>
    </w:p>
    <w:p>
      <w:pPr>
        <w:spacing w:line="360" w:lineRule="auto"/>
        <w:ind w:firstLine="480" w:firstLineChars="200"/>
        <w:rPr>
          <w:rFonts w:ascii="仿宋" w:hAnsi="仿宋" w:eastAsia="仿宋" w:cs="仿宋"/>
        </w:rPr>
      </w:pPr>
      <w:bookmarkStart w:id="12" w:name="_Toc5867"/>
      <w:r>
        <w:rPr>
          <w:rFonts w:hint="eastAsia" w:ascii="仿宋" w:hAnsi="仿宋" w:eastAsia="仿宋" w:cs="仿宋"/>
        </w:rPr>
        <w:t>为指导宿迁市政务信息采集平台的技术对接工作，实现全市政务数据资源的归集、治理和共享，特编制本规范。</w:t>
      </w:r>
      <w:bookmarkEnd w:id="12"/>
    </w:p>
    <w:p>
      <w:pPr>
        <w:spacing w:line="360" w:lineRule="auto"/>
        <w:ind w:firstLine="480" w:firstLineChars="200"/>
        <w:outlineLvl w:val="1"/>
        <w:rPr>
          <w:rFonts w:ascii="仿宋" w:hAnsi="仿宋" w:eastAsia="仿宋" w:cs="仿宋"/>
        </w:rPr>
      </w:pPr>
      <w:bookmarkStart w:id="13" w:name="_Toc31583"/>
      <w:bookmarkStart w:id="14" w:name="_Toc15593_WPSOffice_Level2"/>
      <w:bookmarkStart w:id="15" w:name="_Toc3445_WPSOffice_Level2"/>
      <w:bookmarkStart w:id="16" w:name="_Toc18965"/>
      <w:bookmarkStart w:id="17" w:name="_Toc531015139"/>
      <w:bookmarkStart w:id="18" w:name="_Toc20764_WPSOffice_Level2"/>
      <w:r>
        <w:rPr>
          <w:rFonts w:hint="eastAsia" w:ascii="仿宋" w:hAnsi="仿宋" w:eastAsia="仿宋" w:cs="仿宋"/>
        </w:rPr>
        <w:t>（二）</w:t>
      </w:r>
      <w:bookmarkStart w:id="19" w:name="_Toc520712578"/>
      <w:r>
        <w:rPr>
          <w:rFonts w:hint="eastAsia" w:ascii="仿宋" w:hAnsi="仿宋" w:eastAsia="仿宋" w:cs="仿宋"/>
        </w:rPr>
        <w:t>采集平台简介</w:t>
      </w:r>
      <w:bookmarkEnd w:id="13"/>
      <w:bookmarkEnd w:id="14"/>
      <w:bookmarkEnd w:id="15"/>
      <w:bookmarkEnd w:id="16"/>
      <w:bookmarkEnd w:id="17"/>
      <w:bookmarkEnd w:id="18"/>
      <w:bookmarkEnd w:id="19"/>
    </w:p>
    <w:p>
      <w:pPr>
        <w:spacing w:line="360" w:lineRule="auto"/>
        <w:ind w:firstLine="480" w:firstLineChars="200"/>
        <w:rPr>
          <w:rFonts w:ascii="仿宋" w:hAnsi="仿宋" w:eastAsia="仿宋" w:cs="仿宋"/>
        </w:rPr>
      </w:pPr>
      <w:bookmarkStart w:id="20" w:name="_Toc27636"/>
      <w:r>
        <w:rPr>
          <w:rFonts w:hint="eastAsia" w:ascii="仿宋" w:hAnsi="仿宋" w:eastAsia="仿宋" w:cs="仿宋"/>
        </w:rPr>
        <w:t>基于分布式架构的宿迁市政务信息采集平台提供数据抽取、集中、加载、转换、传输及共享等功能，可为不同系统间执行信息数据交换、信息数据共享以及信息数据业务协同等任务提供基础。支持多源异构数据采集与管理，多种加密、解密算法配置等功能，从而可以保障数据在传输中的安全以及数据在存储过程中的安全。为不同地域、不同部门、不同平台、不同应用系统和不同数据库之间的互连互通提供了包含提取、转换、传输和加载等操作的数据整合服务，实现了扩展性良好的“松耦合”结构的应用和数据集成。进一步发挥信息数据资源的效能，提升信息数据资产对业务产品和后续数据仓库的重要支撑作用。</w:t>
      </w:r>
      <w:bookmarkEnd w:id="20"/>
    </w:p>
    <w:p>
      <w:pPr>
        <w:spacing w:line="360" w:lineRule="auto"/>
        <w:ind w:firstLine="480" w:firstLineChars="200"/>
        <w:outlineLvl w:val="1"/>
        <w:rPr>
          <w:rFonts w:ascii="仿宋" w:hAnsi="仿宋" w:eastAsia="仿宋" w:cs="仿宋"/>
        </w:rPr>
      </w:pPr>
      <w:bookmarkStart w:id="21" w:name="_Toc28341_WPSOffice_Level2"/>
      <w:bookmarkStart w:id="22" w:name="_Toc4946"/>
      <w:bookmarkStart w:id="23" w:name="_Toc531015140"/>
      <w:bookmarkStart w:id="24" w:name="_Toc484_WPSOffice_Level2"/>
      <w:bookmarkStart w:id="25" w:name="_Toc8114"/>
      <w:bookmarkStart w:id="26" w:name="_Toc12242_WPSOffice_Level2"/>
      <w:r>
        <w:rPr>
          <w:rFonts w:hint="eastAsia" w:ascii="仿宋" w:hAnsi="仿宋" w:eastAsia="仿宋" w:cs="仿宋"/>
        </w:rPr>
        <w:t>（三）</w:t>
      </w:r>
      <w:bookmarkStart w:id="27" w:name="_Toc520712579"/>
      <w:r>
        <w:rPr>
          <w:rFonts w:hint="eastAsia" w:ascii="仿宋" w:hAnsi="仿宋" w:eastAsia="仿宋" w:cs="仿宋"/>
        </w:rPr>
        <w:t>内容概要</w:t>
      </w:r>
      <w:bookmarkEnd w:id="21"/>
      <w:bookmarkEnd w:id="22"/>
      <w:bookmarkEnd w:id="23"/>
      <w:bookmarkEnd w:id="24"/>
      <w:bookmarkEnd w:id="25"/>
      <w:bookmarkEnd w:id="26"/>
      <w:bookmarkEnd w:id="27"/>
    </w:p>
    <w:p>
      <w:pPr>
        <w:spacing w:line="360" w:lineRule="auto"/>
        <w:ind w:firstLine="480" w:firstLineChars="200"/>
        <w:rPr>
          <w:rFonts w:ascii="仿宋" w:hAnsi="仿宋" w:eastAsia="仿宋" w:cs="仿宋"/>
        </w:rPr>
      </w:pPr>
      <w:bookmarkStart w:id="28" w:name="_Toc5654"/>
      <w:r>
        <w:rPr>
          <w:rFonts w:hint="eastAsia" w:ascii="仿宋" w:hAnsi="仿宋" w:eastAsia="仿宋" w:cs="仿宋"/>
        </w:rPr>
        <w:t>本规范从网络接入、配置、采集方式、库表交换规范、文件交换规范、数据源格式规范、实施步骤系等技术方面，介绍了数据采集平台对外开放的技术规范与要求。</w:t>
      </w:r>
      <w:bookmarkEnd w:id="28"/>
      <w:bookmarkStart w:id="29" w:name="_Toc531015142"/>
      <w:bookmarkStart w:id="30" w:name="_Toc2073_WPSOffice_Level2"/>
      <w:bookmarkStart w:id="31" w:name="_Toc6353_WPSOffice_Level2"/>
      <w:bookmarkStart w:id="32" w:name="_Toc14909_WPSOffice_Level2"/>
      <w:bookmarkStart w:id="33" w:name="_Toc9473"/>
    </w:p>
    <w:bookmarkEnd w:id="29"/>
    <w:bookmarkEnd w:id="30"/>
    <w:bookmarkEnd w:id="31"/>
    <w:bookmarkEnd w:id="32"/>
    <w:p>
      <w:pPr>
        <w:pStyle w:val="2"/>
        <w:rPr>
          <w:rFonts w:ascii="仿宋" w:hAnsi="仿宋" w:eastAsia="仿宋" w:cs="仿宋"/>
          <w:b w:val="0"/>
          <w:bCs w:val="0"/>
          <w:color w:val="000000"/>
          <w:sz w:val="32"/>
          <w:szCs w:val="32"/>
        </w:rPr>
      </w:pPr>
      <w:r>
        <w:rPr>
          <w:rFonts w:hint="eastAsia" w:ascii="仿宋" w:hAnsi="仿宋" w:eastAsia="仿宋" w:cs="仿宋"/>
          <w:b w:val="0"/>
          <w:bCs w:val="0"/>
          <w:color w:val="000000"/>
          <w:sz w:val="32"/>
          <w:szCs w:val="32"/>
        </w:rPr>
        <w:t>二、数据对接注意事项</w:t>
      </w:r>
      <w:bookmarkEnd w:id="33"/>
      <w:bookmarkStart w:id="34" w:name="_Toc27942"/>
    </w:p>
    <w:p>
      <w:pPr>
        <w:numPr>
          <w:ilvl w:val="0"/>
          <w:numId w:val="1"/>
        </w:numPr>
        <w:spacing w:line="360" w:lineRule="auto"/>
        <w:ind w:firstLine="480" w:firstLineChars="200"/>
        <w:rPr>
          <w:rFonts w:ascii="仿宋" w:hAnsi="仿宋" w:eastAsia="仿宋" w:cs="仿宋"/>
          <w:color w:val="000000"/>
        </w:rPr>
      </w:pPr>
      <w:r>
        <w:rPr>
          <w:rFonts w:hint="eastAsia" w:ascii="仿宋" w:hAnsi="仿宋" w:eastAsia="仿宋" w:cs="仿宋"/>
          <w:color w:val="000000"/>
        </w:rPr>
        <w:t>数据源单位需接入电子政务外网；</w:t>
      </w:r>
      <w:bookmarkEnd w:id="34"/>
      <w:bookmarkStart w:id="35" w:name="_Toc5242"/>
    </w:p>
    <w:p>
      <w:pPr>
        <w:numPr>
          <w:ilvl w:val="0"/>
          <w:numId w:val="1"/>
        </w:numPr>
        <w:spacing w:line="360" w:lineRule="auto"/>
        <w:ind w:firstLine="480" w:firstLineChars="200"/>
        <w:rPr>
          <w:rFonts w:ascii="仿宋" w:hAnsi="仿宋" w:eastAsia="仿宋" w:cs="仿宋"/>
          <w:color w:val="000000"/>
        </w:rPr>
      </w:pPr>
      <w:r>
        <w:rPr>
          <w:rFonts w:hint="eastAsia" w:ascii="仿宋" w:hAnsi="仿宋" w:eastAsia="仿宋" w:cs="仿宋"/>
          <w:color w:val="000000"/>
        </w:rPr>
        <w:t>数据源单位需已完成宿迁市政务数据共享交换平台账号申请；</w:t>
      </w:r>
      <w:bookmarkEnd w:id="35"/>
      <w:bookmarkStart w:id="36" w:name="_Toc17384"/>
    </w:p>
    <w:p>
      <w:pPr>
        <w:numPr>
          <w:ilvl w:val="0"/>
          <w:numId w:val="1"/>
        </w:numPr>
        <w:spacing w:line="360" w:lineRule="auto"/>
        <w:ind w:firstLine="480" w:firstLineChars="200"/>
        <w:rPr>
          <w:rFonts w:ascii="仿宋" w:hAnsi="仿宋" w:eastAsia="仿宋" w:cs="仿宋"/>
          <w:color w:val="000000"/>
        </w:rPr>
      </w:pPr>
      <w:r>
        <w:rPr>
          <w:rFonts w:hint="eastAsia" w:ascii="仿宋" w:hAnsi="仿宋" w:eastAsia="仿宋" w:cs="仿宋"/>
          <w:color w:val="000000"/>
        </w:rPr>
        <w:t>通过库表交换对接的，数据源单位需保障本单位侧网络及前置库的安全及相关维护工作；</w:t>
      </w:r>
      <w:bookmarkEnd w:id="36"/>
      <w:bookmarkStart w:id="37" w:name="_Toc5963"/>
    </w:p>
    <w:p>
      <w:pPr>
        <w:numPr>
          <w:ilvl w:val="0"/>
          <w:numId w:val="1"/>
        </w:numPr>
        <w:spacing w:line="360" w:lineRule="auto"/>
        <w:ind w:firstLine="480" w:firstLineChars="200"/>
        <w:rPr>
          <w:rFonts w:ascii="仿宋" w:hAnsi="仿宋" w:eastAsia="仿宋" w:cs="仿宋"/>
          <w:color w:val="000000"/>
        </w:rPr>
      </w:pPr>
      <w:r>
        <w:rPr>
          <w:rFonts w:hint="eastAsia" w:ascii="仿宋" w:hAnsi="仿宋" w:eastAsia="仿宋" w:cs="仿宋"/>
          <w:color w:val="000000"/>
        </w:rPr>
        <w:t>数据源单位前置库建议开启白名单访问限制（大数据中心采集平台IP地址段信息，请见附件1 数据采集平台白名单IP表）；</w:t>
      </w:r>
      <w:bookmarkEnd w:id="37"/>
      <w:bookmarkStart w:id="38" w:name="_Toc16973"/>
    </w:p>
    <w:p>
      <w:pPr>
        <w:numPr>
          <w:ilvl w:val="0"/>
          <w:numId w:val="1"/>
        </w:numPr>
        <w:spacing w:line="360" w:lineRule="auto"/>
        <w:ind w:firstLine="480" w:firstLineChars="200"/>
        <w:rPr>
          <w:rFonts w:ascii="仿宋" w:hAnsi="仿宋" w:eastAsia="仿宋" w:cs="仿宋"/>
          <w:color w:val="000000"/>
        </w:rPr>
      </w:pPr>
      <w:r>
        <w:rPr>
          <w:rFonts w:hint="eastAsia" w:ascii="仿宋" w:hAnsi="仿宋" w:eastAsia="仿宋" w:cs="仿宋"/>
          <w:color w:val="000000"/>
        </w:rPr>
        <w:t>数据源单位负责提供对接资源表结构和数据字典等信息，以及基于资源目录的数据库查询脚本。</w:t>
      </w:r>
      <w:bookmarkEnd w:id="38"/>
    </w:p>
    <w:p>
      <w:pPr>
        <w:pStyle w:val="2"/>
        <w:rPr>
          <w:rFonts w:ascii="仿宋" w:hAnsi="仿宋" w:eastAsia="仿宋" w:cs="仿宋"/>
          <w:color w:val="000000"/>
          <w:kern w:val="2"/>
          <w:sz w:val="32"/>
          <w:szCs w:val="32"/>
        </w:rPr>
      </w:pPr>
      <w:bookmarkStart w:id="39" w:name="_Toc10084_WPSOffice_Level2"/>
      <w:bookmarkStart w:id="40" w:name="_Toc9948_WPSOffice_Level2"/>
      <w:bookmarkStart w:id="41" w:name="_Toc531015143"/>
      <w:bookmarkStart w:id="42" w:name="_Toc13115"/>
      <w:bookmarkStart w:id="43" w:name="_Toc24350_WPSOffice_Level2"/>
      <w:r>
        <w:rPr>
          <w:rFonts w:hint="eastAsia" w:ascii="仿宋" w:hAnsi="仿宋" w:eastAsia="仿宋" w:cs="仿宋"/>
          <w:b w:val="0"/>
          <w:bCs w:val="0"/>
          <w:color w:val="000000"/>
          <w:sz w:val="32"/>
          <w:szCs w:val="32"/>
        </w:rPr>
        <w:t>三、对接流程</w:t>
      </w:r>
      <w:bookmarkEnd w:id="39"/>
      <w:bookmarkEnd w:id="40"/>
      <w:bookmarkEnd w:id="41"/>
      <w:bookmarkEnd w:id="42"/>
      <w:bookmarkEnd w:id="43"/>
      <w:bookmarkStart w:id="44" w:name="OLE_LINK3"/>
      <w:bookmarkEnd w:id="44"/>
    </w:p>
    <w:p>
      <w:pPr>
        <w:numPr>
          <w:ilvl w:val="0"/>
          <w:numId w:val="2"/>
        </w:numPr>
        <w:spacing w:line="360" w:lineRule="auto"/>
        <w:ind w:firstLine="480" w:firstLineChars="200"/>
        <w:jc w:val="left"/>
        <w:rPr>
          <w:rFonts w:ascii="仿宋" w:hAnsi="仿宋" w:eastAsia="仿宋" w:cs="仿宋"/>
          <w:color w:val="000000"/>
        </w:rPr>
      </w:pPr>
      <w:r>
        <w:rPr>
          <w:rFonts w:hint="eastAsia" w:ascii="仿宋" w:hAnsi="仿宋" w:eastAsia="仿宋" w:cs="仿宋"/>
          <w:color w:val="000000"/>
        </w:rPr>
        <w:t>数据源单位完成宿迁市政务信息共享交换平台完成账号申请；</w:t>
      </w:r>
    </w:p>
    <w:p>
      <w:pPr>
        <w:numPr>
          <w:ilvl w:val="0"/>
          <w:numId w:val="2"/>
        </w:numPr>
        <w:spacing w:line="360" w:lineRule="auto"/>
        <w:ind w:firstLine="480" w:firstLineChars="200"/>
        <w:jc w:val="left"/>
        <w:rPr>
          <w:rFonts w:ascii="仿宋" w:hAnsi="仿宋" w:eastAsia="仿宋" w:cs="仿宋"/>
          <w:color w:val="000000"/>
        </w:rPr>
      </w:pPr>
      <w:r>
        <w:rPr>
          <w:rFonts w:hint="eastAsia" w:ascii="仿宋" w:hAnsi="仿宋" w:eastAsia="仿宋" w:cs="仿宋"/>
          <w:color w:val="000000"/>
        </w:rPr>
        <w:t>数据源单位进行政务信息资源目录编制工作；</w:t>
      </w:r>
    </w:p>
    <w:p>
      <w:pPr>
        <w:numPr>
          <w:ilvl w:val="0"/>
          <w:numId w:val="2"/>
        </w:numPr>
        <w:spacing w:line="360" w:lineRule="auto"/>
        <w:ind w:firstLine="480" w:firstLineChars="200"/>
        <w:jc w:val="left"/>
        <w:rPr>
          <w:rFonts w:ascii="仿宋" w:hAnsi="仿宋" w:eastAsia="仿宋" w:cs="仿宋"/>
          <w:color w:val="000000"/>
        </w:rPr>
      </w:pPr>
      <w:r>
        <w:rPr>
          <w:rFonts w:hint="eastAsia" w:ascii="仿宋" w:hAnsi="仿宋" w:eastAsia="仿宋" w:cs="仿宋"/>
          <w:color w:val="000000"/>
        </w:rPr>
        <w:t>数据源单位与大数据中心协商确定数据对接及数据更新方式；</w:t>
      </w:r>
    </w:p>
    <w:p>
      <w:pPr>
        <w:numPr>
          <w:ilvl w:val="0"/>
          <w:numId w:val="2"/>
        </w:numPr>
        <w:spacing w:line="360" w:lineRule="auto"/>
        <w:ind w:firstLine="480" w:firstLineChars="200"/>
        <w:jc w:val="left"/>
        <w:rPr>
          <w:rFonts w:ascii="仿宋" w:hAnsi="仿宋" w:eastAsia="仿宋" w:cs="仿宋"/>
          <w:color w:val="000000"/>
        </w:rPr>
      </w:pPr>
      <w:r>
        <w:rPr>
          <w:rFonts w:hint="eastAsia" w:ascii="仿宋" w:hAnsi="仿宋" w:eastAsia="仿宋" w:cs="仿宋"/>
          <w:color w:val="000000"/>
        </w:rPr>
        <w:t>数据源单位完成数据准备；</w:t>
      </w:r>
    </w:p>
    <w:p>
      <w:pPr>
        <w:numPr>
          <w:ilvl w:val="0"/>
          <w:numId w:val="2"/>
        </w:numPr>
        <w:spacing w:line="360" w:lineRule="auto"/>
        <w:ind w:firstLine="480" w:firstLineChars="200"/>
        <w:jc w:val="left"/>
        <w:rPr>
          <w:rFonts w:ascii="仿宋" w:hAnsi="仿宋" w:eastAsia="仿宋" w:cs="仿宋"/>
          <w:color w:val="000000"/>
        </w:rPr>
      </w:pPr>
      <w:r>
        <w:rPr>
          <w:rFonts w:hint="eastAsia" w:ascii="仿宋" w:hAnsi="仿宋" w:eastAsia="仿宋" w:cs="仿宋"/>
          <w:color w:val="000000"/>
        </w:rPr>
        <w:t>数据中心配置采集任务；</w:t>
      </w:r>
    </w:p>
    <w:p>
      <w:pPr>
        <w:numPr>
          <w:ilvl w:val="0"/>
          <w:numId w:val="2"/>
        </w:num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rPr>
        <w:t>双方检查数据同步准确性，完成对接。</w:t>
      </w:r>
    </w:p>
    <w:p>
      <w:pPr>
        <w:pStyle w:val="2"/>
        <w:rPr>
          <w:rFonts w:ascii="仿宋" w:hAnsi="仿宋" w:eastAsia="仿宋" w:cs="仿宋"/>
          <w:b w:val="0"/>
          <w:color w:val="000000"/>
          <w:sz w:val="32"/>
          <w:szCs w:val="32"/>
        </w:rPr>
      </w:pPr>
      <w:bookmarkStart w:id="45" w:name="_Toc12242_WPSOffice_Level1"/>
      <w:bookmarkStart w:id="46" w:name="_Toc28341_WPSOffice_Level1"/>
      <w:bookmarkStart w:id="47" w:name="_Toc9799"/>
      <w:bookmarkStart w:id="48" w:name="_Toc484_WPSOffice_Level1"/>
      <w:bookmarkStart w:id="49" w:name="_Toc531015147"/>
      <w:bookmarkStart w:id="50" w:name="_Toc520712591"/>
      <w:r>
        <w:rPr>
          <w:rFonts w:hint="eastAsia" w:ascii="仿宋" w:hAnsi="仿宋" w:eastAsia="仿宋" w:cs="仿宋"/>
          <w:b w:val="0"/>
          <w:color w:val="000000"/>
          <w:sz w:val="32"/>
          <w:szCs w:val="32"/>
        </w:rPr>
        <w:t>四、数据采集方式</w:t>
      </w:r>
      <w:bookmarkEnd w:id="45"/>
      <w:bookmarkEnd w:id="46"/>
      <w:bookmarkEnd w:id="47"/>
      <w:bookmarkEnd w:id="48"/>
      <w:bookmarkEnd w:id="49"/>
      <w:bookmarkEnd w:id="50"/>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数据采集支持库表交换和文件交换两种方式。具体如下：</w:t>
      </w:r>
    </w:p>
    <w:p>
      <w:pPr>
        <w:pStyle w:val="3"/>
        <w:ind w:firstLine="420"/>
        <w:rPr>
          <w:rFonts w:ascii="仿宋" w:hAnsi="仿宋" w:eastAsia="仿宋" w:cs="仿宋"/>
          <w:b w:val="0"/>
          <w:bCs w:val="0"/>
          <w:color w:val="000000"/>
          <w:sz w:val="24"/>
          <w:szCs w:val="24"/>
        </w:rPr>
      </w:pPr>
      <w:bookmarkStart w:id="51" w:name="_Toc18725_WPSOffice_Level2"/>
      <w:bookmarkStart w:id="52" w:name="_Toc26767"/>
      <w:bookmarkStart w:id="53" w:name="_Toc531015148"/>
      <w:bookmarkStart w:id="54" w:name="_Toc29140_WPSOffice_Level2"/>
      <w:bookmarkStart w:id="55" w:name="_Toc28864_WPSOffice_Level2"/>
      <w:r>
        <w:rPr>
          <w:rFonts w:hint="eastAsia" w:ascii="仿宋" w:hAnsi="仿宋" w:eastAsia="仿宋" w:cs="仿宋"/>
          <w:b w:val="0"/>
          <w:bCs w:val="0"/>
          <w:color w:val="000000"/>
          <w:sz w:val="24"/>
          <w:szCs w:val="24"/>
        </w:rPr>
        <w:t>（一）库表交换</w:t>
      </w:r>
      <w:bookmarkEnd w:id="51"/>
      <w:bookmarkEnd w:id="52"/>
      <w:bookmarkEnd w:id="53"/>
      <w:bookmarkEnd w:id="54"/>
      <w:bookmarkEnd w:id="55"/>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库表交换是以前置交换节点上的数据库表作为数源平台与数据采集平台之间的数据交换接口，数据源单位向指定交换库表中写入要推送的数据，数据采集平台从交换表中抽取数据。</w:t>
      </w:r>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数据源单位应明确告知大数据中心数据同步方式（增量、全量、实时），同时明确数据同步频率，确保大数据中心可以按时采集到更新的数据。推荐采用增量或实时方式进行数据同步。</w:t>
      </w:r>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交换数据库目前支持oracle、mysql、sql server、DB2、Sybase等多种关系型数据库的适配接入。</w:t>
      </w:r>
    </w:p>
    <w:p>
      <w:pPr>
        <w:pStyle w:val="3"/>
        <w:ind w:firstLine="420"/>
        <w:rPr>
          <w:rFonts w:ascii="仿宋" w:hAnsi="仿宋" w:eastAsia="仿宋" w:cs="仿宋"/>
          <w:b w:val="0"/>
          <w:bCs w:val="0"/>
          <w:color w:val="000000"/>
          <w:sz w:val="24"/>
          <w:szCs w:val="24"/>
        </w:rPr>
      </w:pPr>
      <w:bookmarkStart w:id="56" w:name="_Toc23095_WPSOffice_Level2"/>
      <w:bookmarkStart w:id="57" w:name="_Toc19324_WPSOffice_Level2"/>
      <w:bookmarkStart w:id="58" w:name="_Toc15626_WPSOffice_Level2"/>
      <w:bookmarkStart w:id="59" w:name="_Toc18592"/>
      <w:bookmarkStart w:id="60" w:name="_Toc531015149"/>
      <w:r>
        <w:rPr>
          <w:rFonts w:hint="eastAsia" w:ascii="仿宋" w:hAnsi="仿宋" w:eastAsia="仿宋" w:cs="仿宋"/>
          <w:b w:val="0"/>
          <w:bCs w:val="0"/>
          <w:color w:val="000000"/>
          <w:sz w:val="24"/>
          <w:szCs w:val="24"/>
        </w:rPr>
        <w:t>（二）文件交换</w:t>
      </w:r>
      <w:bookmarkEnd w:id="56"/>
      <w:bookmarkEnd w:id="57"/>
      <w:bookmarkEnd w:id="58"/>
      <w:bookmarkEnd w:id="59"/>
      <w:bookmarkEnd w:id="60"/>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文件交换是指数源单位通过将excel文件上传至共享交换平台，数据采集平台，数据采集平台将读取、解析上传文件中的数据。</w:t>
      </w:r>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文件交换支持全量更新和基于时间的增量同步方式。建议采用增量同步方式上报数据。</w:t>
      </w:r>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文件交换目前仅支持excel格式的推送文件。</w:t>
      </w:r>
      <w:bookmarkStart w:id="61" w:name="_Toc520712592"/>
    </w:p>
    <w:bookmarkEnd w:id="61"/>
    <w:p>
      <w:pPr>
        <w:pStyle w:val="2"/>
        <w:rPr>
          <w:rFonts w:ascii="仿宋" w:hAnsi="仿宋" w:eastAsia="仿宋" w:cs="仿宋"/>
          <w:b w:val="0"/>
          <w:color w:val="000000"/>
          <w:sz w:val="32"/>
          <w:szCs w:val="32"/>
        </w:rPr>
      </w:pPr>
      <w:bookmarkStart w:id="62" w:name="_Toc2079"/>
      <w:r>
        <w:rPr>
          <w:rFonts w:hint="eastAsia" w:ascii="仿宋" w:hAnsi="仿宋" w:eastAsia="仿宋" w:cs="仿宋"/>
          <w:b w:val="0"/>
          <w:color w:val="000000"/>
          <w:sz w:val="32"/>
          <w:szCs w:val="32"/>
        </w:rPr>
        <w:t>五、库表交换规范</w:t>
      </w:r>
      <w:bookmarkEnd w:id="62"/>
    </w:p>
    <w:p>
      <w:pPr>
        <w:spacing w:line="360" w:lineRule="auto"/>
        <w:ind w:firstLine="480" w:firstLineChars="200"/>
        <w:outlineLvl w:val="1"/>
        <w:rPr>
          <w:rFonts w:ascii="仿宋" w:hAnsi="仿宋" w:eastAsia="仿宋" w:cs="仿宋"/>
        </w:rPr>
      </w:pPr>
      <w:bookmarkStart w:id="63" w:name="_Toc27966"/>
      <w:r>
        <w:rPr>
          <w:rFonts w:hint="eastAsia" w:ascii="仿宋" w:hAnsi="仿宋" w:eastAsia="仿宋" w:cs="仿宋"/>
        </w:rPr>
        <w:t>5.1 全量同步</w:t>
      </w:r>
      <w:bookmarkEnd w:id="63"/>
    </w:p>
    <w:p>
      <w:pPr>
        <w:spacing w:line="360" w:lineRule="auto"/>
        <w:ind w:left="420" w:firstLine="480" w:firstLineChars="200"/>
        <w:rPr>
          <w:rFonts w:ascii="仿宋" w:hAnsi="仿宋" w:eastAsia="仿宋" w:cs="仿宋"/>
        </w:rPr>
      </w:pPr>
      <w:r>
        <w:rPr>
          <w:rFonts w:hint="eastAsia" w:ascii="仿宋" w:hAnsi="仿宋" w:eastAsia="仿宋" w:cs="仿宋"/>
        </w:rPr>
        <w:t>确定数据同步时间，并确保大数据中心进行数据在同步时间前完成数据更新。</w:t>
      </w:r>
    </w:p>
    <w:p>
      <w:pPr>
        <w:spacing w:line="360" w:lineRule="auto"/>
        <w:ind w:firstLine="480" w:firstLineChars="200"/>
        <w:outlineLvl w:val="1"/>
        <w:rPr>
          <w:rFonts w:ascii="仿宋" w:hAnsi="仿宋" w:eastAsia="仿宋" w:cs="仿宋"/>
        </w:rPr>
      </w:pPr>
      <w:bookmarkStart w:id="64" w:name="_Toc19194"/>
      <w:r>
        <w:rPr>
          <w:rFonts w:hint="eastAsia" w:ascii="仿宋" w:hAnsi="仿宋" w:eastAsia="仿宋" w:cs="仿宋"/>
        </w:rPr>
        <w:t>5.2 增量同步</w:t>
      </w:r>
      <w:bookmarkEnd w:id="64"/>
    </w:p>
    <w:p>
      <w:pPr>
        <w:spacing w:line="360" w:lineRule="auto"/>
        <w:ind w:firstLine="480" w:firstLineChars="200"/>
        <w:jc w:val="left"/>
        <w:rPr>
          <w:rFonts w:ascii="仿宋" w:hAnsi="仿宋" w:eastAsia="仿宋" w:cs="仿宋"/>
          <w:color w:val="000000"/>
          <w:shd w:val="clear" w:color="auto" w:fill="FFFFFF"/>
        </w:rPr>
      </w:pPr>
      <w:r>
        <w:rPr>
          <w:rFonts w:hint="eastAsia" w:ascii="仿宋" w:hAnsi="仿宋" w:eastAsia="仿宋" w:cs="仿宋"/>
          <w:color w:val="000000"/>
          <w:szCs w:val="32"/>
        </w:rPr>
        <w:t>增量更新主要以时间戳更新方式为主，增量同步表须设置业务主键、时间戳</w:t>
      </w:r>
      <w:r>
        <w:rPr>
          <w:rFonts w:hint="eastAsia" w:ascii="仿宋" w:hAnsi="仿宋" w:eastAsia="仿宋" w:cs="仿宋"/>
          <w:color w:val="000000"/>
          <w:shd w:val="clear" w:color="auto" w:fill="FFFFFF"/>
        </w:rPr>
        <w:t>（时间戳格式需满足附件2 时间戳规范要求）</w:t>
      </w:r>
      <w:r>
        <w:rPr>
          <w:rFonts w:hint="eastAsia" w:ascii="仿宋" w:hAnsi="仿宋" w:eastAsia="仿宋" w:cs="仿宋"/>
          <w:color w:val="000000"/>
          <w:szCs w:val="32"/>
        </w:rPr>
        <w:t>和删除标记字段</w:t>
      </w:r>
      <w:r>
        <w:rPr>
          <w:rFonts w:hint="eastAsia" w:ascii="仿宋" w:hAnsi="仿宋" w:eastAsia="仿宋" w:cs="仿宋"/>
          <w:color w:val="000000"/>
          <w:shd w:val="clear" w:color="auto" w:fill="FFFFFF"/>
        </w:rPr>
        <w:t>change_type</w:t>
      </w:r>
      <w:r>
        <w:rPr>
          <w:rFonts w:hint="eastAsia" w:ascii="仿宋" w:hAnsi="仿宋" w:eastAsia="仿宋" w:cs="仿宋"/>
          <w:color w:val="000000"/>
          <w:szCs w:val="32"/>
        </w:rPr>
        <w:t>，若表没标记字段</w:t>
      </w:r>
      <w:r>
        <w:rPr>
          <w:rFonts w:hint="eastAsia" w:ascii="仿宋" w:hAnsi="仿宋" w:eastAsia="仿宋" w:cs="仿宋"/>
          <w:color w:val="000000"/>
          <w:shd w:val="clear" w:color="auto" w:fill="FFFFFF"/>
        </w:rPr>
        <w:t>change_type时，则需添加字段change_type，默认值为0，</w:t>
      </w:r>
      <w:r>
        <w:rPr>
          <w:rFonts w:hint="eastAsia" w:ascii="仿宋" w:hAnsi="仿宋" w:eastAsia="仿宋" w:cs="仿宋"/>
          <w:color w:val="000000"/>
          <w:szCs w:val="32"/>
        </w:rPr>
        <w:t>类型为int， (0为新增、1为删除)。各委办局有对数据进行删除操作时，无需删除整条数据，只需把该条数据字段</w:t>
      </w:r>
      <w:r>
        <w:rPr>
          <w:rFonts w:hint="eastAsia" w:ascii="仿宋" w:hAnsi="仿宋" w:eastAsia="仿宋" w:cs="仿宋"/>
          <w:color w:val="000000"/>
          <w:shd w:val="clear" w:color="auto" w:fill="FFFFFF"/>
        </w:rPr>
        <w:t>change_type值改为1，表示此条数据已废弃。</w:t>
      </w:r>
    </w:p>
    <w:p>
      <w:pPr>
        <w:spacing w:line="360" w:lineRule="auto"/>
        <w:ind w:firstLine="480" w:firstLineChars="200"/>
        <w:jc w:val="left"/>
        <w:outlineLvl w:val="1"/>
        <w:rPr>
          <w:rFonts w:ascii="仿宋" w:hAnsi="仿宋" w:eastAsia="仿宋" w:cs="仿宋"/>
          <w:color w:val="000000"/>
          <w:shd w:val="clear" w:color="auto" w:fill="FFFFFF"/>
        </w:rPr>
      </w:pPr>
      <w:bookmarkStart w:id="65" w:name="_Toc25262"/>
      <w:r>
        <w:rPr>
          <w:rFonts w:hint="eastAsia" w:ascii="仿宋" w:hAnsi="仿宋" w:eastAsia="仿宋" w:cs="仿宋"/>
          <w:color w:val="000000"/>
          <w:shd w:val="clear" w:color="auto" w:fill="FFFFFF"/>
        </w:rPr>
        <w:t>5.3 实时同步</w:t>
      </w:r>
      <w:bookmarkEnd w:id="65"/>
    </w:p>
    <w:p>
      <w:pPr>
        <w:spacing w:line="360" w:lineRule="auto"/>
        <w:ind w:firstLine="480" w:firstLineChars="200"/>
        <w:jc w:val="left"/>
        <w:rPr>
          <w:rFonts w:ascii="仿宋" w:hAnsi="仿宋" w:eastAsia="仿宋" w:cs="仿宋"/>
          <w:color w:val="000000"/>
          <w:shd w:val="clear" w:color="auto" w:fill="FFFFFF"/>
        </w:rPr>
      </w:pPr>
      <w:r>
        <w:rPr>
          <w:rFonts w:hint="eastAsia" w:ascii="仿宋" w:hAnsi="仿宋" w:eastAsia="仿宋" w:cs="仿宋"/>
          <w:color w:val="000000"/>
          <w:shd w:val="clear" w:color="auto" w:fill="FFFFFF"/>
        </w:rPr>
        <w:t>实时同步目前支持MYSQL 和ORACLE数据库,MYSQL基于Binlog 日志、ORACLE基于归档日志实现数据同步。数据源单位在创建数据库时需开启以上功能，并对提供大数据中心的数据库账号进行相关授权。（相关配置请看附件3实时采集数据源端配置手册）</w:t>
      </w:r>
    </w:p>
    <w:p>
      <w:pPr>
        <w:pStyle w:val="2"/>
        <w:rPr>
          <w:rFonts w:ascii="仿宋" w:hAnsi="仿宋" w:eastAsia="仿宋" w:cs="仿宋"/>
          <w:b w:val="0"/>
          <w:color w:val="000000"/>
          <w:sz w:val="30"/>
          <w:szCs w:val="30"/>
        </w:rPr>
      </w:pPr>
      <w:bookmarkStart w:id="66" w:name="_Toc16459"/>
      <w:bookmarkStart w:id="67" w:name="_Toc531015153"/>
      <w:bookmarkStart w:id="68" w:name="_Toc10084_WPSOffice_Level1"/>
      <w:bookmarkStart w:id="69" w:name="_Toc24350_WPSOffice_Level1"/>
      <w:bookmarkStart w:id="70" w:name="_Toc9948_WPSOffice_Level1"/>
      <w:r>
        <w:rPr>
          <w:rFonts w:hint="eastAsia" w:ascii="仿宋" w:hAnsi="仿宋" w:eastAsia="仿宋" w:cs="仿宋"/>
          <w:b w:val="0"/>
          <w:color w:val="000000"/>
          <w:sz w:val="30"/>
          <w:szCs w:val="30"/>
        </w:rPr>
        <w:t>六、文件交换规范</w:t>
      </w:r>
      <w:bookmarkEnd w:id="66"/>
      <w:bookmarkEnd w:id="67"/>
      <w:bookmarkEnd w:id="68"/>
      <w:bookmarkEnd w:id="69"/>
      <w:bookmarkEnd w:id="70"/>
      <w:bookmarkStart w:id="71" w:name="_Toc520712596"/>
    </w:p>
    <w:bookmarkEnd w:id="71"/>
    <w:p>
      <w:pPr>
        <w:spacing w:line="360" w:lineRule="auto"/>
        <w:ind w:firstLine="480" w:firstLineChars="200"/>
        <w:jc w:val="left"/>
        <w:outlineLvl w:val="1"/>
        <w:rPr>
          <w:rFonts w:ascii="仿宋" w:hAnsi="仿宋" w:eastAsia="仿宋" w:cs="仿宋"/>
          <w:color w:val="000000"/>
        </w:rPr>
      </w:pPr>
      <w:bookmarkStart w:id="72" w:name="_Toc21237"/>
      <w:r>
        <w:rPr>
          <w:rFonts w:hint="eastAsia" w:ascii="仿宋" w:hAnsi="仿宋" w:eastAsia="仿宋" w:cs="仿宋"/>
          <w:color w:val="000000"/>
        </w:rPr>
        <w:t>（1）文件交换目前支持</w:t>
      </w:r>
      <w:r>
        <w:rPr>
          <w:rFonts w:hint="eastAsia" w:ascii="仿宋" w:hAnsi="仿宋" w:eastAsia="仿宋" w:cs="仿宋"/>
          <w:color w:val="000000" w:themeColor="text1"/>
          <w14:textFill>
            <w14:solidFill>
              <w14:schemeClr w14:val="tx1"/>
            </w14:solidFill>
          </w14:textFill>
        </w:rPr>
        <w:t>Excel文件上报；</w:t>
      </w:r>
      <w:bookmarkEnd w:id="72"/>
    </w:p>
    <w:p>
      <w:pPr>
        <w:spacing w:line="360" w:lineRule="auto"/>
        <w:ind w:firstLine="480" w:firstLineChars="200"/>
        <w:jc w:val="left"/>
        <w:outlineLvl w:val="1"/>
        <w:rPr>
          <w:rFonts w:ascii="仿宋" w:hAnsi="仿宋" w:eastAsia="仿宋" w:cs="仿宋"/>
          <w:color w:val="000000"/>
        </w:rPr>
      </w:pPr>
      <w:bookmarkStart w:id="73" w:name="_Toc2918"/>
      <w:r>
        <w:rPr>
          <w:rFonts w:hint="eastAsia" w:ascii="仿宋" w:hAnsi="仿宋" w:eastAsia="仿宋" w:cs="仿宋"/>
          <w:color w:val="000000"/>
        </w:rPr>
        <w:t>（2）初次数据以全量方式上报，后续建议基于时间戳的增量方式推送数据</w:t>
      </w:r>
      <w:bookmarkEnd w:id="73"/>
      <w:r>
        <w:rPr>
          <w:rFonts w:hint="eastAsia" w:ascii="仿宋" w:hAnsi="仿宋" w:eastAsia="仿宋" w:cs="仿宋"/>
          <w:color w:val="000000"/>
        </w:rPr>
        <w:t>；</w:t>
      </w:r>
    </w:p>
    <w:p>
      <w:pPr>
        <w:spacing w:line="360" w:lineRule="auto"/>
        <w:ind w:firstLine="480" w:firstLineChars="200"/>
        <w:jc w:val="left"/>
        <w:outlineLvl w:val="1"/>
        <w:rPr>
          <w:rFonts w:ascii="仿宋" w:hAnsi="仿宋" w:eastAsia="仿宋" w:cs="仿宋"/>
          <w:color w:val="000000" w:themeColor="text1"/>
          <w14:textFill>
            <w14:solidFill>
              <w14:schemeClr w14:val="tx1"/>
            </w14:solidFill>
          </w14:textFill>
        </w:rPr>
      </w:pPr>
      <w:bookmarkStart w:id="74" w:name="_Toc30707"/>
      <w:r>
        <w:rPr>
          <w:rFonts w:hint="eastAsia" w:ascii="仿宋" w:hAnsi="仿宋" w:eastAsia="仿宋" w:cs="仿宋"/>
          <w:color w:val="000000"/>
        </w:rPr>
        <w:t>（3）</w:t>
      </w:r>
      <w:r>
        <w:rPr>
          <w:rFonts w:hint="eastAsia" w:ascii="仿宋" w:hAnsi="仿宋" w:eastAsia="仿宋" w:cs="仿宋"/>
          <w:color w:val="000000" w:themeColor="text1"/>
          <w14:textFill>
            <w14:solidFill>
              <w14:schemeClr w14:val="tx1"/>
            </w14:solidFill>
          </w14:textFill>
        </w:rPr>
        <w:t>文件命名格式</w:t>
      </w:r>
      <w:bookmarkEnd w:id="74"/>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数源单位推送数据文件时，对文件命名需使用“资源名称_YYYYMMDDHHMM+文件后缀”的格式。例：等级裁判员_201811201010.xls、等级裁判员_201811201010.xlsx。</w:t>
      </w:r>
    </w:p>
    <w:p>
      <w:pPr>
        <w:spacing w:line="360" w:lineRule="auto"/>
        <w:ind w:firstLine="480" w:firstLineChars="200"/>
        <w:jc w:val="left"/>
        <w:outlineLvl w:val="1"/>
        <w:rPr>
          <w:rFonts w:ascii="仿宋" w:hAnsi="仿宋" w:eastAsia="仿宋" w:cs="仿宋"/>
          <w:color w:val="000000"/>
        </w:rPr>
      </w:pPr>
      <w:bookmarkStart w:id="75" w:name="_Toc31516"/>
      <w:r>
        <w:rPr>
          <w:rFonts w:hint="eastAsia" w:ascii="仿宋" w:hAnsi="仿宋" w:eastAsia="仿宋" w:cs="仿宋"/>
          <w:color w:val="000000"/>
        </w:rPr>
        <w:t>（4）</w:t>
      </w:r>
      <w:r>
        <w:rPr>
          <w:rFonts w:hint="eastAsia" w:ascii="仿宋" w:hAnsi="仿宋" w:eastAsia="仿宋" w:cs="仿宋"/>
          <w:color w:val="000000" w:themeColor="text1"/>
          <w14:textFill>
            <w14:solidFill>
              <w14:schemeClr w14:val="tx1"/>
            </w14:solidFill>
          </w14:textFill>
        </w:rPr>
        <w:t>Excel规范及要求</w:t>
      </w:r>
      <w:bookmarkEnd w:id="75"/>
    </w:p>
    <w:p>
      <w:pPr>
        <w:spacing w:line="360" w:lineRule="auto"/>
        <w:ind w:firstLine="480" w:firstLineChars="200"/>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受Excel文件每个Sheet页行数限制，建议每个文件只有一个Sheet页，且行数不超过6万行。Excel表中尽量不要使用单元格格式，以文本形式录入数据才能保证数据入库的正确性。</w:t>
      </w:r>
    </w:p>
    <w:p>
      <w:pPr>
        <w:pStyle w:val="2"/>
        <w:rPr>
          <w:rFonts w:ascii="仿宋" w:hAnsi="仿宋" w:eastAsia="仿宋" w:cs="仿宋"/>
          <w:b w:val="0"/>
          <w:color w:val="000000"/>
          <w:sz w:val="32"/>
          <w:szCs w:val="32"/>
        </w:rPr>
      </w:pPr>
      <w:bookmarkStart w:id="76" w:name="_Toc4805"/>
      <w:r>
        <w:rPr>
          <w:rFonts w:hint="eastAsia" w:ascii="仿宋" w:hAnsi="仿宋" w:eastAsia="仿宋" w:cs="仿宋"/>
          <w:b w:val="0"/>
          <w:color w:val="000000"/>
          <w:sz w:val="32"/>
          <w:szCs w:val="32"/>
        </w:rPr>
        <w:t>七、账号权限相关要求</w:t>
      </w:r>
      <w:bookmarkEnd w:id="76"/>
    </w:p>
    <w:p>
      <w:pPr>
        <w:spacing w:line="360" w:lineRule="auto"/>
        <w:ind w:firstLine="480" w:firstLineChars="200"/>
        <w:rPr>
          <w:rFonts w:ascii="仿宋" w:hAnsi="仿宋" w:eastAsia="仿宋" w:cs="仿宋"/>
        </w:rPr>
      </w:pPr>
      <w:r>
        <w:rPr>
          <w:rFonts w:hint="eastAsia" w:ascii="仿宋" w:hAnsi="仿宋" w:eastAsia="仿宋" w:cs="仿宋"/>
        </w:rPr>
        <w:t>建议以满足业务需要的情况下，最小化权限为大数据中心创建数据库账号。除必要的数据库权限外，还需授予以下权限。</w:t>
      </w:r>
    </w:p>
    <w:p>
      <w:pPr>
        <w:spacing w:line="360" w:lineRule="auto"/>
        <w:ind w:firstLine="480" w:firstLineChars="200"/>
        <w:outlineLvl w:val="0"/>
        <w:rPr>
          <w:rFonts w:ascii="仿宋" w:hAnsi="仿宋" w:eastAsia="仿宋" w:cs="仿宋"/>
        </w:rPr>
      </w:pPr>
      <w:bookmarkStart w:id="77" w:name="_Toc4067"/>
      <w:r>
        <w:rPr>
          <w:rFonts w:hint="eastAsia" w:ascii="仿宋" w:hAnsi="仿宋" w:eastAsia="仿宋" w:cs="仿宋"/>
        </w:rPr>
        <w:t xml:space="preserve">7.1 oracle授权需求 </w:t>
      </w:r>
      <w:bookmarkEnd w:id="77"/>
    </w:p>
    <w:p>
      <w:pPr>
        <w:spacing w:line="360" w:lineRule="auto"/>
        <w:ind w:firstLine="480" w:firstLineChars="200"/>
        <w:rPr>
          <w:rFonts w:ascii="仿宋" w:hAnsi="仿宋" w:eastAsia="仿宋" w:cs="仿宋"/>
        </w:rPr>
      </w:pPr>
      <w:r>
        <w:rPr>
          <w:rFonts w:hint="eastAsia" w:ascii="仿宋" w:hAnsi="仿宋" w:eastAsia="仿宋" w:cs="仿宋"/>
        </w:rPr>
        <w:t>grant select on dba_free_space to test;</w:t>
      </w:r>
    </w:p>
    <w:p>
      <w:pPr>
        <w:spacing w:line="360" w:lineRule="auto"/>
        <w:ind w:firstLine="480" w:firstLineChars="200"/>
        <w:rPr>
          <w:rFonts w:ascii="仿宋" w:hAnsi="仿宋" w:eastAsia="仿宋" w:cs="仿宋"/>
        </w:rPr>
      </w:pPr>
      <w:r>
        <w:rPr>
          <w:rFonts w:hint="eastAsia" w:ascii="仿宋" w:hAnsi="仿宋" w:eastAsia="仿宋" w:cs="仿宋"/>
        </w:rPr>
        <w:t>grant select on dba_data_files to test;</w:t>
      </w:r>
    </w:p>
    <w:p>
      <w:pPr>
        <w:spacing w:line="360" w:lineRule="auto"/>
        <w:ind w:firstLine="480" w:firstLineChars="200"/>
        <w:rPr>
          <w:rFonts w:ascii="仿宋" w:hAnsi="仿宋" w:eastAsia="仿宋" w:cs="仿宋"/>
        </w:rPr>
      </w:pPr>
      <w:r>
        <w:rPr>
          <w:rFonts w:hint="eastAsia" w:ascii="仿宋" w:hAnsi="仿宋" w:eastAsia="仿宋" w:cs="仿宋"/>
        </w:rPr>
        <w:t>grant select on user_tablesto test;</w:t>
      </w:r>
    </w:p>
    <w:p>
      <w:pPr>
        <w:spacing w:line="360" w:lineRule="auto"/>
        <w:ind w:firstLine="480" w:firstLineChars="200"/>
        <w:rPr>
          <w:rFonts w:ascii="仿宋" w:hAnsi="仿宋" w:eastAsia="仿宋" w:cs="仿宋"/>
        </w:rPr>
      </w:pPr>
      <w:r>
        <w:rPr>
          <w:rFonts w:hint="eastAsia" w:ascii="仿宋" w:hAnsi="仿宋" w:eastAsia="仿宋" w:cs="仿宋"/>
        </w:rPr>
        <w:t>grant select on user_tab_columns to test;</w:t>
      </w:r>
    </w:p>
    <w:p>
      <w:pPr>
        <w:spacing w:line="360" w:lineRule="auto"/>
        <w:ind w:firstLine="480" w:firstLineChars="200"/>
        <w:outlineLvl w:val="0"/>
        <w:rPr>
          <w:rFonts w:ascii="仿宋" w:hAnsi="仿宋" w:eastAsia="仿宋" w:cs="仿宋"/>
        </w:rPr>
      </w:pPr>
      <w:bookmarkStart w:id="78" w:name="_Toc16809"/>
      <w:r>
        <w:rPr>
          <w:rFonts w:hint="eastAsia" w:ascii="仿宋" w:hAnsi="仿宋" w:eastAsia="仿宋" w:cs="仿宋"/>
        </w:rPr>
        <w:t>7.2 sqlserver授权需求</w:t>
      </w:r>
      <w:bookmarkEnd w:id="78"/>
    </w:p>
    <w:p>
      <w:pPr>
        <w:spacing w:line="360" w:lineRule="auto"/>
        <w:ind w:firstLine="480" w:firstLineChars="200"/>
        <w:rPr>
          <w:rFonts w:ascii="仿宋" w:hAnsi="仿宋" w:eastAsia="仿宋" w:cs="仿宋"/>
        </w:rPr>
      </w:pPr>
      <w:r>
        <w:rPr>
          <w:rFonts w:hint="eastAsia" w:ascii="仿宋" w:hAnsi="仿宋" w:eastAsia="仿宋" w:cs="仿宋"/>
        </w:rPr>
        <w:t>sys.partitions</w:t>
      </w:r>
    </w:p>
    <w:p>
      <w:pPr>
        <w:spacing w:line="360" w:lineRule="auto"/>
        <w:ind w:firstLine="480" w:firstLineChars="200"/>
        <w:rPr>
          <w:rFonts w:ascii="仿宋" w:hAnsi="仿宋" w:eastAsia="仿宋" w:cs="仿宋"/>
        </w:rPr>
      </w:pPr>
      <w:r>
        <w:rPr>
          <w:rFonts w:hint="eastAsia" w:ascii="仿宋" w:hAnsi="仿宋" w:eastAsia="仿宋" w:cs="仿宋"/>
        </w:rPr>
        <w:t>sys.allocation_units</w:t>
      </w:r>
    </w:p>
    <w:p>
      <w:pPr>
        <w:spacing w:line="360" w:lineRule="auto"/>
        <w:ind w:firstLine="480" w:firstLineChars="200"/>
        <w:rPr>
          <w:rFonts w:ascii="仿宋" w:hAnsi="仿宋" w:eastAsia="仿宋" w:cs="仿宋"/>
        </w:rPr>
      </w:pPr>
      <w:r>
        <w:rPr>
          <w:rFonts w:hint="eastAsia" w:ascii="仿宋" w:hAnsi="仿宋" w:eastAsia="仿宋" w:cs="仿宋"/>
        </w:rPr>
        <w:t>sys.internal_tables</w:t>
      </w:r>
    </w:p>
    <w:p>
      <w:pPr>
        <w:spacing w:line="360" w:lineRule="auto"/>
        <w:ind w:firstLine="480" w:firstLineChars="200"/>
        <w:rPr>
          <w:rFonts w:ascii="仿宋" w:hAnsi="仿宋" w:eastAsia="仿宋" w:cs="仿宋"/>
        </w:rPr>
      </w:pPr>
      <w:r>
        <w:rPr>
          <w:rFonts w:hint="eastAsia" w:ascii="仿宋" w:hAnsi="仿宋" w:eastAsia="仿宋" w:cs="仿宋"/>
        </w:rPr>
        <w:t>sys.syscolumns</w:t>
      </w:r>
    </w:p>
    <w:p>
      <w:pPr>
        <w:spacing w:line="360" w:lineRule="auto"/>
        <w:ind w:firstLine="480" w:firstLineChars="200"/>
        <w:rPr>
          <w:rFonts w:ascii="仿宋" w:hAnsi="仿宋" w:eastAsia="仿宋" w:cs="仿宋"/>
        </w:rPr>
      </w:pPr>
      <w:r>
        <w:rPr>
          <w:rFonts w:hint="eastAsia" w:ascii="仿宋" w:hAnsi="仿宋" w:eastAsia="仿宋" w:cs="仿宋"/>
        </w:rPr>
        <w:t>sys.sysobjects</w:t>
      </w:r>
    </w:p>
    <w:p>
      <w:pPr>
        <w:spacing w:line="360" w:lineRule="auto"/>
        <w:ind w:firstLine="480" w:firstLineChars="200"/>
        <w:rPr>
          <w:rFonts w:ascii="仿宋" w:hAnsi="仿宋" w:eastAsia="仿宋" w:cs="仿宋"/>
        </w:rPr>
      </w:pPr>
      <w:r>
        <w:rPr>
          <w:rFonts w:hint="eastAsia" w:ascii="仿宋" w:hAnsi="仿宋" w:eastAsia="仿宋" w:cs="仿宋"/>
        </w:rPr>
        <w:t>sys.sysindexes</w:t>
      </w:r>
    </w:p>
    <w:p>
      <w:pPr>
        <w:spacing w:line="587" w:lineRule="exact"/>
        <w:jc w:val="left"/>
        <w:rPr>
          <w:rFonts w:ascii="仿宋" w:hAnsi="仿宋" w:eastAsia="仿宋" w:cs="仿宋"/>
          <w:color w:val="000000" w:themeColor="text1"/>
          <w14:textFill>
            <w14:solidFill>
              <w14:schemeClr w14:val="tx1"/>
            </w14:solidFill>
          </w14:textFill>
        </w:rPr>
      </w:pPr>
    </w:p>
    <w:p>
      <w:pPr>
        <w:spacing w:line="587" w:lineRule="exact"/>
        <w:jc w:val="left"/>
        <w:rPr>
          <w:rFonts w:ascii="仿宋" w:hAnsi="仿宋" w:eastAsia="仿宋" w:cs="仿宋"/>
          <w:color w:val="000000" w:themeColor="text1"/>
          <w14:textFill>
            <w14:solidFill>
              <w14:schemeClr w14:val="tx1"/>
            </w14:solidFill>
          </w14:textFill>
        </w:rPr>
      </w:pPr>
    </w:p>
    <w:p>
      <w:pPr>
        <w:spacing w:line="520" w:lineRule="exact"/>
        <w:jc w:val="left"/>
        <w:rPr>
          <w:rFonts w:ascii="仿宋" w:hAnsi="仿宋" w:eastAsia="仿宋" w:cs="仿宋"/>
          <w:color w:val="000000"/>
          <w:sz w:val="32"/>
          <w:szCs w:val="32"/>
        </w:rPr>
      </w:pPr>
    </w:p>
    <w:p>
      <w:pPr>
        <w:spacing w:line="520" w:lineRule="exact"/>
        <w:jc w:val="left"/>
        <w:rPr>
          <w:rFonts w:ascii="仿宋" w:hAnsi="仿宋" w:eastAsia="仿宋" w:cs="仿宋"/>
          <w:color w:val="000000"/>
          <w:sz w:val="32"/>
          <w:szCs w:val="32"/>
        </w:rPr>
      </w:pPr>
    </w:p>
    <w:p>
      <w:pPr>
        <w:spacing w:line="520" w:lineRule="exact"/>
        <w:jc w:val="left"/>
        <w:rPr>
          <w:rFonts w:ascii="仿宋" w:hAnsi="仿宋" w:eastAsia="仿宋" w:cs="仿宋"/>
          <w:color w:val="000000"/>
          <w:sz w:val="32"/>
          <w:szCs w:val="32"/>
        </w:rPr>
      </w:pPr>
    </w:p>
    <w:p>
      <w:pPr>
        <w:spacing w:line="520" w:lineRule="exact"/>
        <w:jc w:val="left"/>
        <w:outlineLvl w:val="0"/>
        <w:rPr>
          <w:rFonts w:ascii="仿宋" w:hAnsi="仿宋" w:eastAsia="仿宋" w:cs="仿宋"/>
          <w:color w:val="000000"/>
          <w:sz w:val="28"/>
          <w:szCs w:val="28"/>
        </w:rPr>
      </w:pPr>
      <w:bookmarkStart w:id="79" w:name="_Toc28584"/>
      <w:r>
        <w:rPr>
          <w:rFonts w:hint="eastAsia" w:ascii="仿宋" w:hAnsi="仿宋" w:eastAsia="仿宋" w:cs="仿宋"/>
          <w:color w:val="000000"/>
          <w:sz w:val="28"/>
          <w:szCs w:val="28"/>
        </w:rPr>
        <w:t>附件一、数据采集平台白名单IP表</w:t>
      </w:r>
      <w:bookmarkEnd w:id="79"/>
    </w:p>
    <w:p>
      <w:pPr>
        <w:spacing w:line="587" w:lineRule="exact"/>
        <w:ind w:firstLine="480" w:firstLineChars="200"/>
        <w:jc w:val="left"/>
        <w:rPr>
          <w:rFonts w:ascii="仿宋" w:hAnsi="仿宋" w:eastAsia="仿宋" w:cs="仿宋"/>
          <w:color w:val="000000"/>
          <w:szCs w:val="32"/>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4"/>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gridSpan w:val="2"/>
          </w:tcPr>
          <w:p>
            <w:pPr>
              <w:spacing w:line="587" w:lineRule="exact"/>
              <w:jc w:val="center"/>
              <w:rPr>
                <w:rFonts w:ascii="仿宋" w:hAnsi="仿宋" w:eastAsia="仿宋" w:cs="仿宋"/>
                <w:color w:val="000000"/>
                <w:szCs w:val="32"/>
              </w:rPr>
            </w:pPr>
            <w:r>
              <w:rPr>
                <w:rFonts w:hint="eastAsia" w:ascii="仿宋" w:hAnsi="仿宋" w:eastAsia="仿宋" w:cs="仿宋"/>
                <w:color w:val="000000"/>
              </w:rPr>
              <w:t>数据采集平台白名单IP表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4" w:type="dxa"/>
          </w:tcPr>
          <w:p>
            <w:pPr>
              <w:spacing w:line="587" w:lineRule="exact"/>
              <w:jc w:val="left"/>
              <w:rPr>
                <w:rFonts w:ascii="仿宋" w:hAnsi="仿宋" w:eastAsia="仿宋" w:cs="仿宋"/>
                <w:color w:val="000000"/>
                <w:szCs w:val="32"/>
              </w:rPr>
            </w:pPr>
            <w:r>
              <w:rPr>
                <w:rFonts w:hint="eastAsia" w:ascii="仿宋" w:hAnsi="仿宋" w:eastAsia="仿宋" w:cs="仿宋"/>
                <w:color w:val="000000"/>
                <w:szCs w:val="32"/>
              </w:rPr>
              <w:t>数据源端配置白名单需放开的地址</w:t>
            </w:r>
          </w:p>
        </w:tc>
        <w:tc>
          <w:tcPr>
            <w:tcW w:w="5692" w:type="dxa"/>
          </w:tcPr>
          <w:p>
            <w:pPr>
              <w:spacing w:line="587" w:lineRule="exact"/>
              <w:jc w:val="left"/>
              <w:rPr>
                <w:rFonts w:ascii="仿宋" w:hAnsi="仿宋" w:eastAsia="仿宋" w:cs="仿宋"/>
                <w:color w:val="000000"/>
                <w:szCs w:val="32"/>
              </w:rPr>
            </w:pPr>
            <w:r>
              <w:rPr>
                <w:rFonts w:hint="eastAsia" w:ascii="仿宋" w:hAnsi="仿宋" w:eastAsia="仿宋" w:cs="仿宋"/>
              </w:rPr>
              <w:t>172.22.137.90、172.22.137.91、172.22.137.92、172.22.137.93、172.22.137.94</w:t>
            </w:r>
          </w:p>
        </w:tc>
      </w:tr>
    </w:tbl>
    <w:p>
      <w:pPr>
        <w:spacing w:line="587" w:lineRule="exact"/>
        <w:ind w:firstLine="480" w:firstLineChars="200"/>
        <w:jc w:val="left"/>
        <w:rPr>
          <w:rFonts w:ascii="仿宋" w:hAnsi="仿宋" w:eastAsia="仿宋" w:cs="仿宋"/>
          <w:color w:val="000000"/>
          <w:szCs w:val="32"/>
        </w:rPr>
      </w:pPr>
    </w:p>
    <w:p>
      <w:pPr>
        <w:spacing w:line="587" w:lineRule="exact"/>
        <w:jc w:val="left"/>
        <w:outlineLvl w:val="0"/>
        <w:rPr>
          <w:rFonts w:ascii="仿宋" w:hAnsi="仿宋" w:eastAsia="仿宋" w:cs="仿宋"/>
          <w:color w:val="000000"/>
          <w:sz w:val="28"/>
          <w:szCs w:val="36"/>
        </w:rPr>
      </w:pPr>
      <w:bookmarkStart w:id="80" w:name="_Toc8106"/>
      <w:r>
        <w:rPr>
          <w:rFonts w:hint="eastAsia" w:ascii="仿宋" w:hAnsi="仿宋" w:eastAsia="仿宋" w:cs="仿宋"/>
          <w:color w:val="000000"/>
          <w:sz w:val="28"/>
          <w:szCs w:val="36"/>
        </w:rPr>
        <w:t>附件二、时间戳规范</w:t>
      </w:r>
      <w:bookmarkEnd w:id="80"/>
    </w:p>
    <w:p>
      <w:pPr>
        <w:spacing w:line="520" w:lineRule="exact"/>
        <w:jc w:val="left"/>
        <w:rPr>
          <w:rFonts w:ascii="仿宋" w:hAnsi="仿宋" w:eastAsia="仿宋" w:cs="仿宋"/>
          <w:color w:val="000000"/>
          <w:sz w:val="32"/>
          <w:szCs w:val="32"/>
        </w:rPr>
      </w:pPr>
    </w:p>
    <w:p>
      <w:pPr>
        <w:spacing w:line="288" w:lineRule="auto"/>
        <w:rPr>
          <w:rFonts w:ascii="仿宋" w:hAnsi="仿宋" w:eastAsia="仿宋" w:cs="仿宋"/>
        </w:rPr>
      </w:pPr>
      <w:bookmarkStart w:id="81" w:name="_MON_1647445849"/>
      <w:bookmarkEnd w:id="81"/>
      <w:r>
        <w:rPr>
          <w:rFonts w:ascii="仿宋" w:hAnsi="仿宋" w:eastAsia="仿宋" w:cs="仿宋"/>
        </w:rPr>
        <w:object>
          <v:shape id="_x0000_i1025" o:spt="75" type="#_x0000_t75" style="height:52.65pt;width:76pt;" o:ole="t" filled="f" o:preferrelative="t" stroked="f" coordsize="21600,21600">
            <v:path/>
            <v:fill on="f" focussize="0,0"/>
            <v:stroke on="f" joinstyle="miter"/>
            <v:imagedata r:id="rId5" o:title=""/>
            <o:lock v:ext="edit" aspectratio="t"/>
            <w10:wrap type="none"/>
            <w10:anchorlock/>
          </v:shape>
          <o:OLEObject Type="Embed" ProgID="Word.Document.12" ShapeID="_x0000_i1025" DrawAspect="Icon" ObjectID="_1468075725" r:id="rId4">
            <o:LockedField>false</o:LockedField>
          </o:OLEObject>
        </w:object>
      </w:r>
    </w:p>
    <w:p>
      <w:pPr>
        <w:spacing w:line="587" w:lineRule="exact"/>
        <w:jc w:val="left"/>
        <w:outlineLvl w:val="0"/>
        <w:rPr>
          <w:rFonts w:hint="eastAsia" w:ascii="仿宋" w:hAnsi="仿宋" w:eastAsia="仿宋" w:cs="仿宋"/>
          <w:color w:val="000000"/>
          <w:sz w:val="28"/>
          <w:szCs w:val="36"/>
        </w:rPr>
      </w:pPr>
      <w:r>
        <w:rPr>
          <w:rFonts w:hint="eastAsia" w:ascii="仿宋" w:hAnsi="仿宋" w:eastAsia="仿宋" w:cs="仿宋"/>
          <w:color w:val="000000"/>
          <w:sz w:val="28"/>
          <w:szCs w:val="36"/>
        </w:rPr>
        <w:t>附件三、实时采集配置手册</w:t>
      </w:r>
    </w:p>
    <w:p>
      <w:pPr>
        <w:spacing w:line="288" w:lineRule="auto"/>
        <w:rPr>
          <w:rFonts w:hint="eastAsia" w:ascii="仿宋" w:hAnsi="仿宋" w:eastAsia="仿宋" w:cs="仿宋"/>
        </w:rPr>
      </w:pPr>
      <w:bookmarkStart w:id="82" w:name="_MON_1647445893"/>
      <w:bookmarkEnd w:id="82"/>
      <w:r>
        <w:rPr>
          <w:rFonts w:ascii="仿宋" w:hAnsi="仿宋" w:eastAsia="仿宋" w:cs="仿宋"/>
        </w:rPr>
        <w:object>
          <v:shape id="_x0000_i1026" o:spt="75" type="#_x0000_t75" style="height:52.65pt;width:76pt;" o:ole="t" filled="f" o:preferrelative="t" stroked="f" coordsize="21600,21600">
            <v:path/>
            <v:fill on="f" focussize="0,0"/>
            <v:stroke on="f" joinstyle="miter"/>
            <v:imagedata r:id="rId7" o:title=""/>
            <o:lock v:ext="edit" aspectratio="t"/>
            <w10:wrap type="none"/>
            <w10:anchorlock/>
          </v:shape>
          <o:OLEObject Type="Embed" ProgID="Word.Document.12" ShapeID="_x0000_i1026" DrawAspect="Icon" ObjectID="_1468075726" r:id="rId6">
            <o:LockedField>false</o:LockedField>
          </o:OLEObject>
        </w:object>
      </w:r>
      <w:bookmarkStart w:id="83" w:name="_GoBack"/>
      <w:bookmarkEnd w:id="83"/>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embedRegular r:id="rId1" w:fontKey="{5A42E0CB-CF2F-4473-8BE2-67ADB47432B4}"/>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5FA56"/>
    <w:multiLevelType w:val="singleLevel"/>
    <w:tmpl w:val="3A85FA56"/>
    <w:lvl w:ilvl="0" w:tentative="0">
      <w:start w:val="1"/>
      <w:numFmt w:val="decimal"/>
      <w:suff w:val="nothing"/>
      <w:lvlText w:val="（%1）"/>
      <w:lvlJc w:val="left"/>
    </w:lvl>
  </w:abstractNum>
  <w:abstractNum w:abstractNumId="1">
    <w:nsid w:val="661675F4"/>
    <w:multiLevelType w:val="singleLevel"/>
    <w:tmpl w:val="661675F4"/>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documentProtection w:enforcement="0"/>
  <w:defaultTabStop w:val="420"/>
  <w:drawingGridVerticalSpacing w:val="200"/>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E27"/>
    <w:rsid w:val="00000D45"/>
    <w:rsid w:val="000062F4"/>
    <w:rsid w:val="00033116"/>
    <w:rsid w:val="000331D6"/>
    <w:rsid w:val="00041088"/>
    <w:rsid w:val="00060128"/>
    <w:rsid w:val="0006407A"/>
    <w:rsid w:val="000828D6"/>
    <w:rsid w:val="00095F71"/>
    <w:rsid w:val="000B2731"/>
    <w:rsid w:val="000E2876"/>
    <w:rsid w:val="000F4829"/>
    <w:rsid w:val="00102FD8"/>
    <w:rsid w:val="001068D7"/>
    <w:rsid w:val="00126CD0"/>
    <w:rsid w:val="00154F49"/>
    <w:rsid w:val="0016428A"/>
    <w:rsid w:val="00164DCC"/>
    <w:rsid w:val="00172FB6"/>
    <w:rsid w:val="00182136"/>
    <w:rsid w:val="001930B4"/>
    <w:rsid w:val="001B02E7"/>
    <w:rsid w:val="001B7EE5"/>
    <w:rsid w:val="001C40EF"/>
    <w:rsid w:val="001D523D"/>
    <w:rsid w:val="001E0710"/>
    <w:rsid w:val="001E1E44"/>
    <w:rsid w:val="001F7908"/>
    <w:rsid w:val="00240792"/>
    <w:rsid w:val="00243B36"/>
    <w:rsid w:val="0025753D"/>
    <w:rsid w:val="002848FD"/>
    <w:rsid w:val="002D084B"/>
    <w:rsid w:val="002D5FB7"/>
    <w:rsid w:val="002D7410"/>
    <w:rsid w:val="0031698A"/>
    <w:rsid w:val="00347D8E"/>
    <w:rsid w:val="00347EC7"/>
    <w:rsid w:val="00353627"/>
    <w:rsid w:val="00366812"/>
    <w:rsid w:val="003A2227"/>
    <w:rsid w:val="003C71F7"/>
    <w:rsid w:val="003F2A28"/>
    <w:rsid w:val="00417DD2"/>
    <w:rsid w:val="004406D1"/>
    <w:rsid w:val="0044749F"/>
    <w:rsid w:val="004503C2"/>
    <w:rsid w:val="004806BC"/>
    <w:rsid w:val="00486681"/>
    <w:rsid w:val="004868A6"/>
    <w:rsid w:val="00492726"/>
    <w:rsid w:val="004B0173"/>
    <w:rsid w:val="004B39E5"/>
    <w:rsid w:val="004B6698"/>
    <w:rsid w:val="004D5554"/>
    <w:rsid w:val="004F4A90"/>
    <w:rsid w:val="004F5BB9"/>
    <w:rsid w:val="00510624"/>
    <w:rsid w:val="005113AB"/>
    <w:rsid w:val="0056757B"/>
    <w:rsid w:val="005727B3"/>
    <w:rsid w:val="00583873"/>
    <w:rsid w:val="00592C76"/>
    <w:rsid w:val="005C5F2E"/>
    <w:rsid w:val="005C7B5E"/>
    <w:rsid w:val="005F7F9B"/>
    <w:rsid w:val="00607FCB"/>
    <w:rsid w:val="006121FF"/>
    <w:rsid w:val="00626510"/>
    <w:rsid w:val="006409B4"/>
    <w:rsid w:val="00644679"/>
    <w:rsid w:val="0065386F"/>
    <w:rsid w:val="00675143"/>
    <w:rsid w:val="006A0349"/>
    <w:rsid w:val="006C2366"/>
    <w:rsid w:val="006C78CF"/>
    <w:rsid w:val="006D0553"/>
    <w:rsid w:val="006E27AE"/>
    <w:rsid w:val="006F11D2"/>
    <w:rsid w:val="00703B44"/>
    <w:rsid w:val="00703E48"/>
    <w:rsid w:val="00746E18"/>
    <w:rsid w:val="00753824"/>
    <w:rsid w:val="007542C5"/>
    <w:rsid w:val="00755BE7"/>
    <w:rsid w:val="00765461"/>
    <w:rsid w:val="007709D0"/>
    <w:rsid w:val="00770E27"/>
    <w:rsid w:val="00775A12"/>
    <w:rsid w:val="007835DD"/>
    <w:rsid w:val="00796719"/>
    <w:rsid w:val="007E14F5"/>
    <w:rsid w:val="007F02BD"/>
    <w:rsid w:val="00800CA3"/>
    <w:rsid w:val="0081668D"/>
    <w:rsid w:val="0082657A"/>
    <w:rsid w:val="00861BF2"/>
    <w:rsid w:val="008742E4"/>
    <w:rsid w:val="008D68B6"/>
    <w:rsid w:val="008E6EA4"/>
    <w:rsid w:val="00912FBD"/>
    <w:rsid w:val="00920DB7"/>
    <w:rsid w:val="00921CE3"/>
    <w:rsid w:val="00967B88"/>
    <w:rsid w:val="0097128A"/>
    <w:rsid w:val="009769D3"/>
    <w:rsid w:val="009773E2"/>
    <w:rsid w:val="00982A66"/>
    <w:rsid w:val="00982E38"/>
    <w:rsid w:val="00986011"/>
    <w:rsid w:val="009B18F1"/>
    <w:rsid w:val="009C0A1C"/>
    <w:rsid w:val="009C72F1"/>
    <w:rsid w:val="009E543A"/>
    <w:rsid w:val="00A01366"/>
    <w:rsid w:val="00A46E20"/>
    <w:rsid w:val="00A76E9F"/>
    <w:rsid w:val="00A8726A"/>
    <w:rsid w:val="00AC6B91"/>
    <w:rsid w:val="00AC7C74"/>
    <w:rsid w:val="00AD1918"/>
    <w:rsid w:val="00AE05CF"/>
    <w:rsid w:val="00AF3277"/>
    <w:rsid w:val="00AF3425"/>
    <w:rsid w:val="00AF51F6"/>
    <w:rsid w:val="00B16765"/>
    <w:rsid w:val="00B41A51"/>
    <w:rsid w:val="00B4622F"/>
    <w:rsid w:val="00B7361C"/>
    <w:rsid w:val="00B82B49"/>
    <w:rsid w:val="00BA7FBD"/>
    <w:rsid w:val="00BB6FA6"/>
    <w:rsid w:val="00BC4E8E"/>
    <w:rsid w:val="00BC7794"/>
    <w:rsid w:val="00BC7DBF"/>
    <w:rsid w:val="00BF1AAE"/>
    <w:rsid w:val="00C37248"/>
    <w:rsid w:val="00C578DA"/>
    <w:rsid w:val="00C67E1E"/>
    <w:rsid w:val="00CB1409"/>
    <w:rsid w:val="00CC0B5A"/>
    <w:rsid w:val="00CE57B0"/>
    <w:rsid w:val="00D16FD0"/>
    <w:rsid w:val="00D20282"/>
    <w:rsid w:val="00D25095"/>
    <w:rsid w:val="00D465C7"/>
    <w:rsid w:val="00D56F0A"/>
    <w:rsid w:val="00D7095B"/>
    <w:rsid w:val="00DA14F3"/>
    <w:rsid w:val="00DA2630"/>
    <w:rsid w:val="00DA4BF8"/>
    <w:rsid w:val="00DB2ACC"/>
    <w:rsid w:val="00DB6F5F"/>
    <w:rsid w:val="00DB7252"/>
    <w:rsid w:val="00DC2D96"/>
    <w:rsid w:val="00DC4391"/>
    <w:rsid w:val="00DE3D4A"/>
    <w:rsid w:val="00E21B59"/>
    <w:rsid w:val="00EA513F"/>
    <w:rsid w:val="00EC2F56"/>
    <w:rsid w:val="00EC2FE1"/>
    <w:rsid w:val="00EC4C5C"/>
    <w:rsid w:val="00ED690B"/>
    <w:rsid w:val="00EE0EB5"/>
    <w:rsid w:val="00F046FA"/>
    <w:rsid w:val="00F43493"/>
    <w:rsid w:val="00F62FD3"/>
    <w:rsid w:val="00F71A48"/>
    <w:rsid w:val="00F73E21"/>
    <w:rsid w:val="00F75E22"/>
    <w:rsid w:val="00F84B92"/>
    <w:rsid w:val="00F95B31"/>
    <w:rsid w:val="00FB25DF"/>
    <w:rsid w:val="00FE5456"/>
    <w:rsid w:val="021D7634"/>
    <w:rsid w:val="035251AB"/>
    <w:rsid w:val="036F1147"/>
    <w:rsid w:val="0B751664"/>
    <w:rsid w:val="0E2A153A"/>
    <w:rsid w:val="14115858"/>
    <w:rsid w:val="15434831"/>
    <w:rsid w:val="17FE6C3C"/>
    <w:rsid w:val="18C35F0E"/>
    <w:rsid w:val="1B225C8B"/>
    <w:rsid w:val="1CD924EA"/>
    <w:rsid w:val="1E7003E6"/>
    <w:rsid w:val="21691A7E"/>
    <w:rsid w:val="21D31D95"/>
    <w:rsid w:val="24C51A12"/>
    <w:rsid w:val="2775037E"/>
    <w:rsid w:val="2B0D60C6"/>
    <w:rsid w:val="2B150171"/>
    <w:rsid w:val="2B85489C"/>
    <w:rsid w:val="2BC0626B"/>
    <w:rsid w:val="2F0540BB"/>
    <w:rsid w:val="2FB4166E"/>
    <w:rsid w:val="30694F8D"/>
    <w:rsid w:val="34B6725F"/>
    <w:rsid w:val="35470431"/>
    <w:rsid w:val="35765EA8"/>
    <w:rsid w:val="376A17D2"/>
    <w:rsid w:val="39F052FA"/>
    <w:rsid w:val="3CCC3CE2"/>
    <w:rsid w:val="3D127075"/>
    <w:rsid w:val="44853C25"/>
    <w:rsid w:val="47FC53C0"/>
    <w:rsid w:val="4CE35E08"/>
    <w:rsid w:val="4D397466"/>
    <w:rsid w:val="4DFC1DF2"/>
    <w:rsid w:val="5539636D"/>
    <w:rsid w:val="5566730A"/>
    <w:rsid w:val="55D56134"/>
    <w:rsid w:val="5AB333FA"/>
    <w:rsid w:val="5BB44588"/>
    <w:rsid w:val="5D0505FD"/>
    <w:rsid w:val="630D55EC"/>
    <w:rsid w:val="630E2517"/>
    <w:rsid w:val="6AE91B38"/>
    <w:rsid w:val="72933713"/>
    <w:rsid w:val="75CB189C"/>
    <w:rsid w:val="76C00126"/>
    <w:rsid w:val="78777AA7"/>
    <w:rsid w:val="78CD553C"/>
    <w:rsid w:val="7A425694"/>
    <w:rsid w:val="7A4F71DD"/>
    <w:rsid w:val="7AE56452"/>
    <w:rsid w:val="7CC03E26"/>
    <w:rsid w:val="7E8326C2"/>
    <w:rsid w:val="7F4812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Cs/>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Balloon Text"/>
    <w:basedOn w:val="1"/>
    <w:link w:val="23"/>
    <w:semiHidden/>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link w:val="27"/>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标题 3 字符"/>
    <w:basedOn w:val="14"/>
    <w:link w:val="4"/>
    <w:qFormat/>
    <w:uiPriority w:val="9"/>
    <w:rPr>
      <w:bCs/>
      <w:szCs w:val="32"/>
    </w:rPr>
  </w:style>
  <w:style w:type="character" w:customStyle="1" w:styleId="18">
    <w:name w:val="标题 4 字符"/>
    <w:basedOn w:val="14"/>
    <w:link w:val="5"/>
    <w:qFormat/>
    <w:uiPriority w:val="9"/>
    <w:rPr>
      <w:rFonts w:asciiTheme="majorHAnsi" w:hAnsiTheme="majorHAnsi" w:eastAsiaTheme="majorEastAsia" w:cstheme="majorBidi"/>
      <w:b/>
      <w:bCs/>
      <w:szCs w:val="28"/>
    </w:rPr>
  </w:style>
  <w:style w:type="character" w:customStyle="1" w:styleId="19">
    <w:name w:val="页眉 字符"/>
    <w:basedOn w:val="14"/>
    <w:link w:val="8"/>
    <w:qFormat/>
    <w:uiPriority w:val="99"/>
    <w:rPr>
      <w:sz w:val="18"/>
      <w:szCs w:val="18"/>
    </w:rPr>
  </w:style>
  <w:style w:type="character" w:customStyle="1" w:styleId="20">
    <w:name w:val="页脚 字符"/>
    <w:basedOn w:val="14"/>
    <w:link w:val="7"/>
    <w:qFormat/>
    <w:uiPriority w:val="99"/>
    <w:rPr>
      <w:sz w:val="18"/>
      <w:szCs w:val="18"/>
    </w:rPr>
  </w:style>
  <w:style w:type="paragraph" w:customStyle="1" w:styleId="21">
    <w:name w:val="WPSOffice手动目录 1"/>
    <w:qFormat/>
    <w:uiPriority w:val="0"/>
    <w:rPr>
      <w:rFonts w:asciiTheme="minorHAnsi" w:hAnsiTheme="minorHAnsi" w:eastAsiaTheme="minorEastAsia" w:cstheme="minorBidi"/>
      <w:lang w:val="en-US" w:eastAsia="zh-CN" w:bidi="ar-SA"/>
    </w:rPr>
  </w:style>
  <w:style w:type="paragraph" w:customStyle="1" w:styleId="22">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23">
    <w:name w:val="批注框文本 字符"/>
    <w:basedOn w:val="14"/>
    <w:link w:val="6"/>
    <w:semiHidden/>
    <w:qFormat/>
    <w:uiPriority w:val="99"/>
    <w:rPr>
      <w:kern w:val="2"/>
      <w:sz w:val="18"/>
      <w:szCs w:val="18"/>
    </w:rPr>
  </w:style>
  <w:style w:type="character" w:customStyle="1" w:styleId="24">
    <w:name w:val="标题 1 字符"/>
    <w:basedOn w:val="14"/>
    <w:link w:val="2"/>
    <w:qFormat/>
    <w:uiPriority w:val="9"/>
    <w:rPr>
      <w:b/>
      <w:bCs/>
      <w:kern w:val="44"/>
      <w:sz w:val="44"/>
      <w:szCs w:val="44"/>
    </w:rPr>
  </w:style>
  <w:style w:type="character" w:customStyle="1" w:styleId="25">
    <w:name w:val="标题 2 字符"/>
    <w:basedOn w:val="14"/>
    <w:link w:val="3"/>
    <w:qFormat/>
    <w:uiPriority w:val="9"/>
    <w:rPr>
      <w:rFonts w:asciiTheme="majorHAnsi" w:hAnsiTheme="majorHAnsi" w:eastAsiaTheme="majorEastAsia" w:cstheme="majorBidi"/>
      <w:b/>
      <w:bCs/>
      <w:kern w:val="2"/>
      <w:sz w:val="32"/>
      <w:szCs w:val="32"/>
    </w:rPr>
  </w:style>
  <w:style w:type="paragraph" w:styleId="26">
    <w:name w:val="List Paragraph"/>
    <w:basedOn w:val="1"/>
    <w:qFormat/>
    <w:uiPriority w:val="99"/>
    <w:pPr>
      <w:ind w:firstLine="420" w:firstLineChars="200"/>
    </w:pPr>
  </w:style>
  <w:style w:type="character" w:customStyle="1" w:styleId="27">
    <w:name w:val="HTML 预设格式 字符"/>
    <w:basedOn w:val="14"/>
    <w:link w:val="11"/>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9923B8-7AE6-49EE-8F7C-3AD6F0013F80}">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7</Pages>
  <Words>361</Words>
  <Characters>2064</Characters>
  <Lines>17</Lines>
  <Paragraphs>4</Paragraphs>
  <TotalTime>18</TotalTime>
  <ScaleCrop>false</ScaleCrop>
  <LinksUpToDate>false</LinksUpToDate>
  <CharactersWithSpaces>2421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2018-12-14T04:28:00Z</dcterms:created>
  <dc:creator>Microsoft Office 用户</dc:creator>
  <cp:lastModifiedBy>仰望</cp:lastModifiedBy>
  <dcterms:modified xsi:type="dcterms:W3CDTF">2020-04-03T11:06:09Z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