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  <w:numPr>
          <w:ilvl w:val="0"/>
          <w:numId w:val="1"/>
        </w:numPr>
      </w:pPr>
      <w:r>
        <w:t>CONFIDENTIAL INFORMATION</w:t>
      </w:r>
    </w:p>
    <w:p>
      <w:r>
        <w:t>The Receiving Party agrees not to disclose...</w:t>
      </w:r>
    </w:p>
    <w:p>
      <w:pPr>
        <w:pStyle w:val="Heading1"/>
        <w:numPr>
          <w:ilvl w:val="0"/>
          <w:numId w:val="1"/>
        </w:numPr>
      </w:pPr>
      <w:r>
        <w:t>TERM</w:t>
      </w:r>
    </w:p>
    <w:p>
      <w:pPr>
        <w:numPr>
          <w:ilvl w:val="0"/>
          <w:numId w:val="2"/>
        </w:numPr>
      </w:pPr>
      <w:r>
        <w:t>This Agreement is effective for two years.</w:t>
      </w:r>
    </w:p>
    <w:p>
      <w:pPr>
        <w:numPr>
          <w:ilvl w:val="0"/>
          <w:numId w:val="2"/>
        </w:numPr>
      </w:pPr>
      <w:r>
        <w:t>The Term may be extended in writing.</w:t>
      </w:r>
    </w:p>
    <w:p>
      <w:pPr>
        <w:pStyle w:val="Heading1"/>
        <w:numPr>
          <w:ilvl w:val="0"/>
          <w:numId w:val="1"/>
        </w:numPr>
      </w:pPr>
      <w:r>
        <w:t>GOVERNING LAW</w:t>
      </w:r>
    </w:p>
    <w:p>
      <w:r>
        <w:t>The validity, interpretation, and performance of this Agreement shall be governed by the laws of the State of Delaware.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Section %1."/>
    </w:lvl>
  </w:abstractNum>
  <w:abstractNum w:abstractNumId="1">
    <w:lvl w:ilvl="0">
      <w:start w:val="1"/>
      <w:numFmt w:val="lowerLetter"/>
      <w:lvlText w:val="(%1)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</Relationships>

</file>