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Subject: Tax opinion on withholding of payments made to foreign contractors</w:t>
      </w:r>
    </w:p>
    <w:p w:rsidR="00000000" w:rsidDel="00000000" w:rsidP="00000000" w:rsidRDefault="00000000" w:rsidRPr="00000000" w14:paraId="00000003">
      <w:pPr>
        <w:rPr>
          <w:color w:val="353740"/>
          <w:sz w:val="24"/>
          <w:szCs w:val="24"/>
        </w:rPr>
      </w:pPr>
      <w:r w:rsidDel="00000000" w:rsidR="00000000" w:rsidRPr="00000000">
        <w:rPr>
          <w:b w:val="1"/>
          <w:color w:val="353740"/>
          <w:sz w:val="24"/>
          <w:szCs w:val="24"/>
          <w:rtl w:val="0"/>
        </w:rPr>
        <w:t xml:space="preserve">Date: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January 18, 2018</w:t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The Bluth Company should withhold income tax from payments made to foreign contractors. 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Generally, foreign nationals are subject to withholding if they are engaged in a US trade or business, and receive a US-source payment of income. Depending on the country of residence of the foreign contractor, certain tax treaty provisions may provide an exemption from withholding.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In addition, the Bluth Company should also obtain and retain a Form W-8BEN-E from the foreign contractor. The Form W-8BEN-E certifies the foreign contractor’s foreign status, the amount of withholding, if any, to which the foreign contractor is entitled and any other supporting information. 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In conclusion, the Bluth Company should ensure that it complies with all federal and state laws and regulations regarding withholding of income from payments made to foreign contractors.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Title"/>
      <w:jc w:val="center"/>
      <w:rPr>
        <w:color w:val="6aa84f"/>
      </w:rPr>
    </w:pPr>
    <w:bookmarkStart w:colFirst="0" w:colLast="0" w:name="_quo70givzcol" w:id="0"/>
    <w:bookmarkEnd w:id="0"/>
    <w:r w:rsidDel="00000000" w:rsidR="00000000" w:rsidRPr="00000000">
      <w:rPr>
        <w:color w:val="6aa84f"/>
        <w:rtl w:val="0"/>
      </w:rPr>
      <w:t xml:space="preserve">Offices of Ira Gilligan, CPA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