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Word Mark</w:t>
        <w:tab/>
        <w:tab/>
        <w:tab/>
        <w:tab/>
        <w:t xml:space="preserve">THERE'S ALWAYS MONEY IN THE BANANA STAND</w:t>
      </w:r>
    </w:p>
    <w:p w:rsidR="00000000" w:rsidDel="00000000" w:rsidP="00000000" w:rsidRDefault="00000000" w:rsidRPr="00000000" w14:paraId="00000002">
      <w:pPr>
        <w:ind w:left="3600" w:hanging="3600"/>
        <w:rPr/>
      </w:pPr>
      <w:r w:rsidDel="00000000" w:rsidR="00000000" w:rsidRPr="00000000">
        <w:rPr>
          <w:rtl w:val="0"/>
        </w:rPr>
        <w:t xml:space="preserve">Goods and Services</w:t>
        <w:tab/>
        <w:t xml:space="preserve">IC 025. US 022 039. G &amp; S: Clothing items, namely, t-shirts, sweaters, caps.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FIRST USE: </w:t>
        <w:tab/>
        <w:tab/>
        <w:tab/>
        <w:tab/>
        <w:t xml:space="preserve">20220101.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FIRST USE IN COMMERCE: </w:t>
        <w:tab/>
        <w:t xml:space="preserve">20220101.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Standard Characters Claimed</w:t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Mark Drawing Code</w:t>
        <w:tab/>
        <w:tab/>
        <w:tab/>
        <w:t xml:space="preserve">(4) STANDARD CHARACTER MARK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Serial Number</w:t>
        <w:tab/>
        <w:tab/>
        <w:tab/>
        <w:tab/>
        <w:t xml:space="preserve">97285645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Filing Date</w:t>
        <w:tab/>
        <w:tab/>
        <w:tab/>
        <w:tab/>
        <w:t xml:space="preserve">January 25, 2021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Current Basis</w:t>
        <w:tab/>
        <w:tab/>
        <w:tab/>
        <w:tab/>
        <w:t xml:space="preserve">1A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Original Filing Basis</w:t>
        <w:tab/>
        <w:tab/>
        <w:tab/>
        <w:t xml:space="preserve">1A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Published for Opposition</w:t>
        <w:tab/>
        <w:tab/>
        <w:t xml:space="preserve">June 22, 2021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Registration Number</w:t>
        <w:tab/>
        <w:tab/>
        <w:tab/>
        <w:t xml:space="preserve">6590952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Registration Date</w:t>
        <w:tab/>
        <w:tab/>
        <w:tab/>
        <w:t xml:space="preserve">October 15, 2019</w:t>
      </w:r>
    </w:p>
    <w:p w:rsidR="00000000" w:rsidDel="00000000" w:rsidP="00000000" w:rsidRDefault="00000000" w:rsidRPr="00000000" w14:paraId="0000000E">
      <w:pPr>
        <w:ind w:left="3600" w:hanging="3600"/>
        <w:rPr/>
      </w:pPr>
      <w:r w:rsidDel="00000000" w:rsidR="00000000" w:rsidRPr="00000000">
        <w:rPr>
          <w:rtl w:val="0"/>
        </w:rPr>
        <w:t xml:space="preserve">Owner</w:t>
        <w:tab/>
        <w:t xml:space="preserve">(REGISTRANT) Bluth Company, Inc. CORPORATION CALIFORNIA 1234 Main Street Newport Beach, California 92660 UNITED STATES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Type of Mark</w:t>
        <w:tab/>
        <w:tab/>
        <w:tab/>
        <w:tab/>
        <w:t xml:space="preserve">TRADEMARK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Register</w:t>
        <w:tab/>
        <w:tab/>
        <w:tab/>
        <w:tab/>
        <w:t xml:space="preserve">PRINCIPAL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Live/Dead Indicator</w:t>
        <w:tab/>
        <w:tab/>
        <w:tab/>
        <w:t xml:space="preserve">LIVE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