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开题答辩讲稿与使用说明</w:t>
      </w:r>
    </w:p>
    <w:p>
      <w:r>
        <w:t>广西宾阳炮龙节祈福文化主题AIGC影像短片设计</w:t>
      </w:r>
    </w:p>
    <w:p>
      <w:r>
        <w:t>作者：陆世贸｜环境设计·23创新班｜指导教师：陈宁（高级工程师）</w:t>
      </w:r>
    </w:p>
    <w:p>
      <w:r>
        <w:t>9页；建议总时长7分45秒。讲稿同步写入每页PPT的演讲者备注。建议先完整排练，再按个人语速微调。</w:t>
      </w:r>
    </w:p>
    <w:p>
      <w:pPr>
        <w:pStyle w:val="Heading1"/>
      </w:pPr>
      <w:r>
        <w:t>版式与字体</w:t>
      </w:r>
    </w:p>
    <w:p>
      <w:r>
        <w:t>画幅16:9；米白底、朱砂红、暖金和灰绿。正文为宋体，标题30—31磅，核心结论25—26磅，主要正文19—22磅，辅助文字14—18磅，页脚11.5—13.5磅。仅照片采用等比例填充裁切；文本、流程与时间轴均可编辑。</w:t>
      </w:r>
    </w:p>
    <w:p>
      <w:r>
        <w:t>PPT指定宋体（SimSun）。此云环境没有微软宋体；PDF预览采用Noto Serif CJK SC作为宋体风格的替代渲染。Windows中安装宋体时可直接编辑；字体替换后建议检查换行。</w:t>
      </w:r>
    </w:p>
    <w:p>
      <w:pPr>
        <w:pStyle w:val="Heading1"/>
      </w:pPr>
      <w:r>
        <w:t>P01｜封面（30秒）</w:t>
      </w:r>
    </w:p>
    <w:p>
      <w:r>
        <w:t>各位老师好，我是环境设计专业23创新班的陆世贸，指导教师是陈宁老师。我的课题是《广西宾阳炮龙节祈福文化主题AIGC影像短片设计》，以“龙行街巷，福入万家”为内部创作命题。下面从选题意义、叙事方法、技术验证和实施计划四个方面汇报。</w:t>
      </w:r>
    </w:p>
    <w:p>
      <w:r>
        <w:t>依据：开题报告封面与正文；班级及指导教师职称由作者在本次沟通中确认。</w:t>
      </w:r>
    </w:p>
    <w:p>
      <w:pPr>
        <w:pStyle w:val="Heading1"/>
      </w:pPr>
      <w:r>
        <w:t>P02｜选题意义（60秒）</w:t>
      </w:r>
    </w:p>
    <w:p>
      <w:r>
        <w:t>本课题的出发点，是从“看见炮火”转向“理解祈福”。国家级非遗资料明确记录，宾阳炮龙节具有禳灾祈福的文化功能；2023年的官方报道也记录了炮龙开光后进入街巷、挨家挨户送福的实践。因此，祈福不是附加在热闹画面上的解释，而是有依据的仪式线索。理论上，我希望建立主题提炼、影像转译、生成控制和人工审校之间的具体设计链条。实践上，炮龙同时涉及长龙运动、多人协作和烟火遮挡，适合检验AIGC镜头的一致性控制。表达上，作品既保留节庆的视听感染力，也让观众理解炮火为何发生、龙为何入巷、居民为何迎龙，以及仪式为何最终以送龙结束。</w:t>
      </w:r>
    </w:p>
    <w:p>
      <w:r>
        <w:t>依据：开题报告“选题意义”；国家级非遗项目页[14]；文化和旅游部2023年报道[15]。讲稿超过200字。</w:t>
      </w:r>
    </w:p>
    <w:p>
      <w:pPr>
        <w:pStyle w:val="Heading1"/>
      </w:pPr>
      <w:r>
        <w:t>P03｜研究问题与范围（40秒）</w:t>
      </w:r>
    </w:p>
    <w:p>
      <w:r>
        <w:t>核心研究问题是，怎样把有依据的祈福文化转化为观众可理解、镜头可控制的影像。文化范围聚焦舞炮龙中的开光、送福、炮火求吉和送龙，不试图在三到五分钟内覆盖灯酒会等全部祈福类型。设计范围也需要清楚：AIGC负责画面设定、复杂镜头试验和非纪实转场，文化依据来自资料核验。最终希望形成文化依据、祈福叙事、视觉语义、AIGC生成和人工审校的闭环。</w:t>
      </w:r>
    </w:p>
    <w:p>
      <w:r>
        <w:t>依据：开题报告“选题意义”“设计内容”及“研究述评”。</w:t>
      </w:r>
    </w:p>
    <w:p>
      <w:pPr>
        <w:pStyle w:val="Heading1"/>
      </w:pPr>
      <w:r>
        <w:t>P04｜主要内容与五段式叙事（80秒）</w:t>
      </w:r>
    </w:p>
    <w:p>
      <w:r>
        <w:t>短片围绕一个共同愿望怎样被仪式启动、被炮龙带入街巷、被居民共同参与，并最终完成仪式闭合展开，拟分为五段。第一段“备龙候福”，用扎龙、整理器物和居民等待，建立愿望尚未启动的安静状态。第二段“开光启福”，通过点睛、龙头动作、队伍集结和鼓点变化，让炮龙从静物进入仪式状态，不生成玄幻化龙。第三段“入巷送福”是主题核心，依据官方记载，通过龙队入巷、居民迎龙、队伍停留等空间关系，让“福”进入具体生活。第四段“炮火求吉”形成视听高潮，但炮火始终对应居民迎龙、舞龙者持续舞动的行为，让观众看到参与的意义。第五段“送龙收束”，先表现有资料依据的传统送龙，再以烟尘和安静街道留下余韵。这里需要强调，五个章节名称都是作品内部的设计语言，不是地方固定仪式名称。整体以纪实质感为基础，诗性转译只用于有边界的过渡和象征镜头。</w:t>
      </w:r>
    </w:p>
    <w:p>
      <w:r>
        <w:t>依据：开题报告“祈福主题提炼与脚本叙事”；[14][15]。讲稿超过300字。</w:t>
      </w:r>
    </w:p>
    <w:p>
      <w:r>
        <w:t>说明：送龙页块为叙事图示，不是仪式照片。残龙焚烧等细节须取得官方或现场资料后再使用；不可把烟尘或空街直接标注为送龙仪式。</w:t>
      </w:r>
    </w:p>
    <w:p>
      <w:pPr>
        <w:pStyle w:val="Heading1"/>
      </w:pPr>
      <w:r>
        <w:t>P05｜视觉系统与生成约束（50秒）</w:t>
      </w:r>
    </w:p>
    <w:p>
      <w:r>
        <w:t>为避免模型把宾阳炮龙泛化成普通中国舞龙，我会先建立视觉语义词表，再进入生成。词表分成对象、形态材质、空间、仪式动作和负面约束五类。对象包括龙头、龙身、舞龙者与居民；材质关注竹篾、纸张、麻绳和金红装饰；空间以炮龙老庙、文化广场及宾州镇传统街巷为参照；动作对应开光、入巷送福、燃炮和送龙。核验后的词表再转换为参考图、关键帧和生成条件。单个匠人的样式只是参考之一，不作为全县统一标准；玄幻飞龙、古代宫殿和泛化古镇也不进入本片。</w:t>
      </w:r>
    </w:p>
    <w:p>
      <w:r>
        <w:t>依据：开题报告“前期调研与现实样本边界”“视觉风格、声音与分镜设计”；方法参照Wei等[18]。</w:t>
      </w:r>
    </w:p>
    <w:p>
      <w:pPr>
        <w:pStyle w:val="Heading1"/>
      </w:pPr>
      <w:r>
        <w:t>P06｜技术路线与镜头生产（65秒）</w:t>
      </w:r>
    </w:p>
    <w:p>
      <w:r>
        <w:t>技术路线由资料核验、叙事与视觉资产、代表小样、正式生产和三层审校五个环节构成。正式生成前，先做三类代表镜头：A测试龙头与四到六名舞龙者转向时，龙体连接和肢体是否稳定；B测试狭窄街巷多人协作时，人数、透视和背景是否一致；C测试烟火遮挡后，龙体再次显现是否发生漂移。每类比较纯文本、参考图和首尾帧等输入方式，保留失败版本。正式生产采用固定资产、关键帧、短镜头、局部修复和后期组接的顺序。平台按小样稳定性、成本和可重复性选择；当复杂镜头反复失败时，通过缩短时长、减少动作变量或独立合成烟火完成降级，保证完整成片。</w:t>
      </w:r>
    </w:p>
    <w:p>
      <w:r>
        <w:t>依据：开题报告“AIGC代表镜头小样与正式生产”“技术路线”“可能出现的技术问题及解决办法”。</w:t>
      </w:r>
    </w:p>
    <w:p>
      <w:r>
        <w:t>说明：此页实拍图仅是待测试场景的文化与运动参照，不代表已完成AIGC小样或技术实验。</w:t>
      </w:r>
    </w:p>
    <w:p>
      <w:pPr>
        <w:pStyle w:val="Heading1"/>
      </w:pPr>
      <w:r>
        <w:t>P07｜设计创新（60秒）</w:t>
      </w:r>
    </w:p>
    <w:p>
      <w:r>
        <w:t>本课题的创新集中为两项。第一，文化依据直接进入生成约束。祈福资料先落实为开光、入巷送福、迎龙燃炮和送龙等行为，再将对象、材质、空间和动作整理为视觉语义，最后共同决定镜头、参考图和生成条件，使文化准确性提前进入生产。第二，针对炮龙长尺度、多人协作和烟火遮挡的特点，把复杂镜头转化为可管理任务。通过统一资产、代表小样、短镜头拆分、关键帧约束和传统后期，分别处理结构、运动和遮挡，并保留失败版本与修订原因。两项创新都是具体设计案例的方法探索，用作品和过程材料说明有效性与限制，不预先推导适用于所有非遗影像的普遍结论。</w:t>
      </w:r>
    </w:p>
    <w:p>
      <w:r>
        <w:t>依据：开题报告“创新之处”；讲稿超过200字。</w:t>
      </w:r>
    </w:p>
    <w:p>
      <w:pPr>
        <w:pStyle w:val="Heading1"/>
      </w:pPr>
      <w:r>
        <w:t>P08｜准备情况（35秒）</w:t>
      </w:r>
    </w:p>
    <w:p>
      <w:r>
        <w:t>根据开题报告，目前已完成文献与官方资料、2023年宾州镇样本及制作资料整理，形成五段叙事、视觉语义词表和镜头测试方案。下一阶段开展十到十五部案例分析，制作三类代表小样；粗剪后邀请八到十二名十八至三十岁的青年观众，检查其对祈福主题与五段结构的理解。反馈用于作品修改，不作为传播效果或统计结论。</w:t>
      </w:r>
    </w:p>
    <w:p>
      <w:r>
        <w:t>依据：两份指导文档P08与开题报告研究设计。已完成状态沿用作者提供材料，不表示本次制作已代为完成现场调研或AIGC实验。</w:t>
      </w:r>
    </w:p>
    <w:p>
      <w:pPr>
        <w:pStyle w:val="Heading1"/>
      </w:pPr>
      <w:r>
        <w:t>P09｜进度与预期成果（45秒）</w:t>
      </w:r>
    </w:p>
    <w:p>
      <w:r>
        <w:t>计划从2026年9月持续到2027年5月，按资料与小样、脚本与资产、主体生产与粗剪、审校与成片、成果整理五个阶段推进。核心成果是三到五分钟的AIGC短片，同时提交脚本分镜、参考资产、三类代表小样、生成与失败记录、逐镜审校表、报告和展板。评价标准是主题清楚、依据可溯、镜头可控、完整成片成立。我的汇报完毕，请各位老师批评指正。</w:t>
      </w:r>
    </w:p>
    <w:p>
      <w:r>
        <w:t>依据：开题报告“研究进展计划”“预期结果”；指导手册P09。时间为研究计划，不表示未来阶段已完成。</w:t>
      </w:r>
    </w:p>
    <w:p>
      <w:pPr>
        <w:pStyle w:val="Heading1"/>
      </w:pPr>
      <w:r>
        <w:t>核心文化资料（沿用开题报告）</w:t>
      </w:r>
    </w:p>
    <w:p>
      <w:r>
        <w:t>[14] 中国非物质文化遗产网·中国非物质文化遗产数字博物馆：宾阳炮龙节</w:t>
        <w:br/>
        <w:t>https://www.ihchina.cn/project_details/15095/</w:t>
      </w:r>
    </w:p>
    <w:p>
      <w:r>
        <w:t>[15] 文化和旅游部：宾阳炮龙节火爆回归背后（2023-02-21）</w:t>
        <w:br/>
        <w:t>https://www.mct.gov.cn/whzx/qgwhxxlb/gx/202302/t20230221_939223.htm</w:t>
      </w:r>
    </w:p>
    <w:p>
      <w:r>
        <w:t>[16] 人民网广西：2023年宾阳县民间舞炮龙活动将于2月1日举行（2023-01-30）</w:t>
        <w:br/>
        <w:t>https://gx.people.com.cn/n2/2023/0130/c390645-40282557.html</w:t>
      </w:r>
    </w:p>
    <w:p>
      <w:r>
        <w:t>[17] Rong J. Image Translation and Aesthetic Regeneration (2025).</w:t>
        <w:br/>
        <w:t>DOI:10.70711/rcha.v3i6.7613</w:t>
      </w:r>
    </w:p>
    <w:p>
      <w:r>
        <w:t>[18] Wei C et al. AIGC based digital heritage reconstruction of Qing interior canopies (2026).</w:t>
        <w:br/>
        <w:t>DOI:10.1038/s40494-025-02280-y</w:t>
      </w:r>
    </w:p>
    <w:p>
      <w:r>
        <w:t>文化项目页[14]、官方报道[15]与活动指南[16]已在制作期间访问核对；[17][18]的文献信息沿用开题报告。不同年份的照片作为视觉参照，按原报道逐张标明年份，不替代2023年主要现实样本。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