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SimHei" w:cs="SimHei" w:eastAsia="SimHei" w:hAnsi="SimHei"/>
          <w:b/>
          <w:bCs/>
          <w:color w:val="000000"/>
          <w:sz w:val="44"/>
          <w:szCs w:val="44"/>
        </w:rPr>
        <w:t xml:space="preserve">信创服务器及配套软件采购需求书</w:t>
      </w:r>
    </w:p>
    <w:p>
      <w:pPr>
        <w:spacing w:after="360"/>
        <w:jc w:val="center"/>
      </w:pPr>
      <w:r>
        <w:rPr>
          <w:rFonts w:ascii="SimSun" w:cs="SimSun" w:eastAsia="SimSun" w:hAnsi="SimSun"/>
          <w:b w:val="false"/>
          <w:bCs w:val="false"/>
          <w:color w:val="595959"/>
          <w:sz w:val="24"/>
          <w:szCs w:val="24"/>
        </w:rPr>
        <w:t xml:space="preserve">(申请稿 · 2026年7月 · 文中【 】为待填项,金额为公开行情锚点、以询价为准)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一、采购背景与必要性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【采购单位】自主建设的"党建益友"综合业务平台(以下简称"本系统")已完成开发并在内部网络试运行。本系统为 B/S 架构的企业应用底座,涵盖门户导航、组织与用户管理、证书管理、任务分派、考核管理、3D 虚拟展厅、会场排座等业务模块,服务全公司 34 家二级单位及机关部门。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为落实信息技术应用创新(信创)有关要求,本系统正式投产须部署于国产化服务器环境。目前系统仅运行于开发用普通计算机,无生产级硬件,业务数据(审计留痕、考核档案、证书档案、3D 素材文件等)缺乏可靠存储与备份保障,存在数据安全风险。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本次采购目标:一次性配齐生产环境所需国产服务器、操作系统、数据库及安全传输组件,并预留 3~5 年业务增长空间;同时通过技术参数与验收条款,确保所购环境与本系统技术栈完全兼容,避免二次改造投入。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二、系统技术概况与兼容性结论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本系统技术形态与国产化兼容性经逐项核实,结论如下(作为后续参数设定依据):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type="dxa" w:w="3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技术形态</w:t>
            </w:r>
          </w:p>
        </w:tc>
        <w:tc>
          <w:tcPr>
            <w:tcW w:type="dxa" w:w="4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国产化兼容性结论</w:t>
            </w:r>
          </w:p>
        </w:tc>
      </w:tr>
      <w:tr>
        <w:tc>
          <w:tcPr>
            <w:tcW w:type="dxa" w:w="15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应用运行时</w:t>
            </w:r>
          </w:p>
        </w:tc>
        <w:tc>
          <w:tcPr>
            <w:tcW w:type="dxa" w:w="3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Node.js LTS(20/22),B/S 架构,单实例部署</w:t>
            </w:r>
          </w:p>
        </w:tc>
        <w:tc>
          <w:tcPr>
            <w:tcW w:type="dxa" w:w="4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官方对 x86_64 与 ARM64(aarch64)提供一级支持与预编译组件,要求 glibc≥2.28;银河麒麟 V10 SP3 / 统信 UOS V20 出厂即满足</w:t>
            </w:r>
          </w:p>
        </w:tc>
      </w:tr>
      <w:tr>
        <w:tc>
          <w:tcPr>
            <w:tcW w:type="dxa" w:w="15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数据库访问</w:t>
            </w:r>
          </w:p>
        </w:tc>
        <w:tc>
          <w:tcPr>
            <w:tcW w:type="dxa" w:w="3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基于 PostgreSQL 生态(ORM 引擎),零 PG 专有特性、全部标准 SQL</w:t>
            </w:r>
          </w:p>
        </w:tc>
        <w:tc>
          <w:tcPr>
            <w:tcW w:type="dxa" w:w="4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与 PostgreSQL 内核系国产数据库(瀚高、人大金仓等)兼容风险低;与非 PG 系(达梦等)不兼容,更换需重写数据访问层</w:t>
            </w:r>
          </w:p>
        </w:tc>
      </w:tr>
      <w:tr>
        <w:tc>
          <w:tcPr>
            <w:tcW w:type="dxa" w:w="15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原生组件</w:t>
            </w:r>
          </w:p>
        </w:tc>
        <w:tc>
          <w:tcPr>
            <w:tcW w:type="dxa" w:w="3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图像处理(sharp)、数据库引擎(Prisma)、PDF 解析(canvas)共 3 个</w:t>
            </w:r>
          </w:p>
        </w:tc>
        <w:tc>
          <w:tcPr>
            <w:tcW w:type="dxa" w:w="4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三者均官方发布 linux-x64 与 linux-arm64 组件;均无龙芯 LoongArch 官方支持</w:t>
            </w:r>
          </w:p>
        </w:tc>
      </w:tr>
      <w:tr>
        <w:tc>
          <w:tcPr>
            <w:tcW w:type="dxa" w:w="15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文件存储</w:t>
            </w:r>
          </w:p>
        </w:tc>
        <w:tc>
          <w:tcPr>
            <w:tcW w:type="dxa" w:w="3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本地盘/挂载盘,单文件上限 500MB(3D 模型、视频)</w:t>
            </w:r>
          </w:p>
        </w:tc>
        <w:tc>
          <w:tcPr>
            <w:tcW w:type="dxa" w:w="4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普通文件系统即可,无特殊依赖;按 TB 级增长预留</w:t>
            </w:r>
          </w:p>
        </w:tc>
      </w:tr>
      <w:tr>
        <w:tc>
          <w:tcPr>
            <w:tcW w:type="dxa" w:w="15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客户端</w:t>
            </w:r>
          </w:p>
        </w:tc>
        <w:tc>
          <w:tcPr>
            <w:tcW w:type="dxa" w:w="3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浏览器访问(另有 Windows 桌面客户端)</w:t>
            </w:r>
          </w:p>
        </w:tc>
        <w:tc>
          <w:tcPr>
            <w:tcW w:type="dxa" w:w="4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近三年版本国产浏览器(Chromium 内核)可用;3D 展厅需终端支持 WebGL2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据此,本次采购在 CPU 架构上限定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ARMv8 或 x86_64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(鲲鹏、海光、飞腾等主流国产处理器均在此列),在数据库上限定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PostgreSQL 内核系国产数据库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,以保证零改造迁移;相关约束的详细理由见第六章。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三、总体部署架构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接入层: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国密安全网关(开源软件方案,部署于应用服务器),对内网终端提供 HTTPS/国密 TLS 加密访问,SM2 与 RSA 双证书兼容;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应用层: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应用服务器 2 台(主用 + 热备/分载),承载业务应用、静态资源与 3D 展厅服务;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数据层: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数据库服务器 1 台(可选扩展主备高可用);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存储备份层: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大容量存储服务器 1 台,承载业务文件区与数据库每日备份;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测试预发: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测试服务器 1 台,用于适配验证、版本升级演练与故障替换冗余;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可选 AI 算力: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若生产内网限制访问公网大模型服务,增配国产推理算力实现 AI 功能私有化(见可选项)。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四、采购清单总表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30"/>
        <w:gridCol w:w="710"/>
        <w:gridCol w:w="3406"/>
        <w:gridCol w:w="1300"/>
        <w:gridCol w:w="1220"/>
      </w:tblGrid>
      <w:tr>
        <w:trPr>
          <w:tblHeader/>
        </w:trP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品目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数量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关键规格摘要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预算区间(万元)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类别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应用服务器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台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国产 CPU 双路,总物理核≥64,内存 128GB,SSD 系统盘+数据盘,双万兆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8 ~ 12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数据库服务器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台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国产 CPU 双路,总物理核≥64,内存 128GB,NVMe 数据盘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 ~ 6.5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存储备份服务器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台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≥12 盘位,配 6×8TB 企业盘(RAID6 可用≥32TB),可扩展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 ~ 8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测试/预发服务器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台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国产 CPU,总物理核≥32,内存 64GB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 ~ 4.5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服务器操作系统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 套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银河麒麟高级服务器 V10 SP3 及以上或统信 UOS V20,永久授权含 3 年服务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2.5 ~ 5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国产数据库(PG 内核系)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套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生产 + 测试授权,含 3 年原厂服务(详见参数)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 ~ 15(询价)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国密传输改造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项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开源国密网关 + 自建内网 CA(零采购成本);公信 SM2 证书可选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0 ~ 1 / 年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[object Object]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基础包小计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上述 1~7 项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约 27.5 ~ 52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必选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数据库高可用备机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台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与第 2 项同配置,组主备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 ~ 6.5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密码机与签名验签服务器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 台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服务器密码机×2(主备)+ 签名验签×1;等保三级定级/密评启动时采购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25 ~ 34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AI 算力 · 入门档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项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国产推理卡 2~4 张(如昇腾 Atlas 300I Duo)或蒸馏版大模型一体机,覆盖本系统全部现有 AI 功能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15 ~ 30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</w:t>
            </w:r>
          </w:p>
        </w:tc>
      </w:tr>
      <w:tr>
        <w:tc>
          <w:tcPr>
            <w:tcW w:type="dxa" w:w="56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83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AI 算力 · 标准档</w:t>
            </w:r>
          </w:p>
        </w:tc>
        <w:tc>
          <w:tcPr>
            <w:tcW w:type="dxa" w:w="71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 项</w:t>
            </w:r>
          </w:p>
        </w:tc>
        <w:tc>
          <w:tcPr>
            <w:tcW w:type="dxa" w:w="34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8 卡国产推理整机(如 Atlas 800I A2),可跑满血大模型、百人并发</w:t>
            </w:r>
          </w:p>
        </w:tc>
        <w:tc>
          <w:tcPr>
            <w:tcW w:type="dxa" w:w="1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80 ~ 150</w:t>
            </w:r>
          </w:p>
        </w:tc>
        <w:tc>
          <w:tcPr>
            <w:tcW w:type="dxa" w:w="1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595959"/>
          <w:sz w:val="21"/>
          <w:szCs w:val="21"/>
        </w:rPr>
        <w:t xml:space="preserve">注:第 1~7 项为本次申请必选项;第 8~11 项为按需启动的可选项,列入本needs书以便一次论证、分批采购。机柜、UPS、交换机等机房配套如需一并采购另行补充,本清单聚焦服务器与基础软件。价格区间为 2024—2025 年公开渠道及集采中标行情锚点,签订前须向不少于 3 家供应商询价。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五、详细技术参数要求</w:t>
      </w: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5.1 通用要求(适用于第 1~4 项全部服务器)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CPU: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须为列入国家安全可靠测评公告的国产处理器,指令集架构为 ARMv8(含 v8.2 及以上)或 x86_64;不指定品牌,鲲鹏、海光、飞腾等满足指令集要求的主流国产处理器均可参与;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操作系统兼容: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整机须与所投操作系统(银河麒麟 V10 SP3+ / 统信 UOS V20)完成互认证并随货提供证书;所装系统 glibc 版本≥2.28(验收现场以 ldd --version 核验);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适配验证(★核心条款):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到货安装后,中标方须配合采购方完成附录 B 全部适配验证项,全部通过方可签署验收单并支付货款;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管理权限: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交付完整 root 权限,不得以任何形式限制采购方自行安装软件;配备 BMC 带外管理(支持 KVM over IP);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扩展余量: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内存插槽占用率≤50%(保留后续翻倍扩容能力);空闲盘位≥4 个;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可靠性: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1+1 冗余电源(铂金及以上);企业级硬盘;RAID 卡带缓存掉电保护;含导轨。</w:t>
      </w: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5.2 应用服务器(2 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CPU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颗国产处理器,单颗物理核≥32、主频≥2.0GHz(整机总核≥64)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≥128GB DDR4-2933 及以上,支持扩展至≥512GB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系统盘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× ≥480GB 企业级 SSD,RAID1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数据盘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≥2 × 3.84TB 企业级 SSD(RAID1)或 4 × 4TB 企业级 SATA(RAID10)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网络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≥2 × GE + 2 × 10GE(SFP+,含模块)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用途说明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承载业务应用(Node.js)、国密网关、前端静态资源与 3D 展厅服务;图像/3D 模型处理与 AI 文档解析存在 CPU 与内存峰值,故按高配置双机冗余设置</w:t>
            </w:r>
          </w:p>
        </w:tc>
      </w:tr>
    </w:tbl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5.3 数据库服务器(1 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CPU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颗国产处理器,单颗物理核≥32、主频≥2.0GHz(整机总核≥64)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≥128GB,支持扩展至≥512GB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系统盘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× ≥480GB 企业级 SSD,RAID1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数据盘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× ≥1.92TB 企业级 NVMe U.2 SSD,RAID1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本地备份盘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× ≥4TB 企业级 SATA,RAID1(数据库每日备份落地,再异机复制至存储服务器)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网络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≥2 × GE + 2 × 10GE(SFP+,含模块)</w:t>
            </w:r>
          </w:p>
        </w:tc>
      </w:tr>
    </w:tbl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5.4 存储备份服务器(1 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CPU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1~2 颗国产处理器,整机总物理核≥32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≥64GB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系统盘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× ≥480GB 企业级 SSD,RAID1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数据盘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≥12 个 3.5 英寸盘位,本次配置 6 × 8TB 企业级 SATA(RAID6,可用容量≥32TB),剩余盘位留扩展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网络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≥2 × GE + 2 × 10GE(SFP+,含模块)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用途说明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业务文件区(3D 模型/视频等大文件,单文件上限 500MB)集中存储与全系统备份归集;文件区按 3~5 年 TB 级增长预留</w:t>
            </w:r>
          </w:p>
        </w:tc>
      </w:tr>
    </w:tbl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5.5 测试/预发服务器(1 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CPU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1~2 颗国产处理器,整机总物理核≥32(架构须与生产应用服务器一致)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≥64GB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硬盘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 × ≥480GB SSD(RAID1)+ 2 × ≥4TB SATA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用途说明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版本升级演练、适配验证复现、故障时应急顶替;架构一致是发挥上述作用的前提,故与生产同路线采购</w:t>
            </w:r>
          </w:p>
        </w:tc>
      </w:tr>
    </w:tbl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5.6 服务器操作系统(5 套)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产品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银河麒麟高级服务器操作系统 V10 SP3 及以上(按整机架构配 ARM 版/X86 版),或统信 UOS 服务器版 V20(1050 及以上)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授权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每台物理服务器 1 套永久授权,含≥3 年原厂订阅服务(补丁、升级、技术支持)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技术要求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glibc≥2.28、内核≥4.18;提供官方软件源接入方式或离线补丁包获取渠道(内网环境适用)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交付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随整机预装并完成激活;授权文件与激活凭证交付采购方留存</w:t>
            </w:r>
          </w:p>
        </w:tc>
      </w:tr>
    </w:tbl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5.7 国产数据库软件(生产 1 套 + 测试 1 套)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本项为整个采购中与应用兼容性关系最直接的一项,参数须严格执行: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产品要求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列入信创目录/安全可靠测评公告的国产商用关系型数据库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内核要求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基于 PostgreSQL 数据库内核研发,内核版本≥PostgreSQL 9.6(优先≥10)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协议要求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完全兼容 PostgreSQL 网络通信协议,支持社区标准 PostgreSQL 客户端驱动(libpq、node-postgres 等)直接连接;支持 md5 或 scram-sha-256 认证方式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SQL 要求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兼容 PostgreSQL SQL 方言与系统目录(pg_catalog、information_schema);完整支持事务、序列、唯一约束、复合主键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适配要求 ★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中标方须配合采购方完成 Node.js 应用(含 Prisma ORM 数据访问层)的适配验证(附录 B 第 4 项),验证通过为验收与付款前置条件;适配过程中的数据库侧配置调整(认证方式、兼容模式等)由中标方负责实施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授权与服务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生产环境 1 套(按 CPU 授权、不限用户数)+ 测试环境 1 套;含≥3 年原厂服务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参考产品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满足上述参数的产品包括但不限于:瀚高数据库(安全版)、人大金仓 KingbaseES(PostgreSQL 兼容模式)等,不限品牌</w:t>
            </w:r>
          </w:p>
        </w:tc>
      </w:tr>
    </w:tbl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5.8 国密传输改造(1 项)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主方案(零采购成本):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在应用服务器部署开源国密网关(Tengine + 铜锁 Tongsuo,开放原子开源基金会项目),实现 GB/T 38636-2020 TLCP 国密双证书(SM2)+ RSA 证书兼容回退;自建内网 CA 签发 SM2 证书,通过终端管理统一推送根证书,国产浏览器(360、奇安信等)走国密 HTTPS,其他浏览器自动回退 RSA,均为加密访问。该方案为业界成熟做法,实施工作量计入系统部署,不产生软件采购费。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可选增强: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① 公信 CA 的 SM2/RSA 双证书(CFCA、沃通等,OV 型约 0.4~1 万元/年),用于对外或对第三方可信场景;② 系统完成等保三级定级后,按密评要求增配服务器密码机(见可选项 9)。</w:t>
      </w: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5.9 可选项参数要点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第 8 项 数据库备机: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与 5.3 同配置,与主库组流复制主备;建议在正式投产满 6 个月、数据重要性验证后启动;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第 9 项 密码设备: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服务器密码机 2 台(主备,参考价约 8~12 万/台)+ 签名验签服务器 1 台(约 8~10 万);仅在系统等保定级为三级并启动商用密码应用安全性评估(密评)时采购——等保三级并不强制硬件密码机(要求密码模块安全二级及以上),先软后硬、按测评结论补配,避免超前投入;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第 10 项 AI 算力入门档: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国产推理卡 2~4 张(如昇腾 Atlas 300I Duo 96GB,约 1.5~2 万/张,含配套整机)或蒸馏版大模型一体机(市场价约 10~15 万);可私有化运行 DeepSeek-R1 蒸馏 32B(量化)与 Qwen2.5-VL 视觉模型,覆盖本系统证书 AI 提取、任务智能生成、考核指标生成、图片理解等全部现有 AI 功能;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第 11 项 AI 算力标准档: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8 卡国产推理整机(如华为 Atlas 800I A2,8×昇腾 910B)或满血版大模型一体机(市场价约 20~50 万起,原生精度方案 150~200 万),支持满血 671B 模型与百人并发;建议待入门档实际负载验证后按需升级。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六、关键选型约束及理由说明</w:t>
      </w:r>
    </w:p>
    <w:p>
      <w:pPr>
        <w:spacing w:after="12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为便于审批与后续采购监督,现将技术参数中的关键约束及其理由说明如下: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为何限定指令集为 ARMv8 或 x86_64: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本系统应用运行时(Node.js)官方仅对 x86_64 与 ARM64 提供一级支持、官方二进制与安全更新;数据访问引擎(Prisma)官方声明仅支持这两种架构;图像处理组件(sharp)同样仅发布这两种架构的官方组件。龙芯 LoongArch 路线在上述三个组件均无官方支持(Node.js 仅为实验级、需依赖社区版且版本滞后数月),选用将带来安全补丁滞后与长期自行编译维护成本,故不纳入。该参数写法(按指令集与生态约束、不点名品牌)与中国电信服务器集采(按 ARM/C86 分标包)、中信银行服务器采购(要求"指令集架构 ARMv8.2 及以上")等公开招标实践一致,ARM 与 x86 两条国产路线并列,不构成对单一技术路线或品牌的排斥。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为何限定 PostgreSQL 内核系国产数据库: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本系统数据访问层基于 PostgreSQL 生态构建,且开发时已刻意避开专有特性(全部标准 SQL)。选择 PG 内核系国产数据库(瀚高、人大金仓等,满足参数的产品不少于两家,竞争充分)可实现近零成本迁移;若选择非 PG 系产品(如达梦),其官方 ORM 适配不覆盖本系统技术栈,须重写整个数据访问层,预计增加数月工期与相应开发费用,并引入回归风险。限定内核版本≥9.6 是数据访问引擎的官方最低支持线。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配置与数量测算依据: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按 34 家二级单位、全员约【 】人、日常并发数百人测算;本系统为单实例纵向扩展架构,保障重点是单机规格与双机冗余而非多副本集群,故应用服务器按"1 主 1 热备"设置。文件存储现状约 1.2GB,但 3D 展厅素材(单文件上限 500MB)与视频增长快,按 3~5 年 TB 级增长预留 32TB 可用容量;数据库为 GB 级(审计日志为主要增长表),NVMe 配置保障考核实时计算等高频查询性能。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操作系统双产品并列: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银河麒麟与统信 UOS 均满足本系统运行要求(glibc≥2.28),并列写入以保持竞争。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等保与密评口径: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尚未开展等保定级。依据《商用密码应用安全性评估管理办法》,强制密评范围为关键信息基础设施、等保三级及以上系统和面向社会服务的政务系统;本系统为企业内部系统,若定级为二级则密评为自愿项。故本次采购以"软件国密方案(零成本)先行、硬件密码设备列为可选项"处理,待定级结论明确后再决定是否启动第 9 项,避免不必要投入。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七、商务与验收要求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样机验证(定标前置)★:</w:t>
      </w: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进入定标候选的投标人,须在定标前提供与投标配置同架构的样机(或远程真机环境),配合采购方完成附录 B 第 1~4 项验证(架构与 glibc 核验、运行时、原生组件加载、数据库驱动直连与建表);验证不通过或不配合的,取消候选资格。该环节不产生采购方费用。采购方已于 2026 年 7 月在自有环境完成 PostgreSQL 全链路与双平台组件预验证(见《采购前运行验证报告》),样机验证为其在真机上的复核;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质保与服务:整机≥5 年原厂质保(7×24 报修、下一工作日响应);操作系统与数据库≥3 年原厂订阅服务;质保期内固件与补丁升级免费;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到货与安装:合同签订后≤6 周到货;含上架、加电、RAID 配置、操作系统预装激活、网络联调;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适配验证(付款前置):到货后 10 个工作日内,中标方配合采购方完成附录 B 全部验证项,全部通过后签署验收单;任何一项不通过,中标方须在 15 个工作日内整改或更换设备/软件,仍不通过的采购方有权退货;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随货文件:原厂授权书、整机-操作系统互认证证书、数据库原厂授权与服务承诺函;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培训:操作系统、数据库日常管理培训各≥1 人日;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报价:含税、含运费、含安装实施;按品目分项报价,以便按需增减。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八、预算汇总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2200"/>
        <w:gridCol w:w="2220"/>
      </w:tblGrid>
      <w:tr>
        <w:trPr>
          <w:tblHeader/>
        </w:trPr>
        <w:tc>
          <w:tcPr>
            <w:tcW w:type="dxa" w:w="46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项目包</w:t>
            </w:r>
          </w:p>
        </w:tc>
        <w:tc>
          <w:tcPr>
            <w:tcW w:type="dxa" w:w="2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金额区间(万元)</w:t>
            </w:r>
          </w:p>
        </w:tc>
        <w:tc>
          <w:tcPr>
            <w:tcW w:type="dxa" w:w="2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46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基础包(第 1~7 项,必选)</w:t>
            </w:r>
          </w:p>
        </w:tc>
        <w:tc>
          <w:tcPr>
            <w:tcW w:type="dxa" w:w="2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约 27.5 ~ 52</w:t>
            </w:r>
          </w:p>
        </w:tc>
        <w:tc>
          <w:tcPr>
            <w:tcW w:type="dxa" w:w="2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一次性投入;国密证书如选公信 CA 另计约 0.4~1 万/年</w:t>
            </w:r>
          </w:p>
        </w:tc>
      </w:tr>
      <w:tr>
        <w:tc>
          <w:tcPr>
            <w:tcW w:type="dxa" w:w="46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可选:数据库高可用(第 8 项)</w:t>
            </w:r>
          </w:p>
        </w:tc>
        <w:tc>
          <w:tcPr>
            <w:tcW w:type="dxa" w:w="2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 ~ 6.5</w:t>
            </w:r>
          </w:p>
        </w:tc>
        <w:tc>
          <w:tcPr>
            <w:tcW w:type="dxa" w:w="2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投产稳定后按需启动</w:t>
            </w:r>
          </w:p>
        </w:tc>
      </w:tr>
      <w:tr>
        <w:tc>
          <w:tcPr>
            <w:tcW w:type="dxa" w:w="46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可选:密码设备(第 9 项)</w:t>
            </w:r>
          </w:p>
        </w:tc>
        <w:tc>
          <w:tcPr>
            <w:tcW w:type="dxa" w:w="2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25 ~ 34</w:t>
            </w:r>
          </w:p>
        </w:tc>
        <w:tc>
          <w:tcPr>
            <w:tcW w:type="dxa" w:w="2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等保三级定级/密评启动时采购</w:t>
            </w:r>
          </w:p>
        </w:tc>
      </w:tr>
      <w:tr>
        <w:tc>
          <w:tcPr>
            <w:tcW w:type="dxa" w:w="46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可选:AI 算力入门档(第 10 项)</w:t>
            </w:r>
          </w:p>
        </w:tc>
        <w:tc>
          <w:tcPr>
            <w:tcW w:type="dxa" w:w="2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15 ~ 30</w:t>
            </w:r>
          </w:p>
        </w:tc>
        <w:tc>
          <w:tcPr>
            <w:tcW w:type="dxa" w:w="2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内网禁止访问公网大模型时启动</w:t>
            </w:r>
          </w:p>
        </w:tc>
      </w:tr>
      <w:tr>
        <w:tc>
          <w:tcPr>
            <w:tcW w:type="dxa" w:w="460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可选:AI 算力标准档(第 11 项)</w:t>
            </w:r>
          </w:p>
        </w:tc>
        <w:tc>
          <w:tcPr>
            <w:tcW w:type="dxa" w:w="2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80 ~ 150</w:t>
            </w:r>
          </w:p>
        </w:tc>
        <w:tc>
          <w:tcPr>
            <w:tcW w:type="dxa" w:w="222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入门档负载验证后按需升级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595959"/>
          <w:sz w:val="21"/>
          <w:szCs w:val="21"/>
        </w:rPr>
        <w:t xml:space="preserve">注:本次申请建议先行核批基础包;可选项一并论证、按触发条件分批申请,不重复走立项流程。</w:t>
      </w:r>
    </w:p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附录 A:应用系统运行环境要求一览(随采购文件提供给供应商)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运行时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Node.js ≥20 LTS(nodejs.org 官方 linux-arm64 / linux-x64 二进制直装)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glibc≥2.28,内核≥4.18;开放 root 权限与自装软件能力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PostgreSQL 协议直连;应用账号需建库建表权限(初始化)与常规读写权限(运行)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端口规划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443/80(国密网关,对终端);3001(应用服务,内部);5432(数据库,仅应用服务器可达)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磁盘目录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应用目录与业务文件区分离;业务文件区挂载于大容量卷(可在线扩容);备份目录独立于数据卷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终端要求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近三年版本国产浏览器(Chromium 内核);3D 展厅功能需终端支持 WebGL2,终端显卡性能敏感,建议抽样实测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外部 AI 说明</w:t>
            </w:r>
          </w:p>
        </w:tc>
        <w:tc>
          <w:tcPr>
            <w:tcW w:type="dxa" w:w="722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系统 AI 功能默认调用国产大模型云端接口(HTTPS);若生产内网禁止出网,可启用可选项 10/11 私有化部署(系统支持按功能降级,不影响非 AI 业务)</w:t>
            </w:r>
          </w:p>
        </w:tc>
      </w:tr>
    </w:tbl>
    <w:p>
      <w:pPr>
        <w:spacing w:after="160" w:before="32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附录 B:到货适配验证清单(验收依据)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架构与系统核验:uname -m 输出为 aarch64 或 x86_64;ldd --version 输出 glibc≥2.28;操作系统激活状态与授权文件核验通过;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运行时验证:Node.js 22 LTS 官方二进制解压后 node -v 正常输出;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原生组件验证:采购方提供的离线依赖包安装成功;图像处理(sharp)、数据库引擎(Prisma)、PDF 组件(canvas)三个原生组件加载自检通过(采购方提供自检脚本);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数据库验证:标准 PostgreSQL 驱动(node-postgres)连接成功(md5 或 scram 认证);Prisma migrate 全量建表成功;增删改查与事务冒烟测试通过;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应用冒烟:应用完整启动;登录、文件上传(含 500MB 3D 模型)、证书 PDF 生成、考核实时计算、审计日志写入全部通过;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国密链路:国密网关 HTTPS 生效;国产浏览器国密算法握手与信任链验证通过;非国密浏览器 RSA 回退访问正常;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备份恢复:数据库备份/还原演练一次通过;文件区定时备份任务配置完成并验证;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性能参考:内网 100 并发下核心接口 95 分位响应≤500ms(参考值,不作为单项否决,连同硬件监控数据留档)。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页,共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b w:val="false"/>
        <w:bCs w:val="false"/>
        <w:color w:val="808080"/>
        <w:sz w:val="18"/>
        <w:szCs w:val="18"/>
      </w:rPr>
      <w:t xml:space="preserve">【采购单位】信创服务器采购需求书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2026-07-03T01:34:41.975Z</dcterms:created>
  <dcterms:modified xsi:type="dcterms:W3CDTF">2026-07-03T01:34:41.976Z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