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rPr>
          <w:rFonts w:ascii="SimHei" w:cs="SimHei" w:eastAsia="SimHei" w:hAnsi="SimHei"/>
          <w:b/>
          <w:bCs/>
          <w:color w:val="000000"/>
          <w:sz w:val="40"/>
          <w:szCs w:val="40"/>
        </w:rPr>
        <w:t xml:space="preserve">采购前运行验证报告</w:t>
      </w:r>
    </w:p>
    <w:p>
      <w:pPr>
        <w:spacing w:after="320"/>
        <w:jc w:val="center"/>
      </w:pPr>
      <w:r>
        <w:rPr>
          <w:rFonts w:ascii="SimSun" w:cs="SimSun" w:eastAsia="SimSun" w:hAnsi="SimSun"/>
          <w:b w:val="false"/>
          <w:bCs w:val="false"/>
          <w:color w:val="595959"/>
          <w:sz w:val="22"/>
          <w:szCs w:val="22"/>
        </w:rPr>
        <w:t xml:space="preserve">信创兼容性实测 · 2026年7月2日—3日 · 配套《信创服务器采购需求书》使用</w:t>
      </w:r>
    </w:p>
    <w:p>
      <w:pPr>
        <w:spacing w:after="140" w:before="300"/>
      </w:pPr>
      <w:r>
        <w:rPr>
          <w:rFonts w:ascii="SimHei" w:cs="SimHei" w:eastAsia="SimHei" w:hAnsi="SimHei"/>
          <w:b/>
          <w:bCs/>
          <w:color w:val="000000"/>
          <w:sz w:val="30"/>
          <w:szCs w:val="30"/>
        </w:rPr>
        <w:t xml:space="preserve">一、验证目的</w:t>
      </w:r>
    </w:p>
    <w:p>
      <w:pPr>
        <w:spacing w:after="120" w:line="320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服务器采购不可逆。为确保设备与基础软件到位后现有系统("党建益友"平台)即可运行,在下达采购前以实际运行测试(而非厂商宣传或文档推断)验证关键兼容性风险。本报告记录验证过程、证据与残余风险的合同兜底安排。</w:t>
      </w:r>
    </w:p>
    <w:p>
      <w:pPr>
        <w:spacing w:after="140" w:before="300"/>
      </w:pPr>
      <w:r>
        <w:rPr>
          <w:rFonts w:ascii="SimHei" w:cs="SimHei" w:eastAsia="SimHei" w:hAnsi="SimHei"/>
          <w:b/>
          <w:bCs/>
          <w:color w:val="000000"/>
          <w:sz w:val="30"/>
          <w:szCs w:val="30"/>
        </w:rPr>
        <w:t xml:space="preserve">二、结论总览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3126"/>
      </w:tblGrid>
      <w:tr>
        <w:trPr>
          <w:tblHeader/>
        </w:trPr>
        <w:tc>
          <w:tcPr>
            <w:tcW w:type="dxa" w:w="7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type="dxa" w:w="52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验证项</w:t>
            </w:r>
          </w:p>
        </w:tc>
        <w:tc>
          <w:tcPr>
            <w:tcW w:type="dxa" w:w="31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结果</w:t>
            </w:r>
          </w:p>
        </w:tc>
      </w:tr>
      <w:tr>
        <w:tc>
          <w:tcPr>
            <w:tcW w:type="dxa" w:w="7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一</w:t>
            </w:r>
          </w:p>
        </w:tc>
        <w:tc>
          <w:tcPr>
            <w:tcW w:type="dxa" w:w="52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现有系统 → PostgreSQL 10 全链路(国产 PG 系数据库内核基线代理):建表迁移、种子数据、应用启动、接口冒烟、审计落库</w:t>
            </w:r>
          </w:p>
        </w:tc>
        <w:tc>
          <w:tcPr>
            <w:tcW w:type="dxa" w:w="31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全部通过(冒烟 12/12)</w:t>
            </w:r>
          </w:p>
        </w:tc>
      </w:tr>
      <w:tr>
        <w:tc>
          <w:tcPr>
            <w:tcW w:type="dxa" w:w="7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二</w:t>
            </w:r>
          </w:p>
        </w:tc>
        <w:tc>
          <w:tcPr>
            <w:tcW w:type="dxa" w:w="52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海光 x86_64 / 鲲鹏 ARM64 双平台离线部署包:四类原生组件拉取与核实</w:t>
            </w:r>
          </w:p>
        </w:tc>
        <w:tc>
          <w:tcPr>
            <w:tcW w:type="dxa" w:w="31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可行(并挖出 2 个打包坑,已有解法)</w:t>
            </w:r>
          </w:p>
        </w:tc>
      </w:tr>
      <w:tr>
        <w:tc>
          <w:tcPr>
            <w:tcW w:type="dxa" w:w="7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三</w:t>
            </w:r>
          </w:p>
        </w:tc>
        <w:tc>
          <w:tcPr>
            <w:tcW w:type="dxa" w:w="52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本机无法代替实测的残余风险</w:t>
            </w:r>
          </w:p>
        </w:tc>
        <w:tc>
          <w:tcPr>
            <w:tcW w:type="dxa" w:w="31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3 项,全部落入"定标前样机验证 + 付款前置"条款兜底</w:t>
            </w:r>
          </w:p>
        </w:tc>
      </w:tr>
    </w:tbl>
    <w:p>
      <w:pPr>
        <w:spacing w:after="140" w:before="300"/>
      </w:pPr>
      <w:r>
        <w:rPr>
          <w:rFonts w:ascii="SimHei" w:cs="SimHei" w:eastAsia="SimHei" w:hAnsi="SimHei"/>
          <w:b/>
          <w:bCs/>
          <w:color w:val="000000"/>
          <w:sz w:val="30"/>
          <w:szCs w:val="30"/>
        </w:rPr>
        <w:t xml:space="preserve">三、验证一:PostgreSQL 10 全链路实测</w:t>
      </w:r>
    </w:p>
    <w:p>
      <w:pPr>
        <w:spacing w:after="120" w:line="32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选择 PostgreSQL 10.23 的理由:</w:t>
      </w: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采购参数要求国产数据库"基于 PG 内核≥9.6(优先≥10)";瀚高 V5 与 PG10 内核同步,PG10 即参数最低档的最严格代理。在 PG10 上通过,意味着在任何更新的 PG 系国产库内核上,方言兼容风险更低。</w:t>
      </w:r>
    </w:p>
    <w:p>
      <w:pPr>
        <w:spacing w:after="120" w:line="320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验证环境:本机 Windows x64;PostgreSQL 10.23(EDB 免安装版,全新实例,端口 54310);系统完整副本(与生产代码同源)。全部步骤真实执行: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526"/>
      </w:tblGrid>
      <w:tr>
        <w:trPr>
          <w:tblHeader/>
        </w:trPr>
        <w:tc>
          <w:tcPr>
            <w:tcW w:type="dxa" w:w="7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步骤</w:t>
            </w:r>
          </w:p>
        </w:tc>
        <w:tc>
          <w:tcPr>
            <w:tcW w:type="dxa" w:w="3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操作</w:t>
            </w:r>
          </w:p>
        </w:tc>
        <w:tc>
          <w:tcPr>
            <w:tcW w:type="dxa" w:w="45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结果</w:t>
            </w:r>
          </w:p>
        </w:tc>
      </w:tr>
      <w:tr>
        <w:tc>
          <w:tcPr>
            <w:tcW w:type="dxa" w:w="7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数据源 provider 由 sqlite 改为 postgresql</w:t>
            </w:r>
          </w:p>
        </w:tc>
        <w:tc>
          <w:tcPr>
            <w:tcW w:type="dxa" w:w="45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✅ 仅一行改动(模型设计早已避开 SQLite 专有特性)</w:t>
            </w:r>
          </w:p>
        </w:tc>
      </w:tr>
      <w:tr>
        <w:tc>
          <w:tcPr>
            <w:tcW w:type="dxa" w:w="7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3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Prisma 客户端生成 + NestJS 生产构建</w:t>
            </w:r>
          </w:p>
        </w:tc>
        <w:tc>
          <w:tcPr>
            <w:tcW w:type="dxa" w:w="45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✅ 均成功</w:t>
            </w:r>
          </w:p>
        </w:tc>
      </w:tr>
      <w:tr>
        <w:tc>
          <w:tcPr>
            <w:tcW w:type="dxa" w:w="7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3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全新生成并应用 PostgreSQL 建表迁移</w:t>
            </w:r>
          </w:p>
        </w:tc>
        <w:tc>
          <w:tcPr>
            <w:tcW w:type="dxa" w:w="45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✅ 50 个数据模型一次性通过,库内 51 张表</w:t>
            </w:r>
          </w:p>
        </w:tc>
      </w:tr>
      <w:tr>
        <w:tc>
          <w:tcPr>
            <w:tcW w:type="dxa" w:w="7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3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全量种子数据写入</w:t>
            </w:r>
          </w:p>
        </w:tc>
        <w:tc>
          <w:tcPr>
            <w:tcW w:type="dxa" w:w="45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✅ 党组织 52 / 行政机构 53 / 用户 10 / 角色 6 / 权限 29 / 字典 9(70 项)/ 导航 / 示例展厅 / 会场 60 座次</w:t>
            </w:r>
          </w:p>
        </w:tc>
      </w:tr>
      <w:tr>
        <w:tc>
          <w:tcPr>
            <w:tcW w:type="dxa" w:w="7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3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应用启动(生产构建产物)</w:t>
            </w:r>
          </w:p>
        </w:tc>
        <w:tc>
          <w:tcPr>
            <w:tcW w:type="dxa" w:w="45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✅ 1 秒就绪,健康检查报告 database: up</w:t>
            </w:r>
          </w:p>
        </w:tc>
      </w:tr>
      <w:tr>
        <w:tc>
          <w:tcPr>
            <w:tcW w:type="dxa" w:w="7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3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12 项接口冒烟</w:t>
            </w:r>
          </w:p>
        </w:tc>
        <w:tc>
          <w:tcPr>
            <w:tcW w:type="dxa" w:w="45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✅ 12/12 通过:健康检查、登录签发(含审计写入)、用户画像多表关联、站点设置 JSON 列、组织树 53 节点递归、用户列表、字典完整增删改(含级联删除与回读 404)、考核计分引擎试算(4.5/6 精确)</w:t>
            </w:r>
          </w:p>
        </w:tc>
      </w:tr>
      <w:tr>
        <w:tc>
          <w:tcPr>
            <w:tcW w:type="dxa" w:w="7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3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数据库直查复核</w:t>
            </w:r>
          </w:p>
        </w:tc>
        <w:tc>
          <w:tcPr>
            <w:tcW w:type="dxa" w:w="45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✅ 登录与增删改的审计流水真实落在 PG 数据表中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附带发现:</w:t>
      </w:r>
      <w:r>
        <w:rPr>
          <w:rFonts w:ascii="SimSun" w:cs="SimSun" w:eastAsia="SimSun" w:hAnsi="SimSun"/>
          <w:b w:val="false"/>
          <w:bCs w:val="false"/>
          <w:color w:val="000000"/>
          <w:sz w:val="22"/>
          <w:szCs w:val="22"/>
        </w:rPr>
        <w:t xml:space="preserve">PG10 Windows 免安装版缺 VS2013 运行库导致进程无法加载(0xC0000135),补齐运行库后正常——印证"运行库/依赖库环境"必须在真机上实测,已相应写入样机验证条款。</w:t>
      </w:r>
    </w:p>
    <w:p>
      <w:pPr>
        <w:spacing w:after="140" w:before="300"/>
      </w:pPr>
      <w:r>
        <w:rPr>
          <w:rFonts w:ascii="SimHei" w:cs="SimHei" w:eastAsia="SimHei" w:hAnsi="SimHei"/>
          <w:b/>
          <w:bCs/>
          <w:color w:val="000000"/>
          <w:sz w:val="30"/>
          <w:szCs w:val="30"/>
        </w:rPr>
        <w:t xml:space="preserve">四、验证二:双平台离线部署包</w:t>
      </w:r>
    </w:p>
    <w:p>
      <w:pPr>
        <w:spacing w:after="120" w:line="320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信创内网通常无法在线安装依赖,部署包必须在有网环境预先备齐全部平台二进制。实测四类原生组件在海光(linux-x64)与鲲鹏(linux-arm64)两平台全部成功拉取并核实到具体文件: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组件</w:t>
            </w:r>
          </w:p>
        </w:tc>
        <w:tc>
          <w:tcPr>
            <w:tcW w:type="dxa" w:w="3313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x64(海光)</w:t>
            </w:r>
          </w:p>
        </w:tc>
        <w:tc>
          <w:tcPr>
            <w:tcW w:type="dxa" w:w="3313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arm64(鲲鹏)</w:t>
            </w:r>
          </w:p>
        </w:tc>
      </w:tr>
      <w:tr>
        <w:tc>
          <w:tcPr>
            <w:tcW w:type="dxa" w:w="24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sharp 0.34.5(图像处理)</w:t>
            </w:r>
          </w:p>
        </w:tc>
        <w:tc>
          <w:tcPr>
            <w:tcW w:type="dxa" w:w="3313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✅ 二进制 + libvips 共约 17MB</w:t>
            </w:r>
          </w:p>
        </w:tc>
        <w:tc>
          <w:tcPr>
            <w:tcW w:type="dxa" w:w="3313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✅ 共约 17.3MB</w:t>
            </w:r>
          </w:p>
        </w:tc>
      </w:tr>
      <w:tr>
        <w:tc>
          <w:tcPr>
            <w:tcW w:type="dxa" w:w="24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canvas 0.1.80(PDF 解析)</w:t>
            </w:r>
          </w:p>
        </w:tc>
        <w:tc>
          <w:tcPr>
            <w:tcW w:type="dxa" w:w="3313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✅ glibc 变体 29.8MB</w:t>
            </w:r>
          </w:p>
        </w:tc>
        <w:tc>
          <w:tcPr>
            <w:tcW w:type="dxa" w:w="3313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✅ 24.5MB</w:t>
            </w:r>
          </w:p>
        </w:tc>
      </w:tr>
      <w:tr>
        <w:tc>
          <w:tcPr>
            <w:tcW w:type="dxa" w:w="24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Prisma 5.22 查询引擎</w:t>
            </w:r>
          </w:p>
        </w:tc>
        <w:tc>
          <w:tcPr>
            <w:tcW w:type="dxa" w:w="3313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✅ rhel-openssl-1.1.x / 3.0.x(麒麟 V10 用 1.1.x)</w:t>
            </w:r>
          </w:p>
        </w:tc>
        <w:tc>
          <w:tcPr>
            <w:tcW w:type="dxa" w:w="3313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✅ linux-arm64 两个 OpenSSL 变体</w:t>
            </w:r>
          </w:p>
        </w:tc>
      </w:tr>
      <w:tr>
        <w:tc>
          <w:tcPr>
            <w:tcW w:type="dxa" w:w="24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Node.js 22 LTS 本体</w:t>
            </w:r>
          </w:p>
        </w:tc>
        <w:tc>
          <w:tcPr>
            <w:tcW w:type="dxa" w:w="3313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✅ 官方 tar 29.6MB(在线核实)</w:t>
            </w:r>
          </w:p>
        </w:tc>
        <w:tc>
          <w:tcPr>
            <w:tcW w:type="dxa" w:w="3313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✅ 28.8MB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离线包体积:</w:t>
      </w: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x64 约 99MB、arm64 约 91MB(平台相关部分;纯 JS 依赖两平台通用另计)。</w:t>
      </w:r>
    </w:p>
    <w:p>
      <w:pPr>
        <w:spacing w:after="120" w:line="32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实测挖出的两个坑(打包脚本必须处理):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npm 跨平台拉取 sharp 必须同时带 --os、--cpu、--libc=glibc、--force 四个标志;缺 --libc 时会静默漏掉 sharp 的 Linux 平台包(不报错,装出来是空的);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prisma generate 只带出查询引擎,不含 Linux 版迁移引擎(schema-engine)——目标服务器执行数据库初始化时会尝试联网。解法:从 Prisma 官方 CDN 预取(下载地址已逐个在线核实可用),或在打包机上设置 PRISMA_CLI_BINARY_TARGETS 环境变量后安装。</w:t>
      </w:r>
    </w:p>
    <w:p>
      <w:pPr>
        <w:spacing w:after="140" w:before="300"/>
      </w:pPr>
      <w:r>
        <w:rPr>
          <w:rFonts w:ascii="SimHei" w:cs="SimHei" w:eastAsia="SimHei" w:hAnsi="SimHei"/>
          <w:b/>
          <w:bCs/>
          <w:color w:val="000000"/>
          <w:sz w:val="30"/>
          <w:szCs w:val="30"/>
        </w:rPr>
        <w:t xml:space="preserve">五、风险覆盖矩阵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300"/>
        <w:gridCol w:w="4126"/>
      </w:tblGrid>
      <w:tr>
        <w:trPr>
          <w:tblHeader/>
        </w:trPr>
        <w:tc>
          <w:tcPr>
            <w:tcW w:type="dxa" w:w="36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风险</w:t>
            </w:r>
          </w:p>
        </w:tc>
        <w:tc>
          <w:tcPr>
            <w:tcW w:type="dxa" w:w="1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状态</w:t>
            </w:r>
          </w:p>
        </w:tc>
        <w:tc>
          <w:tcPr>
            <w:tcW w:type="dxa" w:w="41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覆盖方式</w:t>
            </w:r>
          </w:p>
        </w:tc>
      </w:tr>
      <w:tr>
        <w:tc>
          <w:tcPr>
            <w:tcW w:type="dxa" w:w="36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PG 协议 / SQL 方言 / 数据访问层运行时与本系统兼容</w:t>
            </w:r>
          </w:p>
        </w:tc>
        <w:tc>
          <w:tcPr>
            <w:tcW w:type="dxa" w:w="1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✅ 已实测</w:t>
            </w:r>
          </w:p>
        </w:tc>
        <w:tc>
          <w:tcPr>
            <w:tcW w:type="dxa" w:w="41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验证一(PG10 = 参数最低档代理)</w:t>
            </w:r>
          </w:p>
        </w:tc>
      </w:tr>
      <w:tr>
        <w:tc>
          <w:tcPr>
            <w:tcW w:type="dxa" w:w="36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SQLite → PG 迁移可行性</w:t>
            </w:r>
          </w:p>
        </w:tc>
        <w:tc>
          <w:tcPr>
            <w:tcW w:type="dxa" w:w="1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✅ 已实测</w:t>
            </w:r>
          </w:p>
        </w:tc>
        <w:tc>
          <w:tcPr>
            <w:tcW w:type="dxa" w:w="41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一行配置改动 + 全新迁移一次通过</w:t>
            </w:r>
          </w:p>
        </w:tc>
      </w:tr>
      <w:tr>
        <w:tc>
          <w:tcPr>
            <w:tcW w:type="dxa" w:w="36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双平台原生二进制存在且可离线预置</w:t>
            </w:r>
          </w:p>
        </w:tc>
        <w:tc>
          <w:tcPr>
            <w:tcW w:type="dxa" w:w="1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✅ 已实测</w:t>
            </w:r>
          </w:p>
        </w:tc>
        <w:tc>
          <w:tcPr>
            <w:tcW w:type="dxa" w:w="41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验证二(两个坑均有已验证的解法)</w:t>
            </w:r>
          </w:p>
        </w:tc>
      </w:tr>
      <w:tr>
        <w:tc>
          <w:tcPr>
            <w:tcW w:type="dxa" w:w="36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真实瀚高 / 金仓产品与标准 PG 的差异(版本探测、兼容模式、系统视图)</w:t>
            </w:r>
          </w:p>
        </w:tc>
        <w:tc>
          <w:tcPr>
            <w:tcW w:type="dxa" w:w="1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⚠ 需真机</w:t>
            </w:r>
          </w:p>
        </w:tc>
        <w:tc>
          <w:tcPr>
            <w:tcW w:type="dxa" w:w="41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① 评标前向厂商索取试用版复跑本验证;② 需求书 5.7 适配验证 = 付款前置;③ 样机验证(定标前置)条款</w:t>
            </w:r>
          </w:p>
        </w:tc>
      </w:tr>
      <w:tr>
        <w:tc>
          <w:tcPr>
            <w:tcW w:type="dxa" w:w="36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麒麟 V10 实机(glibc 2.28)运行 Node 22 与原生组件</w:t>
            </w:r>
          </w:p>
        </w:tc>
        <w:tc>
          <w:tcPr>
            <w:tcW w:type="dxa" w:w="1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⚠ 需真机</w:t>
            </w:r>
          </w:p>
        </w:tc>
        <w:tc>
          <w:tcPr>
            <w:tcW w:type="dxa" w:w="41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官方支持声明覆盖(Node 一级支持平台 / glibc≥2.28)+ 样机验证第 1~3 项实测</w:t>
            </w:r>
          </w:p>
        </w:tc>
      </w:tr>
      <w:tr>
        <w:tc>
          <w:tcPr>
            <w:tcW w:type="dxa" w:w="36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生产性能(并发 / NVMe / 大文件)</w:t>
            </w:r>
          </w:p>
        </w:tc>
        <w:tc>
          <w:tcPr>
            <w:tcW w:type="dxa" w:w="1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⚠ 需真机</w:t>
            </w:r>
          </w:p>
        </w:tc>
        <w:tc>
          <w:tcPr>
            <w:tcW w:type="dxa" w:w="41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到货验收压测条款(100 并发 P95≤500ms 参考值)</w:t>
            </w:r>
          </w:p>
        </w:tc>
      </w:tr>
    </w:tbl>
    <w:p>
      <w:pPr>
        <w:spacing w:after="140" w:before="300"/>
      </w:pPr>
      <w:r>
        <w:rPr>
          <w:rFonts w:ascii="SimHei" w:cs="SimHei" w:eastAsia="SimHei" w:hAnsi="SimHei"/>
          <w:b/>
          <w:bCs/>
          <w:color w:val="000000"/>
          <w:sz w:val="30"/>
          <w:szCs w:val="30"/>
        </w:rPr>
        <w:t xml:space="preserve">六、结论</w:t>
      </w:r>
    </w:p>
    <w:p>
      <w:pPr>
        <w:spacing w:after="120" w:line="32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在本机可实测的范围内,采购参数指向的技术路线 100% 通过验证;</w:t>
      </w: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三项必须在真机上完成的残余验证,已全部前置到"定标前样机验证"环节(不通过不定标、不产生采购方费用),并以"适配验证 = 付款前置"作最后兜底。采购可按需求书推进。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808080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页,共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b w:val="false"/>
        <w:bCs w:val="false"/>
        <w:color w:val="808080"/>
        <w:sz w:val="18"/>
        <w:szCs w:val="18"/>
      </w:rPr>
      <w:t xml:space="preserve">采购前运行验证报告(信创兼容性实测)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2026-07-03T01:42:34.511Z</dcterms:created>
  <dcterms:modified xsi:type="dcterms:W3CDTF">2026-07-03T01:42:34.512Z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