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省赛没有具体功能评分，是根据你技术报告功能完成度和详细程度来定义的，具体功能参考国赛赛题。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人偶类别具体区分如图，分为职业人员和普通人员，最终屏幕输出图像，在图像中标记出不同人群的数量；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86375" cy="2943225"/>
            <wp:effectExtent l="0" t="0" r="0" b="0"/>
            <wp:docPr id="1" name="图片 1" descr="人偶类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人偶类别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人偶分类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在红绿灯前判断红绿灯颜色，在对应图片中显示当前图片中红绿灯状态即可，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66875" cy="1343025"/>
            <wp:effectExtent l="0" t="0" r="0" b="0"/>
            <wp:docPr id="2" name="图片 2" descr="hl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hld5"/>
                    <pic:cNvPicPr>
                      <a:picLocks noChangeAspect="1"/>
                    </pic:cNvPicPr>
                  </pic:nvPicPr>
                  <pic:blipFill>
                    <a:blip r:embed="rId5"/>
                    <a:srcRect l="17969" t="22915" r="24341" b="1511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81175" cy="1335405"/>
            <wp:effectExtent l="0" t="0" r="0" b="7620"/>
            <wp:docPr id="3" name="图片 3" descr="hl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ld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86890" cy="1339850"/>
            <wp:effectExtent l="0" t="0" r="3810" b="3175"/>
            <wp:docPr id="4" name="图片 4" descr="hld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hld47"/>
                    <pic:cNvPicPr>
                      <a:picLocks noChangeAspect="1"/>
                    </pic:cNvPicPr>
                  </pic:nvPicPr>
                  <pic:blipFill>
                    <a:blip r:embed="rId7"/>
                    <a:srcRect l="20132" t="13612" r="14380" b="21281"/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在垃圾桶前识别垃圾桶类别并判断投放情况。</w:t>
      </w:r>
      <w:r>
        <w:rPr>
          <w:rFonts w:hint="eastAsia"/>
          <w:lang w:val="en-US" w:eastAsia="zh-CN"/>
        </w:rPr>
        <w:t>垃圾桶类别有四个，分别是有害垃圾，可回收物，其他垃圾，厨余垃圾。其中投放情况为垃圾桶盖闭合的是已投放垃圾，垃圾桶盖未闭合的为未投放垃圾。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21765" cy="1895475"/>
            <wp:effectExtent l="0" t="0" r="6985" b="0"/>
            <wp:docPr id="5" name="图片 5" descr="lj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jt6"/>
                    <pic:cNvPicPr>
                      <a:picLocks noChangeAspect="1"/>
                    </pic:cNvPicPr>
                  </pic:nvPicPr>
                  <pic:blipFill>
                    <a:blip r:embed="rId8"/>
                    <a:srcRect l="19878" t="17572" r="20183" b="13966"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416050" cy="1887855"/>
            <wp:effectExtent l="0" t="0" r="3175" b="7620"/>
            <wp:docPr id="6" name="图片 6" descr="lj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jt10"/>
                    <pic:cNvPicPr>
                      <a:picLocks noChangeAspect="1"/>
                    </pic:cNvPicPr>
                  </pic:nvPicPr>
                  <pic:blipFill>
                    <a:blip r:embed="rId9"/>
                    <a:srcRect l="15951" t="23058" r="25139" b="18175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巡线可以使用提供的数据集内视频经行巡线处理，也可以在实车上运行，不做限制，但必须满足的是车道两侧巡线而不是车道中心线巡线，最好输出对应的转向角度值。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FangSong-Z02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00000000"/>
    <w:rsid w:val="162C1CA9"/>
    <w:rsid w:val="1F040613"/>
    <w:rsid w:val="200C3EFB"/>
    <w:rsid w:val="202F16C0"/>
    <w:rsid w:val="2F794A42"/>
    <w:rsid w:val="321419E9"/>
    <w:rsid w:val="4439400C"/>
    <w:rsid w:val="58735EE1"/>
    <w:rsid w:val="7093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2025-05-14T02:51:22Z</dcterms:created>
  <dc:creator>29651</dc:creator>
  <cp:lastModifiedBy>天霞</cp:lastModifiedBy>
  <dcterms:modified xsi:type="dcterms:W3CDTF">2025-05-14T09:09:35Z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BB63D067D5F34736B3C95A07B816D2A2_12</vt:lpwstr>
  </property>
</Properties>
</file>