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AUBO i5机械臂</w:t>
        <w:br/>
        <w:t>智能分拣与视觉伺服系统</w:t>
      </w:r>
    </w:p>
    <w:p>
      <w:pPr>
        <w:pStyle w:val="Subtitle"/>
      </w:pPr>
      <w:r>
        <w:t>招聘展示技术文档   2025.04 – 2026.08</w:t>
      </w:r>
    </w:p>
    <w:p>
      <w:r>
        <w:t>我们面向目标位置和摆放方向不确定的分拣场景，构建从旋转目标检测、RGB-D几何定位到机械臂规划执行的系统，并开发基于位姿误差的视觉伺服模块。系统以眼在手外的RealSense D435i为主要展示方案，通过“长距离运动规划＋近距离视觉伺服”的设计改善单次视觉定位后缺少在线修正的问题。</w:t>
      </w:r>
    </w:p>
    <w:p>
      <w:r>
        <w:t>本文重点展示感知与抓取几何、MoveIt执行链、SDK硬件接口、视觉闭环算法以及线程协作机制，便于招聘交流时结合代码和演示说明工程实现。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268"/>
        <w:gridCol w:w="4876"/>
      </w:tblGrid>
      <w:tr>
        <w:trPr>
          <w:cantSplit/>
          <w:tblHeader/>
        </w:trPr>
        <w:tc>
          <w:tcPr>
            <w:tcW w:type="dxa" w:w="272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项目指标</w:t>
            </w:r>
          </w:p>
        </w:tc>
        <w:tc>
          <w:tcPr>
            <w:tcW w:type="dxa" w:w="226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4876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指标含义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旋转目标检测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mAP@0.5  77.2%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检测精度，不等同于抓取成功率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目标位置与姿态估计误差</w:t>
            </w:r>
          </w:p>
        </w:tc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5.8 mm / 3.3°</w:t>
            </w:r>
          </w:p>
        </w:tc>
        <w:tc>
          <w:tcPr>
            <w:tcW w:type="dxa" w:w="48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定位与方向估计指标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平均预测耗时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5.4 ms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模型预测阶段耗时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单次运动规划耗时</w:t>
            </w:r>
          </w:p>
        </w:tc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&lt; 100 ms</w:t>
            </w:r>
          </w:p>
        </w:tc>
        <w:tc>
          <w:tcPr>
            <w:tcW w:type="dxa" w:w="48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实验场景下的规划结果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综合抓取成功率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92.6%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完整抓取任务的结果指标</w:t>
            </w:r>
          </w:p>
        </w:tc>
      </w:tr>
    </w:tbl>
    <w:p>
      <w:pPr>
        <w:spacing w:after="0"/>
      </w:pPr>
    </w:p>
    <w:p>
      <w:r>
        <w:t>指标为项目实验记录值；模型耗时、整条感知链延迟、控制周期和任务成功率采用不同统计口径，应分别展示。详细测试口径见第八节。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92000" cy="2449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449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原项目文档中的旋转目标检测画面  展示瓶体 罐体与盒体的类别和方向</w:t>
      </w:r>
    </w:p>
    <w:p>
      <w:r>
        <w:t>技术栈  ROS 1 · C++ / Python · YOLO-OBB · RGB-D · TF · MoveIt / OMPL · ros_control · AUBO SDK · KDL / Eigen</w:t>
      </w:r>
    </w:p>
    <w:p>
      <w:r>
        <w:br w:type="page"/>
      </w:r>
    </w:p>
    <w:p>
      <w:pPr>
        <w:pStyle w:val="Heading1"/>
      </w:pPr>
      <w:r>
        <w:t>一 系统架构与模块职责</w:t>
      </w:r>
    </w:p>
    <w:p>
      <w:r>
        <w:t>系统按感知、任务规划和机械臂执行分层。检测器负责回答“是什么、在哪里、朝向如何”；几何层将像素结果变成机器人可用的抓取参数；任务层组织抓取顺序；执行层负责轨迹或伺服位置指令与控制柜的通信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270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7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系统运行架构  频率为当前配置或源码名义值  两种真机输出链路互斥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5102"/>
      </w:tblGrid>
      <w:tr>
        <w:trPr>
          <w:cantSplit/>
          <w:tblHeader/>
        </w:trPr>
        <w:tc>
          <w:tcPr>
            <w:tcW w:type="dxa" w:w="170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06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仓库位置</w:t>
            </w:r>
          </w:p>
        </w:tc>
        <w:tc>
          <w:tcPr>
            <w:tcW w:type="dxa" w:w="5102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核心职责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感知与几何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aubo/aubo_perception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模型接入、深度配对、坐标变换、抓取角度与宽度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分拣任务</w:t>
            </w:r>
          </w:p>
        </w:tc>
        <w:tc>
          <w:tcPr>
            <w:tcW w:type="dxa" w:w="306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aubo/aubo_sorting_core</w:t>
            </w:r>
          </w:p>
        </w:tc>
        <w:tc>
          <w:tcPr>
            <w:tcW w:type="dxa" w:w="51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目标稳定、抓放状态机、失败返回与动作执行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规划与模型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aubo/aubo_moveit_config</w:t>
              <w:br/>
              <w:t>aubo/aubo_description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URDF、关节与碰撞约束、OMPL配置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控制与驱动</w:t>
            </w:r>
          </w:p>
        </w:tc>
        <w:tc>
          <w:tcPr>
            <w:tcW w:type="dxa" w:w="306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aubo/aubo_ros_control</w:t>
            </w:r>
          </w:p>
        </w:tc>
        <w:tc>
          <w:tcPr>
            <w:tcW w:type="dxa" w:w="51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RobotHW、视觉伺服、队列、SDK通信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场景配置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aubo/aubo_sorting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固定机械臂工位、启动文件与抓取参数</w:t>
            </w:r>
          </w:p>
        </w:tc>
      </w:tr>
    </w:tbl>
    <w:p>
      <w:pPr>
        <w:spacing w:after="0"/>
      </w:pPr>
    </w:p>
    <w:p>
      <w:pPr>
        <w:pStyle w:val="Heading2"/>
      </w:pPr>
      <w:r>
        <w:t>实现边界</w:t>
      </w:r>
    </w:p>
    <w:p>
      <w:r>
        <w:t>分拣节点和视觉伺服节点均已有独立实现。现有抓放状态机直接调用MoveIt与夹爪动作，混合流程中的自动控制权交接需由任务编排显式接入。视觉伺服真机后端直接调用SDK，并不经过RobotHW的轨迹队列。</w:t>
      </w:r>
    </w:p>
    <w:p>
      <w:r>
        <w:br w:type="page"/>
      </w:r>
    </w:p>
    <w:p>
      <w:pPr>
        <w:pStyle w:val="Heading1"/>
      </w:pPr>
      <w:r>
        <w:t>二 从旋转检测到机械臂抓取位姿</w:t>
      </w:r>
    </w:p>
    <w:p>
      <w:r>
        <w:t>YOLO适配节点加载外部模型工程中的GC-yolo.pt，解析OBB中心、宽高、方向角、类别与置信度，发布统一检测消息。模型结构改进属于独立训练工程；ROS侧的重点是把检测输出可靠地接入实时几何与抓取流程。[S1]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51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p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抓取几何流程  图像方向必须经过相机投影与坐标变换</w:t>
      </w:r>
    </w:p>
    <w:p>
      <w:pPr>
        <w:pStyle w:val="Heading2"/>
      </w:pPr>
      <w:r>
        <w:t>深度与时间对齐</w:t>
      </w:r>
    </w:p>
    <w:p>
      <w:r>
        <w:t>检测消息保留RGB采集时间戳，几何节点按该时间从深度缓存中匹配图像。默认缓存90帧、允许时间差0.08 s；旋转框中心区域筛除无效及越界深度后取中值，有效样本少于5个则拒绝该目标。这样可减小孔洞、背景和推理延迟引入的定位偏差。[S2]</w:t>
      </w:r>
    </w:p>
    <w:p>
      <w:pPr>
        <w:pStyle w:val="Heading2"/>
      </w:pPr>
      <w:r>
        <w:t>反投影与手眼变换</w:t>
      </w:r>
    </w:p>
    <w:p>
      <w:r>
        <w:t>对中心像素(u, v)与深度Z，计算X = (u − cx)Z / fx、Y = (v − cy)Z / fy，再由p_base = R_base_camera p_camera + t_base_camera转换至机械臂基座系。内参来自CameraInfo；眼在手外的外参由标定结果发布，安装位置变化后必须重新标定。</w:t>
      </w:r>
    </w:p>
    <w:p>
      <w:pPr>
        <w:pStyle w:val="Heading2"/>
      </w:pPr>
      <w:r>
        <w:t>位置和方向的工程处理</w:t>
      </w:r>
    </w:p>
    <w:p>
      <w:r>
        <w:t>深度读数对应物体可见顶面。代码先校验顶面与桌高加物高是否一致，再减去半个物高得到物体中心，最后叠加TCP抓取偏移。另有table模式，用相机射线与已知水平面求交；该模式依赖桌高和物高先验，不能与深度定位混为一谈。</w:t>
      </w:r>
    </w:p>
    <w:p>
      <w:r>
        <w:t>方向计算将旋转框两条中线投影到基座水平面，选取米制短边作为夹爪闭合方向，再叠加夹爪轴标定偏置。该方法表达桌面抓取位置和偏航角，并非任意物体完整6D姿态重建。抓取宽度控制还需要夹爪开口标定，默认不启用。</w:t>
      </w:r>
    </w:p>
    <w:p>
      <w:r>
        <w:br w:type="page"/>
      </w:r>
    </w:p>
    <w:p>
      <w:pPr>
        <w:pStyle w:val="Heading1"/>
      </w:pPr>
      <w:r>
        <w:t>三 MoveIt规划与SDK执行链</w:t>
      </w:r>
    </w:p>
    <w:p>
      <w:pPr>
        <w:pStyle w:val="Heading2"/>
      </w:pPr>
      <w:r>
        <w:t>抓放任务如何组织</w:t>
      </w:r>
    </w:p>
    <w:p>
      <w:r>
        <w:t>任务先完成初始化与观察位运动，再积累目标检测样本并检查稳定性。当前目标缓存按类别组织，每类维护一个候选；它适合当前分拣工位，不应描述为同类多目标身份跟踪。通过检查的目标进入预抓取、接近、闭合、抬升、搬运、放置和退离流程。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891"/>
        <w:gridCol w:w="4876"/>
      </w:tblGrid>
      <w:tr>
        <w:trPr>
          <w:cantSplit/>
          <w:tblHeader/>
        </w:trPr>
        <w:tc>
          <w:tcPr>
            <w:tcW w:type="dxa" w:w="209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9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执行方式</w:t>
            </w:r>
          </w:p>
        </w:tc>
        <w:tc>
          <w:tcPr>
            <w:tcW w:type="dxa" w:w="4876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关键检查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预抓取与搬运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MoveIt位姿规划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关节限制、场景碰撞、规划与执行返回值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接近与放置</w:t>
            </w:r>
          </w:p>
        </w:tc>
        <w:tc>
          <w:tcPr>
            <w:tcW w:type="dxa" w:w="289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笛卡尔路径及时间参数化</w:t>
            </w:r>
          </w:p>
        </w:tc>
        <w:tc>
          <w:tcPr>
            <w:tcW w:type="dxa" w:w="48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路径完成比例；必要时按代码分支重试或回退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抬升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抬升路径与恢复逻辑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不把未完成的部分抬升当成达到安全高度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夹取与释放</w:t>
            </w:r>
          </w:p>
        </w:tc>
        <w:tc>
          <w:tcPr>
            <w:tcW w:type="dxa" w:w="289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夹爪FollowJointTrajectory</w:t>
            </w:r>
          </w:p>
        </w:tc>
        <w:tc>
          <w:tcPr>
            <w:tcW w:type="dxa" w:w="48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动作超时、位置容差与抓取几何合法性</w:t>
            </w:r>
          </w:p>
        </w:tc>
      </w:tr>
    </w:tbl>
    <w:p>
      <w:pPr>
        <w:spacing w:after="0"/>
      </w:pPr>
    </w:p>
    <w:p>
      <w:pPr>
        <w:pStyle w:val="Heading2"/>
      </w:pPr>
      <w:r>
        <w:t>运动规划设置</w:t>
      </w:r>
    </w:p>
    <w:p>
      <w:r>
        <w:t>URDF与SRDF提供机器人运动链、碰撞模型和规划组；关节范围、速度与加速度缩放约束运动。OMPL配置中默认规划器为RRTConnect；长距离运动由其求解，局部直线动作通过computeCartesianPath实现。规划场景中的桌面和障碍物参与碰撞检查，点云与OctoMap能力可按场景接入。[S4]</w:t>
      </w:r>
    </w:p>
    <w:p>
      <w:r>
        <w:t>配置中的planning_time为12 s，表示允许的规划时间预算。“单次规划&lt;100 ms”是实验结果，两者并不冲突，也不能用12 s配置或单次快速成功来证明所有工况都小于100 ms。</w:t>
      </w:r>
    </w:p>
    <w:p>
      <w:pPr>
        <w:pStyle w:val="Heading2"/>
      </w:pPr>
      <w:r>
        <w:t>ros_control硬件接口</w:t>
      </w:r>
    </w:p>
    <w:p>
      <w:r>
        <w:t>我们基于AUBO SDK封装AuboHardwareInterface，继承RobotHW并注册关节状态接口与位置命令接口。MoveIt将带时间参数的轨迹交给FollowJointTrajectory动作接口，JointTrajectoryController在controller_manager更新中生成各关节位置命令。[S5]</w:t>
      </w:r>
    </w:p>
    <w:p>
      <w:r>
        <w:t>主线程以默认250 Hz执行read → update → write。SDK状态定时器以50 Hz更新反馈缓存，read读取该缓存；write进行指令合法性与步长检查，并将需要执行的位置点推入单生产者单消费者队列。独立供点线程查询控制柜缓冲余量，批量取点、执行约束检查后下发。</w:t>
      </w:r>
    </w:p>
    <w:p>
      <w:pPr>
        <w:pStyle w:val="Heading2"/>
      </w:pPr>
      <w:r>
        <w:t>线程解耦的作用</w:t>
      </w:r>
    </w:p>
    <w:p>
      <w:r>
        <w:t>轨迹计算、关节状态读取和控制柜供点分开调度，降低网络查询阻塞控制器更新的影响。批量写入减少通信调用次数，但供点轮询频率不等于控制柜执行采样率。该路径的限幅常量CTRL_PERIOD_S为5 ms，与250 Hz主循环的4 ms周期不同，修改频率前应同时核对点间隔与控制柜实际消费节拍。</w:t>
      </w:r>
    </w:p>
    <w:p>
      <w:r>
        <w:br w:type="page"/>
      </w:r>
    </w:p>
    <w:p>
      <w:pPr>
        <w:pStyle w:val="Heading1"/>
      </w:pPr>
      <w:r>
        <w:t>四 视觉伺服算法与前向位置队列</w:t>
      </w:r>
    </w:p>
    <w:p>
      <w:r>
        <w:t>视觉伺服采用基于三维位姿误差的PBVS。眼在手外时，期望TCP位置等于目标基座坐标加抓取偏移；当前TCP位置和雅可比由关节反馈及KDL运动学链计算。控制器输出关节速度，再积分为SDK接受的关节位置点。[S6]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2810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1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伺服计算与SDK执行  控制回调100 Hz  名义位置点间隔5 ms</w:t>
      </w:r>
    </w:p>
    <w:p>
      <w:pPr>
        <w:pStyle w:val="Heading2"/>
      </w:pPr>
      <w:r>
        <w:t>控制律</w:t>
      </w:r>
    </w:p>
    <w:p>
      <w:r>
        <w:t>位置误差 e_p = p_target + p_offset − p_TCP。逐轴应用连续软死区后，v = K_p e_p；姿态误差取旋转矩阵对数，ω = K_R Log(R_desired R_TCPᵀ)。笛卡尔速度先限幅，再通过阻尼最小二乘得到 q̇ = Jᵀ(JJᵀ + λ²I)⁻¹[v; ω]。阻尼项减轻近奇异位形下逆解的数值放大。</w:t>
      </w:r>
    </w:p>
    <w:p>
      <w:r>
        <w:t>关节速度经过速度与加速度限幅，以 q_next = q_cmd + q̇ Δt积分并限制在关节位置边界内。100 Hz控制回调按实际间隔生成子步，默认每10 ms约生成两个5 ms位置点；少量反馈融合抑制积分位置与实际关节位置长期偏离。这里是运动学约束与位置积分，不是完整动力学或力矩控制。</w:t>
      </w:r>
    </w:p>
    <w:p>
      <w:pPr>
        <w:pStyle w:val="Heading2"/>
      </w:pPr>
      <w:r>
        <w:t>队列与姿态含义</w:t>
      </w:r>
    </w:p>
    <w:p>
      <w:r>
        <w:t>伺服队列容量为80点，满时淘汰最旧待执行点；状态切换时清除失效命令，输出端再次限速和限加速度。眼在手外当前姿态控制跟踪配置的固定抓取姿态，YOLO伺服目标的位置接口没有直接承载OBB抓取yaw；分拣链路中的角度估计与伺服姿态控制应分别说明。</w:t>
      </w:r>
    </w:p>
    <w:p>
      <w:r>
        <w:br w:type="page"/>
      </w:r>
    </w:p>
    <w:p>
      <w:pPr>
        <w:pStyle w:val="Heading1"/>
      </w:pPr>
      <w:r>
        <w:t>五 线程 回调与执行频率</w:t>
      </w:r>
    </w:p>
    <w:p>
      <w:r>
        <w:t>下表列出源码和默认配置中的运行节拍，不代表实机测得的稳定频率。ROS定时器由回调线程池执行；每个定时器并不对应一个独立线程。SDK供点循环包含通信时间和休眠，因此“4 ms休眠”只能表示约250 Hz的轮询上限。[S5–S8]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41"/>
        <w:gridCol w:w="2324"/>
        <w:gridCol w:w="3402"/>
      </w:tblGrid>
      <w:tr>
        <w:trPr>
          <w:cantSplit/>
          <w:tblHeader/>
        </w:trPr>
        <w:tc>
          <w:tcPr>
            <w:tcW w:type="dxa" w:w="209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执行单元</w:t>
            </w:r>
          </w:p>
        </w:tc>
        <w:tc>
          <w:tcPr>
            <w:tcW w:type="dxa" w:w="204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调度方式</w:t>
            </w:r>
          </w:p>
        </w:tc>
        <w:tc>
          <w:tcPr>
            <w:tcW w:type="dxa" w:w="2324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默认频率或周期</w:t>
            </w:r>
          </w:p>
        </w:tc>
        <w:tc>
          <w:tcPr>
            <w:tcW w:type="dxa" w:w="3402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RealSense RGB与深度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驱动采集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30 Hz / 33.3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真机启动沿用相机驱动默认值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固定相机仿真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Gazebo传感器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 Hz / 50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workspace_camera的update_rate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YOLO推理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图像回调＋限频锁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最高10 Hz / ≥100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单调时钟限频；忙时跳过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RGB-D几何计算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检测消息回调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随有效检测到达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不是独立固定频率循环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目标稳定等待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任务线程内部轮询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 Hz / 100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waitForObject等等待逻辑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任务初始化与抓放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独立工作线程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按任务触发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规划和动作等待，不固定Hz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任务ROS回调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AsyncSpinner(4)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4个工作线程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线程数不代表4 Hz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RobotHW主控制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主线程循环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250 Hz / 4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read → update → write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RobotHW状态读取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ROS定时回调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50 Hz / 20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仅状态模式降低为1 Hz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RobotHW SDK供点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独立线程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每轮末休眠4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缓冲不足时批量补点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硬件节点ROS回调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AsyncSpinner(2)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2个工作线程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状态定时器和服务回调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视觉伺服控制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ROS定时回调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100 Hz / 10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误差、逆解与子步积分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视觉伺服状态读取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SDK模式定时回调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50 Hz / 20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读取并发布关节反馈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Gazebo伺服输出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ROS定时回调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 Hz / 5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消费队列并发布关节位置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SDK伺服输出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独立线程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每轮末休眠4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位置点按200 Hz模型限幅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伺服ROS回调及监测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AsyncSpinner(3)＋主线程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3个回调线程；监测10 Hz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监测不是控制计算循环</w:t>
            </w:r>
          </w:p>
        </w:tc>
      </w:tr>
    </w:tbl>
    <w:p>
      <w:pPr>
        <w:spacing w:after="0"/>
      </w:pPr>
    </w:p>
    <w:p>
      <w:pPr>
        <w:pStyle w:val="Heading2"/>
      </w:pPr>
      <w:r>
        <w:t>控制器附属发布频率</w:t>
      </w:r>
    </w:p>
    <w:p>
      <w:r>
        <w:t>controllers.yaml中JointStateController发布频率为50 Hz；轨迹控制器状态发布为25 Hz、Action监测为20 Hz。它们分别用于状态输出和动作状态监测，不改变RobotHW主循环的默认250 Hz。</w:t>
      </w:r>
    </w:p>
    <w:p>
      <w:pPr>
        <w:pStyle w:val="Heading2"/>
      </w:pPr>
      <w:r>
        <w:t>视觉频率与控制频率如何配合</w:t>
      </w:r>
    </w:p>
    <w:p>
      <w:r>
        <w:t>默认10 Hz视觉观测之间，100 Hz控制器可能使用同一帧新鲜目标多次计算。5.4 ms平均模型预测耗时不等于185 Hz整机视觉闭环；实际链路还包含采集、排队、深度配对、TF、控制回调和SDK缓冲延迟。</w:t>
      </w:r>
    </w:p>
    <w:p>
      <w:r>
        <w:br w:type="page"/>
      </w:r>
    </w:p>
    <w:p>
      <w:pPr>
        <w:pStyle w:val="Heading1"/>
      </w:pPr>
      <w:r>
        <w:t>六 混合控制流程与状态切换</w:t>
      </w:r>
    </w:p>
    <w:p>
      <w:r>
        <w:t>混合控制的目标是用MoveIt完成较大范围的避障运动，在预抓取区域用视觉闭环修正剩余位置误差，随后完成接近、夹取与搬运。下图表达系统级编排设计；控制权交接属于需要显式实现和验证的接入环节。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长距离规划与近距离伺服的混合流程设计</w:t>
      </w:r>
    </w:p>
    <w:p>
      <w:pPr>
        <w:pStyle w:val="Heading2"/>
      </w:pPr>
      <w:r>
        <w:t>交接条件</w:t>
      </w:r>
    </w:p>
    <w:p>
      <w:r>
        <w:t>进入伺服前，应确认上一条轨迹结束，原输出链路停止并退出独占控制模式，再以实时关节反馈初始化伺服积分器和队列。伺服达到稳定对齐后，应停止伺服、完成后端退出和控制权交还，再发起后续抓放动作。仅停止ROS轨迹控制器并不能证明SDK控制权已释放。</w:t>
      </w:r>
    </w:p>
    <w:p>
      <w:pPr>
        <w:pStyle w:val="Heading2"/>
      </w:pPr>
      <w:r>
        <w:t>对齐与目标丢失</w:t>
      </w:r>
    </w:p>
    <w:p>
      <w:r>
        <w:t>当前默认位置死区为4 mm、姿态死区为0.02 rad，持续满足对齐条件0.35 s后进入ALIGNED并保持反馈位置；误差超过释放阈值后恢复跟踪。目标超时阈值为0.20 s，眼在手外默认采用stop策略。上述阈值是控制参数，不能视为实测终端抓取精度。</w:t>
      </w:r>
    </w:p>
    <w:p>
      <w:r>
        <w:t>固定相机默认target_offset为[0, −0.08, 0.10] m，包含避遮挡横向偏移和10 cm预抓取高度。因此ALIGNED表示到达设置的对准位，并不表示夹爪已经接触物体；最终接近动作应单独组织。</w:t>
      </w:r>
    </w:p>
    <w:p>
      <w:r>
        <w:br w:type="page"/>
      </w:r>
    </w:p>
    <w:p>
      <w:pPr>
        <w:pStyle w:val="Heading1"/>
      </w:pPr>
      <w:r>
        <w:t>七 工程难点与实现取舍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458"/>
        <w:gridCol w:w="4252"/>
      </w:tblGrid>
      <w:tr>
        <w:trPr>
          <w:cantSplit/>
          <w:tblHeader/>
        </w:trPr>
        <w:tc>
          <w:tcPr>
            <w:tcW w:type="dxa" w:w="2154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45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处理方式</w:t>
            </w:r>
          </w:p>
        </w:tc>
        <w:tc>
          <w:tcPr>
            <w:tcW w:type="dxa" w:w="4252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需要解释的边界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深度噪声与推理滞后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保留采集时间；有界深度缓存；ROI中值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拒绝无效结果，避免用旧位姿伪装新观测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图像角度与夹爪方向不同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旋转框中线投影到工作平面</w:t>
            </w:r>
          </w:p>
        </w:tc>
        <w:tc>
          <w:tcPr>
            <w:tcW w:type="dxa" w:w="42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依赖水平面和物体几何先验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指令生产与SDK通信不同步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生产消费解耦；按控制柜余量批量供点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队列容量和轮询Hz不是闭环带宽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近目标抖动与逆解放大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连续软死区；DLS；关节限速限加速度</w:t>
            </w:r>
          </w:p>
        </w:tc>
        <w:tc>
          <w:tcPr>
            <w:tcW w:type="dxa" w:w="42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不能替代规划场景中的在线避碰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目标丢失与重新捕获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超时状态机；保持；按模式选择恢复策略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眼在手外默认不执行搜索运动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规划与伺服争用控制柜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互斥后端与明确的进入退出顺序</w:t>
            </w:r>
          </w:p>
        </w:tc>
        <w:tc>
          <w:tcPr>
            <w:tcW w:type="dxa" w:w="42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混合编排应验证中止和交接失败路径</w:t>
            </w:r>
          </w:p>
        </w:tc>
      </w:tr>
    </w:tbl>
    <w:p>
      <w:pPr>
        <w:spacing w:after="0"/>
      </w:pPr>
    </w:p>
    <w:p>
      <w:pPr>
        <w:pStyle w:val="Heading2"/>
      </w:pPr>
      <w:r>
        <w:t>可展示的工程贡献</w:t>
      </w:r>
    </w:p>
    <w:p>
      <w:r>
        <w:t>感知侧：围绕旋转目标检测构建统一ROS消息，连接RGB-D时间配对、相机标定和抓取几何，把像素中心与方向转换成基座系抓取参数。对深度异常、无效方向和未标定宽度设置明确的拒绝条件。</w:t>
      </w:r>
    </w:p>
    <w:p>
      <w:r>
        <w:t>驱动侧：把厂商SDK封装为ros_control标准硬件接口，贯通MoveIt、关节轨迹控制器和真实控制柜；通过独立状态读取与供点线程，降低计算与网络通信之间的相互阻塞。</w:t>
      </w:r>
    </w:p>
    <w:p>
      <w:r>
        <w:t>控制侧：实现统一PBVS控制核心，使用雅可比阻尼伪逆、连续软死区、关节约束和有界位置队列；通过Gazebo与SDK两个输出后端复用算法，并加入目标超时与对齐保持状态。</w:t>
      </w:r>
    </w:p>
    <w:p>
      <w:pPr>
        <w:pStyle w:val="Heading2"/>
      </w:pPr>
      <w:r>
        <w:t>展示时应保留的限制</w:t>
      </w:r>
    </w:p>
    <w:p>
      <w:r>
        <w:t>ROS定时器运行在普通调度环境中，100 Hz或250 Hz属于目标节拍，不是硬实时保证。局部伺服没有直接复用MoveIt规划场景的碰撞检查，伺服工作区域及接近距离需先完成验证。</w:t>
      </w:r>
    </w:p>
    <w:p>
      <w:r>
        <w:t>Gazebo中使用的抓取附着插件是物理仿真辅助，不是实体夹爪的抓取检测。仿真成功率与实机成功率必须分别统计。仓库中的眼在手上、眼在手外以及table、depth模式也应按实际演示条件选择，避免展示图和启动参数不一致。</w:t>
      </w:r>
    </w:p>
    <w:p>
      <w:r>
        <w:br w:type="page"/>
      </w:r>
    </w:p>
    <w:p>
      <w:pPr>
        <w:pStyle w:val="Heading1"/>
      </w:pPr>
      <w:r>
        <w:t>八 实验口径与招聘展示讲述</w:t>
      </w:r>
    </w:p>
    <w:p>
      <w:pPr>
        <w:pStyle w:val="Heading2"/>
      </w:pPr>
      <w:r>
        <w:t>指标如何形成可复核的结果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814"/>
        <w:gridCol w:w="6066"/>
      </w:tblGrid>
      <w:tr>
        <w:trPr>
          <w:cantSplit/>
          <w:tblHeader/>
        </w:trPr>
        <w:tc>
          <w:tcPr>
            <w:tcW w:type="dxa" w:w="1984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814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展示数值</w:t>
            </w:r>
          </w:p>
        </w:tc>
        <w:tc>
          <w:tcPr>
            <w:tcW w:type="dxa" w:w="6066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随实验记录保存的内容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mAP@0.5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77.2%</w:t>
            </w:r>
          </w:p>
        </w:tc>
        <w:tc>
          <w:tcPr>
            <w:tcW w:type="dxa" w:w="60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数据集划分、类别、标注方式、模型版本与逐类AP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位置与姿态误差</w:t>
            </w:r>
          </w:p>
        </w:tc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5.8 mm / 3.3°</w:t>
            </w:r>
          </w:p>
        </w:tc>
        <w:tc>
          <w:tcPr>
            <w:tcW w:type="dxa" w:w="606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参考真值、样本量、误差定义、均值或RMSE；姿态角含义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模型预测耗时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平均5.4 ms</w:t>
            </w:r>
          </w:p>
        </w:tc>
        <w:tc>
          <w:tcPr>
            <w:tcW w:type="dxa" w:w="60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CPU/GPU、输入尺寸、预热、样本数、是否含前后处理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单次运动规划</w:t>
            </w:r>
          </w:p>
        </w:tc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&lt;100 ms</w:t>
            </w:r>
          </w:p>
        </w:tc>
        <w:tc>
          <w:tcPr>
            <w:tcW w:type="dxa" w:w="606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规划场景、起终点、规划器、失败次数及耗时分布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综合抓取成功率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92.6%</w:t>
            </w:r>
          </w:p>
        </w:tc>
        <w:tc>
          <w:tcPr>
            <w:tcW w:type="dxa" w:w="60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成功次数/总次数、物体组成、成功判据及实机/仿真条件</w:t>
            </w:r>
          </w:p>
        </w:tc>
      </w:tr>
    </w:tbl>
    <w:p>
      <w:pPr>
        <w:spacing w:after="0"/>
      </w:pPr>
    </w:p>
    <w:p>
      <w:r>
        <w:t>这些结果描述项目测试表现。招聘展示中应同时提供对应实验配置与原始记录，不将模型推理时间扩展为端到端延迟，也不将伺服死区或速度上限表述为实测精度。</w:t>
      </w:r>
    </w:p>
    <w:p>
      <w:pPr>
        <w:pStyle w:val="Heading2"/>
      </w:pPr>
      <w:r>
        <w:t>建议的演示顺序</w:t>
      </w:r>
    </w:p>
    <w:p>
      <w:r>
        <w:t>先用真实检测画面解释OBB为何适合任意平面摆放方向，再在RViz展示基座系抓取位姿、碰撞场景和规划轨迹。随后展示独立视觉伺服对目标位置变化的在线跟踪与目标丢失保持。混合流程的自动切换，应与已验证的控制权交接记录一并展示。</w:t>
      </w:r>
    </w:p>
    <w:p>
      <w:pPr>
        <w:pStyle w:val="Heading2"/>
      </w:pPr>
      <w:r>
        <w:t>招聘交流用项目介绍</w:t>
      </w:r>
    </w:p>
    <w:p>
      <w:r>
        <w:t>我们开发了AUBO i5智能分拣与视觉伺服系统，面向目标位置和摆放角度不确定的桌面分拣任务。系统将YOLO-OBB旋转检测与RealSense RGB-D数据结合，通过标定和坐标变换生成抓取位置与夹爪方向；使用MoveIt组织抓取、搬运和放置，并基于厂商SDK完成ros_control硬件接口和轨迹执行链路。</w:t>
      </w:r>
    </w:p>
    <w:p>
      <w:r>
        <w:t>在视觉闭环部分，我们根据目标与TCP的位姿误差，通过雅可比阻尼伪逆求关节速度，完成限速、限加速度与位置积分，再利用有界队列向执行后端供点。控制计算默认100 Hz，位置点按200 Hz生成，真机关节反馈50 Hz。系统进一步设计了长距离规划与近距离视觉伺服的混合流程。</w:t>
      </w:r>
    </w:p>
    <w:p>
      <w:r>
        <w:t>项目实验中，检测mAP@0.5为77.2%，位置和姿态估计误差为5.8 mm和3.3°，平均模型预测耗时5.4 ms，单次规划耗时小于100 ms，综合抓取成功率92.6%。讲述时结合具体测试设备和样本口径，重点解释从检测结果到稳定执行的工程链路。</w:t>
      </w:r>
    </w:p>
    <w:p>
      <w:r>
        <w:br w:type="page"/>
      </w:r>
    </w:p>
    <w:p>
      <w:pPr>
        <w:pStyle w:val="Heading1"/>
      </w:pPr>
      <w:r>
        <w:t>九 源码索引与参数复核入口</w:t>
      </w:r>
    </w:p>
    <w:p>
      <w:r>
        <w:t>以下路径均相对于仓库根目录。正文中的S编号对应这些实现入口；频率与参数以当前启动时的实际覆盖值为准。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350"/>
        <w:gridCol w:w="2948"/>
      </w:tblGrid>
      <w:tr>
        <w:trPr>
          <w:cantSplit/>
          <w:tblHeader/>
        </w:trPr>
        <w:tc>
          <w:tcPr>
            <w:tcW w:type="dxa" w:w="567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6350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源码或配置</w:t>
            </w:r>
          </w:p>
        </w:tc>
        <w:tc>
          <w:tcPr>
            <w:tcW w:type="dxa" w:w="294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核对内容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aubo/aubo_perception/scripts/ultralytics_yolo_node.py</w:t>
              <w:br/>
              <w:t>aubo/aubo_perception/config/ultralytics_yolo.yaml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OBB输出、原时间戳、非阻塞推理锁、10 Hz限频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635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aubo/aubo_perception/scripts/yolo_rgbd_target_node.py</w:t>
              <w:br/>
              <w:t>aubo/aubo_perception/src/aubo_perception/grasp_geometry.py</w:t>
              <w:br/>
              <w:t>aubo/aubo_perception/config/grasp_pipeline.yaml</w:t>
            </w:r>
          </w:p>
        </w:tc>
        <w:tc>
          <w:tcPr>
            <w:tcW w:type="dxa" w:w="29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深度缓存与匹配、反投影、顶面与中心、旋转框方向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aubo/aubo_sorting_core/src/color_sorting_task.cpp</w:t>
              <w:br/>
              <w:t>aubo/aubo_sorting_core/src/target_tracking.cpp</w:t>
              <w:br/>
              <w:t>aubo/aubo_sorting_core/src/pick_place.cpp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任务工作线程、目标缓存、抓放顺序、10 Hz等待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S4</w:t>
            </w:r>
          </w:p>
        </w:tc>
        <w:tc>
          <w:tcPr>
            <w:tcW w:type="dxa" w:w="635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aubo/aubo_sorting_core/src/motion_executor.cpp</w:t>
              <w:br/>
              <w:t>aubo/aubo_moveit_config/config/ompl_planning.yaml</w:t>
              <w:br/>
              <w:t>aubo/aubo_sorting/config/yolo_sorting.yaml</w:t>
            </w:r>
          </w:p>
        </w:tc>
        <w:tc>
          <w:tcPr>
            <w:tcW w:type="dxa" w:w="29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RRTConnect、笛卡尔路径、时间参数化、规划预算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S5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aubo/aubo_ros_control/src/aubo_hw_main.cpp</w:t>
              <w:br/>
              <w:t>aubo/aubo_ros_control/src/aubo_hardware_interface.cpp</w:t>
              <w:br/>
              <w:t>aubo/aubo_ros_control/include/aubo_ros_control/aubo_hardware_interface.h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250 Hz主循环、50 Hz状态读取、SDK供点、5 ms限幅常量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S6</w:t>
            </w:r>
          </w:p>
        </w:tc>
        <w:tc>
          <w:tcPr>
            <w:tcW w:type="dxa" w:w="635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aubo/aubo_ros_control/src/visual_servo.cpp</w:t>
              <w:br/>
              <w:t>aubo/aubo_ros_control/src/visual_servo_common.cpp</w:t>
              <w:br/>
              <w:t>aubo/aubo_ros_control/src/direct_sdk_backend.cpp</w:t>
            </w:r>
          </w:p>
        </w:tc>
        <w:tc>
          <w:tcPr>
            <w:tcW w:type="dxa" w:w="29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PBVS、状态机、子步积分、队列、独立SDK输出线程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S7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aubo/aubo_ros_control/config/visual_servo_common.yaml</w:t>
              <w:br/>
              <w:t>aubo/aubo_ros_control/config/visual_servo_eye_to_hand.yaml</w:t>
              <w:br/>
              <w:t>aubo/aubo_ros_control/config/controllers.yaml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100/200 Hz、死区、超时、姿态目标、状态发布频率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S8</w:t>
            </w:r>
          </w:p>
        </w:tc>
        <w:tc>
          <w:tcPr>
            <w:tcW w:type="dxa" w:w="635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realsense-ros-development/realsense2_camera/launch/rs_camera.launch</w:t>
              <w:br/>
              <w:t>aubo/aubo_perception/models/workspace_camera/model.sdf</w:t>
            </w:r>
          </w:p>
        </w:tc>
        <w:tc>
          <w:tcPr>
            <w:tcW w:type="dxa" w:w="29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真实相机默认30 Hz、固定仿真相机20 Hz</w:t>
            </w:r>
          </w:p>
        </w:tc>
      </w:tr>
    </w:tbl>
    <w:p>
      <w:pPr>
        <w:spacing w:after="0"/>
      </w:pPr>
    </w:p>
    <w:p>
      <w:pPr>
        <w:pStyle w:val="Heading2"/>
      </w:pPr>
      <w:r>
        <w:t>相机与任务启动参数</w:t>
      </w:r>
    </w:p>
    <w:p>
      <w:r>
        <w:t>眼在手外应显式选择camera_mount:=eye_to_hand，并核对相机命名空间及标定TF；使用深度估计高度时选择height_mode:=depth。YOLO分拣便捷入口默认采用eye_in_hand和table，不能直接当作眼在手外RGB-D实验配置。</w:t>
      </w:r>
    </w:p>
    <w:p>
      <w:r>
        <w:t>开源仓库  https://github.com/2799063570/ros-mobile-manipulation-lab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AUBO i5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83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83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3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80"/>
    </w:pPr>
    <w:rPr>
      <w:rFonts w:ascii="Calibri" w:hAnsi="Calibr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AUBO i5机械臂智能分拣与视觉伺服系统</dc:title>
  <dc:subject>招聘展示技术文档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