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C2" w:rsidRDefault="002014C2">
      <w:proofErr w:type="spellStart"/>
      <w:r>
        <w:t>Typografiethema</w:t>
      </w:r>
      <w:proofErr w:type="spellEnd"/>
      <w:r>
        <w:t>:</w:t>
      </w:r>
      <w:r>
        <w:tab/>
      </w:r>
      <w:r>
        <w:tab/>
        <w:t>„Lesen ist unnatürlich“</w:t>
      </w:r>
    </w:p>
    <w:p w:rsidR="002014C2" w:rsidRDefault="002014C2"/>
    <w:p w:rsidR="002014C2" w:rsidRDefault="002014C2"/>
    <w:p w:rsidR="002014C2" w:rsidRDefault="002014C2"/>
    <w:p w:rsidR="002014C2" w:rsidRPr="002014C2" w:rsidRDefault="002014C2" w:rsidP="002014C2">
      <w:pPr>
        <w:rPr>
          <w:rFonts w:ascii="Times New Roman" w:eastAsia="Times New Roman" w:hAnsi="Times New Roman" w:cs="Times New Roman"/>
          <w:lang w:eastAsia="de-DE"/>
        </w:rPr>
      </w:pPr>
      <w:hyperlink r:id="rId4" w:history="1">
        <w:r w:rsidRPr="002014C2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https://www.typolexikon.de/lesbarkeit/mustererkennung-von-schrift/</w:t>
        </w:r>
      </w:hyperlink>
    </w:p>
    <w:p w:rsidR="002014C2" w:rsidRPr="002014C2" w:rsidRDefault="002014C2" w:rsidP="002014C2">
      <w:pPr>
        <w:rPr>
          <w:rFonts w:ascii="Times New Roman" w:eastAsia="Times New Roman" w:hAnsi="Times New Roman" w:cs="Times New Roman"/>
          <w:lang w:eastAsia="de-DE"/>
        </w:rPr>
      </w:pPr>
      <w:hyperlink r:id="rId5" w:history="1">
        <w:r w:rsidRPr="002014C2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https://www.buchundwort.de/wie-funktioniert-lesen/</w:t>
        </w:r>
      </w:hyperlink>
    </w:p>
    <w:p w:rsidR="002014C2" w:rsidRPr="002014C2" w:rsidRDefault="002014C2" w:rsidP="002014C2">
      <w:pPr>
        <w:rPr>
          <w:rFonts w:ascii="Times New Roman" w:eastAsia="Times New Roman" w:hAnsi="Times New Roman" w:cs="Times New Roman"/>
          <w:lang w:eastAsia="de-DE"/>
        </w:rPr>
      </w:pPr>
      <w:hyperlink r:id="rId6" w:history="1">
        <w:r w:rsidRPr="002014C2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https://www.xn--martina-rter-llb.de/text-fachtexte-naturwissenschaften/neurowissenschaften/neurobiologie-des-lesens-wie-funktioniert-das-lesen-im-gehirn/</w:t>
        </w:r>
      </w:hyperlink>
    </w:p>
    <w:p w:rsidR="002014C2" w:rsidRDefault="002014C2">
      <w:bookmarkStart w:id="0" w:name="_GoBack"/>
      <w:bookmarkEnd w:id="0"/>
    </w:p>
    <w:p w:rsidR="002014C2" w:rsidRDefault="002014C2"/>
    <w:p w:rsidR="002014C2" w:rsidRDefault="002014C2"/>
    <w:p w:rsidR="002014C2" w:rsidRDefault="002014C2"/>
    <w:p w:rsidR="002014C2" w:rsidRDefault="002014C2"/>
    <w:sectPr w:rsidR="002014C2" w:rsidSect="00AA3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C2"/>
    <w:rsid w:val="002014C2"/>
    <w:rsid w:val="00A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09833"/>
  <w15:chartTrackingRefBased/>
  <w15:docId w15:val="{0DB7DD1F-6EA2-6346-8EC1-0B1EBF42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1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n--martina-rter-llb.de/text-fachtexte-naturwissenschaften/neurowissenschaften/neurobiologie-des-lesens-wie-funktioniert-das-lesen-im-gehirn/" TargetMode="External"/><Relationship Id="rId5" Type="http://schemas.openxmlformats.org/officeDocument/2006/relationships/hyperlink" Target="https://www.buchundwort.de/wie-funktioniert-lesen/" TargetMode="External"/><Relationship Id="rId4" Type="http://schemas.openxmlformats.org/officeDocument/2006/relationships/hyperlink" Target="https://www.typolexikon.de/lesbarkeit/mustererkennung-von-schrif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1</cp:revision>
  <dcterms:created xsi:type="dcterms:W3CDTF">2019-10-27T16:17:00Z</dcterms:created>
  <dcterms:modified xsi:type="dcterms:W3CDTF">2019-10-27T16:22:00Z</dcterms:modified>
</cp:coreProperties>
</file>